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38BB62B0" w:rsidR="00B60939" w:rsidRPr="00727911" w:rsidRDefault="00F374E8" w:rsidP="00727911">
      <w:pPr>
        <w:pStyle w:val="Title"/>
      </w:pPr>
      <w:bookmarkStart w:id="0" w:name="_Toc198716588"/>
      <w:r w:rsidRPr="00727911">
        <w:t>5.05</w:t>
      </w:r>
      <w:r w:rsidR="00163F66" w:rsidRPr="00727911">
        <w:tab/>
      </w:r>
      <w:r w:rsidR="00A41337" w:rsidRPr="00727911">
        <w:t>GLOFITAMAB</w:t>
      </w:r>
      <w:r w:rsidR="00163F66" w:rsidRPr="00727911">
        <w:t>,</w:t>
      </w:r>
      <w:r w:rsidR="00163F66" w:rsidRPr="00727911">
        <w:br/>
      </w:r>
      <w:r w:rsidR="00525BF9" w:rsidRPr="00727911">
        <w:t>Solution concentrate for I</w:t>
      </w:r>
      <w:r w:rsidR="00DC5A06" w:rsidRPr="00727911">
        <w:t>.</w:t>
      </w:r>
      <w:r w:rsidR="00525BF9" w:rsidRPr="00727911">
        <w:t>V</w:t>
      </w:r>
      <w:r w:rsidR="00DC5A06" w:rsidRPr="00727911">
        <w:t>.</w:t>
      </w:r>
      <w:r w:rsidR="00525BF9" w:rsidRPr="00727911">
        <w:t xml:space="preserve"> infusion</w:t>
      </w:r>
      <w:r w:rsidR="00DC5A06" w:rsidRPr="00727911">
        <w:t xml:space="preserve"> </w:t>
      </w:r>
      <w:r w:rsidR="00B55043" w:rsidRPr="00727911">
        <w:t xml:space="preserve">2.5 mg </w:t>
      </w:r>
      <w:r w:rsidR="00DC5A06" w:rsidRPr="00727911">
        <w:t xml:space="preserve">in </w:t>
      </w:r>
      <w:r w:rsidR="00DC5A06" w:rsidRPr="00727911">
        <w:br/>
        <w:t>2.5 mL</w:t>
      </w:r>
      <w:r w:rsidR="003B01C2" w:rsidRPr="00727911">
        <w:t>,</w:t>
      </w:r>
      <w:r w:rsidR="00DC5A06" w:rsidRPr="00727911">
        <w:br/>
      </w:r>
      <w:r w:rsidR="00E16203" w:rsidRPr="00727911">
        <w:t>Solution concentrate for I.V. infusion</w:t>
      </w:r>
      <w:r w:rsidR="00B55043" w:rsidRPr="00727911">
        <w:t xml:space="preserve"> 10 mg </w:t>
      </w:r>
      <w:r w:rsidR="00E16203" w:rsidRPr="00727911">
        <w:t>in 10 mL</w:t>
      </w:r>
      <w:r w:rsidR="00163F66" w:rsidRPr="00727911">
        <w:t>,</w:t>
      </w:r>
      <w:r w:rsidR="00163F66" w:rsidRPr="00727911">
        <w:br/>
      </w:r>
      <w:r w:rsidR="00A41337" w:rsidRPr="00727911">
        <w:t>Columvi</w:t>
      </w:r>
      <w:r w:rsidR="005927BB" w:rsidRPr="00727911">
        <w:t>®</w:t>
      </w:r>
      <w:r w:rsidR="004A6040" w:rsidRPr="00727911">
        <w:t>,</w:t>
      </w:r>
      <w:r w:rsidR="004A6040" w:rsidRPr="00727911">
        <w:br/>
      </w:r>
      <w:r w:rsidR="00A41337" w:rsidRPr="00727911">
        <w:t>Roche Products Pty L</w:t>
      </w:r>
      <w:r w:rsidR="006B2E8C" w:rsidRPr="00727911">
        <w:t>t</w:t>
      </w:r>
      <w:r w:rsidR="00A41337" w:rsidRPr="00727911">
        <w:t>d</w:t>
      </w:r>
      <w:bookmarkEnd w:id="0"/>
    </w:p>
    <w:p w14:paraId="183757FA" w14:textId="48B22E50" w:rsidR="004154DB" w:rsidRPr="002C6E5E" w:rsidRDefault="004154DB" w:rsidP="002C6E5E">
      <w:pPr>
        <w:pStyle w:val="PBACESHeading1"/>
      </w:pPr>
      <w:bookmarkStart w:id="1" w:name="_Toc107902078"/>
      <w:bookmarkStart w:id="2" w:name="_Toc107927618"/>
      <w:bookmarkStart w:id="3" w:name="_Toc198716590"/>
      <w:bookmarkStart w:id="4" w:name="_Toc113975483"/>
      <w:bookmarkEnd w:id="1"/>
      <w:r w:rsidRPr="002C6E5E">
        <w:t>Purpose of submission</w:t>
      </w:r>
      <w:bookmarkEnd w:id="2"/>
      <w:bookmarkEnd w:id="3"/>
    </w:p>
    <w:p w14:paraId="1E36D110" w14:textId="052EC457" w:rsidR="004154DB" w:rsidRPr="00DF29F8" w:rsidRDefault="004154DB" w:rsidP="00DF29F8">
      <w:pPr>
        <w:numPr>
          <w:ilvl w:val="1"/>
          <w:numId w:val="1"/>
        </w:numPr>
        <w:spacing w:before="60" w:after="60"/>
        <w:rPr>
          <w:rFonts w:asciiTheme="minorHAnsi" w:hAnsiTheme="minorHAnsi"/>
          <w:snapToGrid w:val="0"/>
        </w:rPr>
      </w:pPr>
      <w:r w:rsidRPr="00DF29F8">
        <w:rPr>
          <w:rFonts w:asciiTheme="minorHAnsi" w:hAnsiTheme="minorHAnsi"/>
          <w:snapToGrid w:val="0"/>
        </w:rPr>
        <w:t xml:space="preserve">The Category 2 submission requested Section 100 Efficient Funding of Chemotherapy, Authority Required (Streamlined) listing for glofitamab in combination with gemcitabine plus oxaliplatin (Glofit-GemOx) for the treatment of relapsed or refractory (R/R) diffuse large B-cell lymphoma (DLBCL) after one or more lines of systemic therapy, in patients who are ineligible for </w:t>
      </w:r>
      <w:r w:rsidR="00867B6E" w:rsidRPr="00DF29F8">
        <w:rPr>
          <w:rFonts w:asciiTheme="minorHAnsi" w:hAnsiTheme="minorHAnsi"/>
          <w:snapToGrid w:val="0"/>
        </w:rPr>
        <w:t>autologous</w:t>
      </w:r>
      <w:r w:rsidRPr="00DF29F8">
        <w:rPr>
          <w:rFonts w:asciiTheme="minorHAnsi" w:hAnsiTheme="minorHAnsi"/>
          <w:snapToGrid w:val="0"/>
        </w:rPr>
        <w:t xml:space="preserve"> stem cell transplant (ASCT). The PBAC had not previously considered glofitamab for this indication.</w:t>
      </w:r>
    </w:p>
    <w:p w14:paraId="4F618261" w14:textId="2E7C3953" w:rsidR="004154DB" w:rsidRPr="00DF29F8" w:rsidRDefault="004154DB" w:rsidP="00DF29F8">
      <w:pPr>
        <w:numPr>
          <w:ilvl w:val="1"/>
          <w:numId w:val="1"/>
        </w:numPr>
        <w:spacing w:before="60" w:after="60"/>
        <w:rPr>
          <w:rFonts w:asciiTheme="minorHAnsi" w:hAnsiTheme="minorHAnsi"/>
          <w:snapToGrid w:val="0"/>
        </w:rPr>
      </w:pPr>
      <w:r w:rsidRPr="00DF29F8">
        <w:rPr>
          <w:rFonts w:asciiTheme="minorHAnsi" w:hAnsiTheme="minorHAnsi"/>
          <w:snapToGrid w:val="0"/>
        </w:rPr>
        <w:t>Listing was requested on the basis of a cost-effectiveness analysis versus rituximab in combination with gemcitabine plus oxaliplatin (R-</w:t>
      </w:r>
      <w:proofErr w:type="spellStart"/>
      <w:r w:rsidRPr="00DF29F8">
        <w:rPr>
          <w:rFonts w:asciiTheme="minorHAnsi" w:hAnsiTheme="minorHAnsi"/>
          <w:snapToGrid w:val="0"/>
        </w:rPr>
        <w:t>GemOx</w:t>
      </w:r>
      <w:proofErr w:type="spellEnd"/>
      <w:r w:rsidRPr="00DF29F8">
        <w:rPr>
          <w:rFonts w:asciiTheme="minorHAnsi" w:hAnsiTheme="minorHAnsi"/>
          <w:snapToGrid w:val="0"/>
        </w:rPr>
        <w:t>) administered over 21-day cycles for 8 cycles.</w:t>
      </w:r>
    </w:p>
    <w:p w14:paraId="6AD3A5EB" w14:textId="789B72FD" w:rsidR="004154DB" w:rsidRDefault="004154DB" w:rsidP="00F67403">
      <w:pPr>
        <w:pStyle w:val="TableFigureHeading"/>
        <w:keepLines/>
      </w:pPr>
      <w:r>
        <w:lastRenderedPageBreak/>
        <w:t xml:space="preserve">Table </w:t>
      </w:r>
      <w:r w:rsidR="00F257F5">
        <w:fldChar w:fldCharType="begin" w:fldLock="1"/>
      </w:r>
      <w:r w:rsidR="00F257F5">
        <w:instrText xml:space="preserve"> SEQ Table \* ARABIC </w:instrText>
      </w:r>
      <w:r w:rsidR="00F257F5">
        <w:fldChar w:fldCharType="separate"/>
      </w:r>
      <w:r w:rsidR="003C21E7">
        <w:rPr>
          <w:noProof/>
        </w:rPr>
        <w:t>1</w:t>
      </w:r>
      <w:r w:rsidR="00F257F5">
        <w:rPr>
          <w:noProof/>
        </w:rPr>
        <w:fldChar w:fldCharType="end"/>
      </w:r>
      <w:r>
        <w:t>:</w:t>
      </w:r>
      <w:r w:rsidRPr="004A6040">
        <w:rPr>
          <w:rStyle w:val="CommentReference"/>
          <w:b/>
          <w:szCs w:val="24"/>
        </w:rPr>
        <w:t xml:space="preserve"> Key components of the clinical issue addressed by the submission (as stated in the submission)</w:t>
      </w:r>
    </w:p>
    <w:tbl>
      <w:tblPr>
        <w:tblStyle w:val="PBAClayout"/>
        <w:tblW w:w="9156" w:type="dxa"/>
        <w:tblLook w:val="04A0" w:firstRow="1" w:lastRow="0" w:firstColumn="1" w:lastColumn="0" w:noHBand="0" w:noVBand="1"/>
        <w:tblCaption w:val="Table 1: Key components of the clinical issue addressed by the submission (as stated in the submission)"/>
      </w:tblPr>
      <w:tblGrid>
        <w:gridCol w:w="1271"/>
        <w:gridCol w:w="7885"/>
      </w:tblGrid>
      <w:tr w:rsidR="004154DB" w14:paraId="2BAFE4EB" w14:textId="77777777" w:rsidTr="00F274C6">
        <w:tc>
          <w:tcPr>
            <w:tcW w:w="1271" w:type="dxa"/>
            <w:tcBorders>
              <w:top w:val="single" w:sz="4" w:space="0" w:color="auto"/>
              <w:left w:val="single" w:sz="4" w:space="0" w:color="auto"/>
              <w:bottom w:val="single" w:sz="4" w:space="0" w:color="auto"/>
              <w:right w:val="single" w:sz="4" w:space="0" w:color="auto"/>
            </w:tcBorders>
            <w:hideMark/>
          </w:tcPr>
          <w:p w14:paraId="54910AAD" w14:textId="77777777" w:rsidR="004154DB" w:rsidRDefault="004154DB" w:rsidP="00F67403">
            <w:pPr>
              <w:pStyle w:val="In-tableHeading"/>
              <w:keepLines/>
              <w:widowControl w:val="0"/>
            </w:pPr>
            <w:r>
              <w:t>Component</w:t>
            </w:r>
          </w:p>
        </w:tc>
        <w:tc>
          <w:tcPr>
            <w:tcW w:w="7885" w:type="dxa"/>
            <w:tcBorders>
              <w:top w:val="single" w:sz="4" w:space="0" w:color="auto"/>
              <w:left w:val="single" w:sz="4" w:space="0" w:color="auto"/>
              <w:bottom w:val="single" w:sz="4" w:space="0" w:color="auto"/>
              <w:right w:val="single" w:sz="4" w:space="0" w:color="auto"/>
            </w:tcBorders>
            <w:hideMark/>
          </w:tcPr>
          <w:p w14:paraId="5B5374AD" w14:textId="77777777" w:rsidR="004154DB" w:rsidRDefault="004154DB" w:rsidP="00F67403">
            <w:pPr>
              <w:pStyle w:val="In-tableHeading"/>
              <w:keepLines/>
              <w:widowControl w:val="0"/>
            </w:pPr>
            <w:r>
              <w:t>Description</w:t>
            </w:r>
          </w:p>
        </w:tc>
      </w:tr>
      <w:tr w:rsidR="004154DB" w14:paraId="5112316D" w14:textId="77777777" w:rsidTr="00F274C6">
        <w:tc>
          <w:tcPr>
            <w:tcW w:w="1271" w:type="dxa"/>
            <w:tcBorders>
              <w:top w:val="single" w:sz="4" w:space="0" w:color="auto"/>
              <w:left w:val="single" w:sz="4" w:space="0" w:color="auto"/>
              <w:bottom w:val="single" w:sz="4" w:space="0" w:color="auto"/>
              <w:right w:val="single" w:sz="4" w:space="0" w:color="auto"/>
            </w:tcBorders>
            <w:hideMark/>
          </w:tcPr>
          <w:p w14:paraId="15EDDD92" w14:textId="77777777" w:rsidR="004154DB" w:rsidRDefault="004154DB" w:rsidP="00F67403">
            <w:pPr>
              <w:pStyle w:val="TableText0"/>
              <w:keepLines/>
              <w:widowControl w:val="0"/>
            </w:pPr>
            <w:r>
              <w:t>Population</w:t>
            </w:r>
          </w:p>
        </w:tc>
        <w:tc>
          <w:tcPr>
            <w:tcW w:w="7885" w:type="dxa"/>
            <w:tcBorders>
              <w:top w:val="single" w:sz="4" w:space="0" w:color="auto"/>
              <w:left w:val="single" w:sz="4" w:space="0" w:color="auto"/>
              <w:bottom w:val="single" w:sz="4" w:space="0" w:color="auto"/>
              <w:right w:val="single" w:sz="4" w:space="0" w:color="auto"/>
            </w:tcBorders>
            <w:hideMark/>
          </w:tcPr>
          <w:p w14:paraId="6159E77B" w14:textId="77777777" w:rsidR="004154DB" w:rsidRDefault="004154DB" w:rsidP="00F67403">
            <w:pPr>
              <w:pStyle w:val="TableText0"/>
              <w:keepLines/>
              <w:widowControl w:val="0"/>
            </w:pPr>
            <w:r>
              <w:t>Adult patients with relapsed or refractory DLBCL after one or more lines of systemic therapy, who are ineligible for ASCT.</w:t>
            </w:r>
          </w:p>
        </w:tc>
      </w:tr>
      <w:tr w:rsidR="004154DB" w14:paraId="06E2278B" w14:textId="77777777" w:rsidTr="00F274C6">
        <w:tc>
          <w:tcPr>
            <w:tcW w:w="1271" w:type="dxa"/>
            <w:tcBorders>
              <w:top w:val="single" w:sz="4" w:space="0" w:color="auto"/>
              <w:left w:val="single" w:sz="4" w:space="0" w:color="auto"/>
              <w:bottom w:val="single" w:sz="4" w:space="0" w:color="auto"/>
              <w:right w:val="single" w:sz="4" w:space="0" w:color="auto"/>
            </w:tcBorders>
            <w:hideMark/>
          </w:tcPr>
          <w:p w14:paraId="41FEF0F9" w14:textId="77777777" w:rsidR="004154DB" w:rsidRDefault="004154DB" w:rsidP="00F67403">
            <w:pPr>
              <w:pStyle w:val="TableText0"/>
              <w:keepLines/>
              <w:widowControl w:val="0"/>
            </w:pPr>
            <w:r>
              <w:t>Intervention</w:t>
            </w:r>
          </w:p>
        </w:tc>
        <w:tc>
          <w:tcPr>
            <w:tcW w:w="7885" w:type="dxa"/>
            <w:tcBorders>
              <w:top w:val="single" w:sz="4" w:space="0" w:color="auto"/>
              <w:left w:val="single" w:sz="4" w:space="0" w:color="auto"/>
              <w:bottom w:val="single" w:sz="4" w:space="0" w:color="auto"/>
              <w:right w:val="single" w:sz="4" w:space="0" w:color="auto"/>
            </w:tcBorders>
            <w:hideMark/>
          </w:tcPr>
          <w:p w14:paraId="6C6F5A25" w14:textId="77777777" w:rsidR="004154DB" w:rsidRDefault="004154DB" w:rsidP="00F67403">
            <w:pPr>
              <w:pStyle w:val="TableText0"/>
              <w:keepLines/>
              <w:widowControl w:val="0"/>
            </w:pPr>
            <w:r>
              <w:t>Glofit-GemOx treatment regimen, consisting of eight cycles of glofitamab in combination with gemcitabine plus oxaliplatin, plus four cycles of glofitamab monotherapy (21-day cycles). The regimen also includes treatment with obinutuzumab on day 1 of cycle 1 to mitigate the risk of cytokine release syndrome.</w:t>
            </w:r>
          </w:p>
        </w:tc>
      </w:tr>
      <w:tr w:rsidR="004154DB" w14:paraId="76CFEC01" w14:textId="77777777" w:rsidTr="00F274C6">
        <w:tc>
          <w:tcPr>
            <w:tcW w:w="1271" w:type="dxa"/>
            <w:tcBorders>
              <w:top w:val="single" w:sz="4" w:space="0" w:color="auto"/>
              <w:left w:val="single" w:sz="4" w:space="0" w:color="auto"/>
              <w:bottom w:val="single" w:sz="4" w:space="0" w:color="auto"/>
              <w:right w:val="single" w:sz="4" w:space="0" w:color="auto"/>
            </w:tcBorders>
            <w:hideMark/>
          </w:tcPr>
          <w:p w14:paraId="2D13BAC4" w14:textId="77777777" w:rsidR="004154DB" w:rsidRDefault="004154DB" w:rsidP="00F67403">
            <w:pPr>
              <w:pStyle w:val="TableText0"/>
              <w:keepLines/>
              <w:widowControl w:val="0"/>
            </w:pPr>
            <w:r>
              <w:t>Comparator</w:t>
            </w:r>
          </w:p>
        </w:tc>
        <w:tc>
          <w:tcPr>
            <w:tcW w:w="7885" w:type="dxa"/>
            <w:tcBorders>
              <w:top w:val="single" w:sz="4" w:space="0" w:color="auto"/>
              <w:left w:val="single" w:sz="4" w:space="0" w:color="auto"/>
              <w:bottom w:val="single" w:sz="4" w:space="0" w:color="auto"/>
              <w:right w:val="single" w:sz="4" w:space="0" w:color="auto"/>
            </w:tcBorders>
            <w:hideMark/>
          </w:tcPr>
          <w:p w14:paraId="68F0BEAD" w14:textId="77777777" w:rsidR="004154DB" w:rsidRDefault="004154DB" w:rsidP="00F67403">
            <w:pPr>
              <w:pStyle w:val="TableText0"/>
              <w:keepLines/>
              <w:widowControl w:val="0"/>
            </w:pPr>
            <w:r>
              <w:t>R-</w:t>
            </w:r>
            <w:proofErr w:type="spellStart"/>
            <w:r>
              <w:t>GemOx</w:t>
            </w:r>
            <w:proofErr w:type="spellEnd"/>
            <w:r>
              <w:t xml:space="preserve"> treatment regimen, consisting of eight cycles of rituximab in combination with gemcitabine plus oxaliplatin (21-day cycles). </w:t>
            </w:r>
          </w:p>
        </w:tc>
      </w:tr>
      <w:tr w:rsidR="004154DB" w14:paraId="34CCF3CC" w14:textId="77777777" w:rsidTr="00F274C6">
        <w:tc>
          <w:tcPr>
            <w:tcW w:w="1271" w:type="dxa"/>
            <w:tcBorders>
              <w:top w:val="single" w:sz="4" w:space="0" w:color="auto"/>
              <w:left w:val="single" w:sz="4" w:space="0" w:color="auto"/>
              <w:bottom w:val="single" w:sz="4" w:space="0" w:color="auto"/>
              <w:right w:val="single" w:sz="4" w:space="0" w:color="auto"/>
            </w:tcBorders>
            <w:hideMark/>
          </w:tcPr>
          <w:p w14:paraId="219DD78E" w14:textId="77777777" w:rsidR="004154DB" w:rsidRDefault="004154DB" w:rsidP="00F67403">
            <w:pPr>
              <w:pStyle w:val="TableText0"/>
              <w:keepLines/>
              <w:widowControl w:val="0"/>
            </w:pPr>
            <w:r>
              <w:t>Outcomes</w:t>
            </w:r>
          </w:p>
        </w:tc>
        <w:tc>
          <w:tcPr>
            <w:tcW w:w="7885" w:type="dxa"/>
            <w:tcBorders>
              <w:top w:val="single" w:sz="4" w:space="0" w:color="auto"/>
              <w:left w:val="single" w:sz="4" w:space="0" w:color="auto"/>
              <w:bottom w:val="single" w:sz="4" w:space="0" w:color="auto"/>
              <w:right w:val="single" w:sz="4" w:space="0" w:color="auto"/>
            </w:tcBorders>
            <w:hideMark/>
          </w:tcPr>
          <w:p w14:paraId="3F63195C" w14:textId="77777777" w:rsidR="004154DB" w:rsidRDefault="004154DB" w:rsidP="00F67403">
            <w:pPr>
              <w:pStyle w:val="TableText0"/>
              <w:keepLines/>
              <w:widowControl w:val="0"/>
            </w:pPr>
            <w:r>
              <w:t>Primary endpoint: overall survival</w:t>
            </w:r>
          </w:p>
          <w:p w14:paraId="57D0AFCB" w14:textId="77777777" w:rsidR="004154DB" w:rsidRDefault="004154DB" w:rsidP="00F67403">
            <w:pPr>
              <w:pStyle w:val="TableText0"/>
              <w:keepLines/>
              <w:widowControl w:val="0"/>
            </w:pPr>
            <w:r>
              <w:t>Secondary endpoints:</w:t>
            </w:r>
          </w:p>
          <w:p w14:paraId="7BF4E29F" w14:textId="77777777" w:rsidR="004154DB" w:rsidRDefault="004154DB" w:rsidP="00F67403">
            <w:pPr>
              <w:pStyle w:val="TableText0"/>
              <w:keepLines/>
              <w:widowControl w:val="0"/>
              <w:numPr>
                <w:ilvl w:val="0"/>
                <w:numId w:val="14"/>
              </w:numPr>
            </w:pPr>
            <w:r>
              <w:t>Progression-free survival</w:t>
            </w:r>
          </w:p>
          <w:p w14:paraId="7CA6F2D5" w14:textId="77777777" w:rsidR="004154DB" w:rsidRDefault="004154DB" w:rsidP="00F67403">
            <w:pPr>
              <w:pStyle w:val="TableText0"/>
              <w:keepLines/>
              <w:widowControl w:val="0"/>
              <w:numPr>
                <w:ilvl w:val="0"/>
                <w:numId w:val="14"/>
              </w:numPr>
            </w:pPr>
            <w:r>
              <w:t>Event-free survival</w:t>
            </w:r>
          </w:p>
          <w:p w14:paraId="2BBEC5FF" w14:textId="1DEDF7DC" w:rsidR="004154DB" w:rsidRDefault="004154DB" w:rsidP="00F67403">
            <w:pPr>
              <w:pStyle w:val="TableText0"/>
              <w:keepLines/>
              <w:widowControl w:val="0"/>
              <w:numPr>
                <w:ilvl w:val="0"/>
                <w:numId w:val="14"/>
              </w:numPr>
            </w:pPr>
            <w:r>
              <w:t xml:space="preserve">Response rates, </w:t>
            </w:r>
            <w:r w:rsidR="00795471">
              <w:t>including</w:t>
            </w:r>
            <w:r>
              <w:t xml:space="preserve"> complete response, partial response, progressive disease, stable disease, overall response rate</w:t>
            </w:r>
          </w:p>
          <w:p w14:paraId="50BEA1C6" w14:textId="77777777" w:rsidR="004154DB" w:rsidRDefault="004154DB" w:rsidP="00F67403">
            <w:pPr>
              <w:pStyle w:val="TableText0"/>
              <w:keepLines/>
              <w:widowControl w:val="0"/>
              <w:numPr>
                <w:ilvl w:val="0"/>
                <w:numId w:val="14"/>
              </w:numPr>
            </w:pPr>
            <w:r>
              <w:t>Duration of response, including duration of complete response and duration of response</w:t>
            </w:r>
          </w:p>
          <w:p w14:paraId="3C51167A" w14:textId="77777777" w:rsidR="004154DB" w:rsidRDefault="004154DB" w:rsidP="00F67403">
            <w:pPr>
              <w:pStyle w:val="TableText0"/>
              <w:keepLines/>
              <w:widowControl w:val="0"/>
              <w:numPr>
                <w:ilvl w:val="0"/>
                <w:numId w:val="14"/>
              </w:numPr>
            </w:pPr>
            <w:r>
              <w:t>AEs</w:t>
            </w:r>
          </w:p>
          <w:p w14:paraId="0DD80F3B" w14:textId="77777777" w:rsidR="004154DB" w:rsidRDefault="004154DB" w:rsidP="00F67403">
            <w:pPr>
              <w:pStyle w:val="TableText0"/>
              <w:keepLines/>
              <w:widowControl w:val="0"/>
              <w:numPr>
                <w:ilvl w:val="0"/>
                <w:numId w:val="14"/>
              </w:numPr>
            </w:pPr>
            <w:proofErr w:type="spellStart"/>
            <w:r>
              <w:t>HRQoL</w:t>
            </w:r>
            <w:proofErr w:type="spellEnd"/>
          </w:p>
        </w:tc>
      </w:tr>
      <w:tr w:rsidR="004154DB" w14:paraId="7A58EDC6" w14:textId="77777777" w:rsidTr="00F274C6">
        <w:tc>
          <w:tcPr>
            <w:tcW w:w="1271" w:type="dxa"/>
            <w:tcBorders>
              <w:top w:val="single" w:sz="4" w:space="0" w:color="auto"/>
              <w:left w:val="single" w:sz="4" w:space="0" w:color="auto"/>
              <w:bottom w:val="single" w:sz="4" w:space="0" w:color="auto"/>
              <w:right w:val="single" w:sz="4" w:space="0" w:color="auto"/>
            </w:tcBorders>
            <w:hideMark/>
          </w:tcPr>
          <w:p w14:paraId="35B196C7" w14:textId="77777777" w:rsidR="004154DB" w:rsidRDefault="004154DB" w:rsidP="00F67403">
            <w:pPr>
              <w:pStyle w:val="TableText0"/>
              <w:keepLines/>
            </w:pPr>
            <w:r>
              <w:t>Clinical claim</w:t>
            </w:r>
          </w:p>
        </w:tc>
        <w:tc>
          <w:tcPr>
            <w:tcW w:w="7885" w:type="dxa"/>
            <w:tcBorders>
              <w:top w:val="single" w:sz="4" w:space="0" w:color="auto"/>
              <w:left w:val="single" w:sz="4" w:space="0" w:color="auto"/>
              <w:bottom w:val="single" w:sz="4" w:space="0" w:color="auto"/>
              <w:right w:val="single" w:sz="4" w:space="0" w:color="auto"/>
            </w:tcBorders>
            <w:hideMark/>
          </w:tcPr>
          <w:p w14:paraId="78F21693" w14:textId="77777777" w:rsidR="004154DB" w:rsidRDefault="004154DB" w:rsidP="00F67403">
            <w:pPr>
              <w:pStyle w:val="TableText0"/>
              <w:keepLines/>
            </w:pPr>
            <w:r>
              <w:t>In patients with relapsed or refractory DLBCL after one or more lines of systemic therapy, who are ineligible for ASCT, Glofit-GemOx is superior to R-</w:t>
            </w:r>
            <w:proofErr w:type="spellStart"/>
            <w:r>
              <w:t>GemOx</w:t>
            </w:r>
            <w:proofErr w:type="spellEnd"/>
            <w:r>
              <w:t xml:space="preserve"> in terms of efficacy (OS, PFS and CR) and non-inferior with respect to safety.</w:t>
            </w:r>
          </w:p>
        </w:tc>
      </w:tr>
    </w:tbl>
    <w:p w14:paraId="40A6C62E" w14:textId="77777777" w:rsidR="004154DB" w:rsidRDefault="004154DB" w:rsidP="00F67403">
      <w:pPr>
        <w:pStyle w:val="FooterTableFigure"/>
        <w:keepNext/>
        <w:keepLines/>
      </w:pPr>
      <w:r>
        <w:t>Source: Table 1.1.1, p47 of the submission.</w:t>
      </w:r>
    </w:p>
    <w:p w14:paraId="590DB949" w14:textId="77777777" w:rsidR="004154DB" w:rsidRPr="00D64255" w:rsidRDefault="004154DB" w:rsidP="00F67403">
      <w:pPr>
        <w:pStyle w:val="FooterTableFigure"/>
        <w:keepNext/>
        <w:keepLines/>
      </w:pPr>
      <w:r>
        <w:t>DLBDL=diffuse large B-cell lymphoma; ASCT=autologous stem cell transplant; Glofit-GemOx=glofitamab in combination with gemcitabine and oxaliplatin; R-</w:t>
      </w:r>
      <w:proofErr w:type="spellStart"/>
      <w:r>
        <w:t>GemOx</w:t>
      </w:r>
      <w:proofErr w:type="spellEnd"/>
      <w:r>
        <w:t>=rituximab in combination with gemcitabine and oxaliplatin; OS=overall survival; PFS=progression-free survival; CR=complete response.</w:t>
      </w:r>
    </w:p>
    <w:p w14:paraId="7E8A18E8" w14:textId="77777777" w:rsidR="004154DB" w:rsidRPr="00407F2D" w:rsidRDefault="004154DB" w:rsidP="00BD2D2E">
      <w:pPr>
        <w:pStyle w:val="PBACESHeading1"/>
      </w:pPr>
      <w:bookmarkStart w:id="5" w:name="_Toc107927619"/>
      <w:bookmarkStart w:id="6" w:name="_Toc198716591"/>
      <w:r w:rsidRPr="00407F2D">
        <w:t>Background</w:t>
      </w:r>
      <w:bookmarkEnd w:id="5"/>
      <w:bookmarkEnd w:id="6"/>
    </w:p>
    <w:p w14:paraId="12EA71FF" w14:textId="77777777" w:rsidR="004154DB" w:rsidRPr="004151CF" w:rsidRDefault="004154DB" w:rsidP="004154DB">
      <w:pPr>
        <w:pStyle w:val="4-SubsectionHeading"/>
      </w:pPr>
      <w:bookmarkStart w:id="7" w:name="_Toc22897638"/>
      <w:bookmarkStart w:id="8" w:name="_Toc107927620"/>
      <w:bookmarkStart w:id="9" w:name="_Toc198716592"/>
      <w:r w:rsidRPr="004151CF">
        <w:t>Registration status</w:t>
      </w:r>
      <w:bookmarkEnd w:id="7"/>
      <w:bookmarkEnd w:id="8"/>
      <w:bookmarkEnd w:id="9"/>
    </w:p>
    <w:p w14:paraId="4BDCCD69" w14:textId="353B7CD5" w:rsidR="004154DB" w:rsidRPr="009825E7" w:rsidRDefault="00470CFC" w:rsidP="00FA7958">
      <w:pPr>
        <w:numPr>
          <w:ilvl w:val="1"/>
          <w:numId w:val="1"/>
        </w:numPr>
        <w:spacing w:before="60" w:after="60"/>
        <w:rPr>
          <w:rFonts w:asciiTheme="minorHAnsi" w:hAnsiTheme="minorHAnsi"/>
          <w:snapToGrid w:val="0"/>
        </w:rPr>
      </w:pPr>
      <w:bookmarkStart w:id="10" w:name="_Toc22897639"/>
      <w:bookmarkStart w:id="11" w:name="_Toc107927621"/>
      <w:r w:rsidRPr="004A24AC">
        <w:rPr>
          <w:rFonts w:asciiTheme="minorHAnsi" w:hAnsiTheme="minorHAnsi"/>
          <w:b/>
          <w:bCs/>
          <w:snapToGrid w:val="0"/>
        </w:rPr>
        <w:t xml:space="preserve">TGA status at time of </w:t>
      </w:r>
      <w:r w:rsidR="00FA7958" w:rsidRPr="00111EAB">
        <w:rPr>
          <w:rFonts w:asciiTheme="minorHAnsi" w:hAnsiTheme="minorHAnsi"/>
          <w:b/>
          <w:bCs/>
          <w:snapToGrid w:val="0"/>
        </w:rPr>
        <w:t>PBAC consideration</w:t>
      </w:r>
      <w:r w:rsidRPr="00111EAB">
        <w:rPr>
          <w:rFonts w:asciiTheme="minorHAnsi" w:hAnsiTheme="minorHAnsi"/>
          <w:b/>
          <w:bCs/>
          <w:snapToGrid w:val="0"/>
        </w:rPr>
        <w:t>:</w:t>
      </w:r>
      <w:r w:rsidRPr="00FA7958">
        <w:rPr>
          <w:rFonts w:asciiTheme="minorHAnsi" w:hAnsiTheme="minorHAnsi"/>
          <w:snapToGrid w:val="0"/>
        </w:rPr>
        <w:t xml:space="preserve"> </w:t>
      </w:r>
      <w:r w:rsidR="00A4288B" w:rsidRPr="00FA7958">
        <w:rPr>
          <w:rFonts w:asciiTheme="minorHAnsi" w:hAnsiTheme="minorHAnsi"/>
          <w:snapToGrid w:val="0"/>
        </w:rPr>
        <w:t>not registered.</w:t>
      </w:r>
      <w:r w:rsidR="00F56F9E">
        <w:rPr>
          <w:rFonts w:asciiTheme="minorHAnsi" w:hAnsiTheme="minorHAnsi"/>
          <w:snapToGrid w:val="0"/>
        </w:rPr>
        <w:t xml:space="preserve"> The </w:t>
      </w:r>
      <w:r w:rsidR="004A24AC">
        <w:rPr>
          <w:rFonts w:asciiTheme="minorHAnsi" w:hAnsiTheme="minorHAnsi"/>
          <w:snapToGrid w:val="0"/>
        </w:rPr>
        <w:t xml:space="preserve">TGA </w:t>
      </w:r>
      <w:r w:rsidR="00F56F9E">
        <w:rPr>
          <w:rFonts w:asciiTheme="minorHAnsi" w:hAnsiTheme="minorHAnsi"/>
          <w:snapToGrid w:val="0"/>
        </w:rPr>
        <w:t>C</w:t>
      </w:r>
      <w:r w:rsidR="005B4AF4">
        <w:rPr>
          <w:rFonts w:asciiTheme="minorHAnsi" w:hAnsiTheme="minorHAnsi"/>
          <w:snapToGrid w:val="0"/>
        </w:rPr>
        <w:t xml:space="preserve">linical </w:t>
      </w:r>
      <w:r w:rsidR="00F56F9E">
        <w:rPr>
          <w:rFonts w:asciiTheme="minorHAnsi" w:hAnsiTheme="minorHAnsi"/>
          <w:snapToGrid w:val="0"/>
        </w:rPr>
        <w:t>E</w:t>
      </w:r>
      <w:r w:rsidR="005B4AF4">
        <w:rPr>
          <w:rFonts w:asciiTheme="minorHAnsi" w:hAnsiTheme="minorHAnsi"/>
          <w:snapToGrid w:val="0"/>
        </w:rPr>
        <w:t xml:space="preserve">valuation </w:t>
      </w:r>
      <w:r w:rsidR="00F56F9E">
        <w:rPr>
          <w:rFonts w:asciiTheme="minorHAnsi" w:hAnsiTheme="minorHAnsi"/>
          <w:snapToGrid w:val="0"/>
        </w:rPr>
        <w:t>R</w:t>
      </w:r>
      <w:r w:rsidR="005B4AF4">
        <w:rPr>
          <w:rFonts w:asciiTheme="minorHAnsi" w:hAnsiTheme="minorHAnsi"/>
          <w:snapToGrid w:val="0"/>
        </w:rPr>
        <w:t>eport (CER)</w:t>
      </w:r>
      <w:r w:rsidR="00F56F9E">
        <w:rPr>
          <w:rFonts w:asciiTheme="minorHAnsi" w:hAnsiTheme="minorHAnsi"/>
          <w:snapToGrid w:val="0"/>
        </w:rPr>
        <w:t xml:space="preserve">, Delegate’s Overview and </w:t>
      </w:r>
      <w:r w:rsidR="005B4AF4" w:rsidRPr="00FA7958">
        <w:rPr>
          <w:rFonts w:asciiTheme="minorHAnsi" w:hAnsiTheme="minorHAnsi"/>
          <w:snapToGrid w:val="0"/>
        </w:rPr>
        <w:t>Advisory Committee on Medicines (ACM)</w:t>
      </w:r>
      <w:r w:rsidR="00F56F9E">
        <w:rPr>
          <w:rFonts w:asciiTheme="minorHAnsi" w:hAnsiTheme="minorHAnsi"/>
          <w:snapToGrid w:val="0"/>
        </w:rPr>
        <w:t xml:space="preserve"> advice were available at time of PBAC consideration.</w:t>
      </w:r>
      <w:r w:rsidR="00A4288B" w:rsidRPr="00FA7958">
        <w:rPr>
          <w:rFonts w:asciiTheme="minorHAnsi" w:hAnsiTheme="minorHAnsi"/>
          <w:snapToGrid w:val="0"/>
        </w:rPr>
        <w:t xml:space="preserve"> </w:t>
      </w:r>
      <w:r w:rsidR="004154DB" w:rsidRPr="009825E7">
        <w:rPr>
          <w:rFonts w:asciiTheme="minorHAnsi" w:hAnsiTheme="minorHAnsi"/>
          <w:snapToGrid w:val="0"/>
        </w:rPr>
        <w:t xml:space="preserve">The </w:t>
      </w:r>
      <w:r w:rsidR="00AC5430" w:rsidRPr="009825E7">
        <w:rPr>
          <w:rFonts w:asciiTheme="minorHAnsi" w:hAnsiTheme="minorHAnsi"/>
          <w:snapToGrid w:val="0"/>
        </w:rPr>
        <w:t xml:space="preserve">TGA CER </w:t>
      </w:r>
      <w:r w:rsidR="008E4712" w:rsidRPr="009825E7">
        <w:rPr>
          <w:rFonts w:asciiTheme="minorHAnsi" w:hAnsiTheme="minorHAnsi"/>
          <w:snapToGrid w:val="0"/>
        </w:rPr>
        <w:t xml:space="preserve">stated that the </w:t>
      </w:r>
      <w:r w:rsidR="004154DB" w:rsidRPr="009825E7">
        <w:rPr>
          <w:rFonts w:asciiTheme="minorHAnsi" w:hAnsiTheme="minorHAnsi"/>
          <w:snapToGrid w:val="0"/>
        </w:rPr>
        <w:t xml:space="preserve">proposed </w:t>
      </w:r>
      <w:r w:rsidR="00970D4A" w:rsidRPr="009825E7">
        <w:rPr>
          <w:rFonts w:asciiTheme="minorHAnsi" w:hAnsiTheme="minorHAnsi"/>
          <w:snapToGrid w:val="0"/>
        </w:rPr>
        <w:t xml:space="preserve">TGA </w:t>
      </w:r>
      <w:r w:rsidR="004154DB" w:rsidRPr="009825E7">
        <w:rPr>
          <w:rFonts w:asciiTheme="minorHAnsi" w:hAnsiTheme="minorHAnsi"/>
          <w:snapToGrid w:val="0"/>
        </w:rPr>
        <w:t>indication</w:t>
      </w:r>
      <w:r w:rsidR="008E4712" w:rsidRPr="009825E7">
        <w:rPr>
          <w:rFonts w:asciiTheme="minorHAnsi" w:hAnsiTheme="minorHAnsi"/>
          <w:snapToGrid w:val="0"/>
        </w:rPr>
        <w:t xml:space="preserve"> in the first round</w:t>
      </w:r>
      <w:r w:rsidR="004154DB" w:rsidRPr="009825E7">
        <w:rPr>
          <w:rFonts w:asciiTheme="minorHAnsi" w:hAnsiTheme="minorHAnsi"/>
          <w:snapToGrid w:val="0"/>
        </w:rPr>
        <w:t xml:space="preserve"> </w:t>
      </w:r>
      <w:r w:rsidR="00BD6E95" w:rsidRPr="00E828E7">
        <w:rPr>
          <w:rFonts w:asciiTheme="minorHAnsi" w:hAnsiTheme="minorHAnsi"/>
          <w:snapToGrid w:val="0"/>
          <w:color w:val="000000"/>
          <w:w w:val="61"/>
          <w:shd w:val="solid" w:color="000000" w:fill="000000"/>
          <w:fitText w:val="472" w:id="-632054016"/>
          <w14:textFill>
            <w14:solidFill>
              <w14:srgbClr w14:val="000000">
                <w14:alpha w14:val="100000"/>
              </w14:srgbClr>
            </w14:solidFill>
          </w14:textFill>
        </w:rPr>
        <w:t>|||  ||</w:t>
      </w:r>
      <w:r w:rsidR="00BD6E95" w:rsidRPr="00E828E7">
        <w:rPr>
          <w:rFonts w:asciiTheme="minorHAnsi" w:hAnsiTheme="minorHAnsi"/>
          <w:snapToGrid w:val="0"/>
          <w:color w:val="000000"/>
          <w:spacing w:val="2"/>
          <w:w w:val="61"/>
          <w:shd w:val="solid" w:color="000000" w:fill="000000"/>
          <w:fitText w:val="472" w:id="-632054016"/>
          <w14:textFill>
            <w14:solidFill>
              <w14:srgbClr w14:val="000000">
                <w14:alpha w14:val="100000"/>
              </w14:srgbClr>
            </w14:solidFill>
          </w14:textFill>
        </w:rPr>
        <w:t>|</w:t>
      </w:r>
      <w:r w:rsidR="00D4484E" w:rsidRPr="00FA7958">
        <w:rPr>
          <w:rFonts w:asciiTheme="minorHAnsi" w:hAnsiTheme="minorHAnsi"/>
          <w:snapToGrid w:val="0"/>
        </w:rPr>
        <w:t xml:space="preserve"> </w:t>
      </w:r>
      <w:r w:rsidR="004154DB" w:rsidRPr="00FA7958">
        <w:rPr>
          <w:rFonts w:asciiTheme="minorHAnsi" w:hAnsiTheme="minorHAnsi"/>
          <w:snapToGrid w:val="0"/>
        </w:rPr>
        <w:t xml:space="preserve">The Sponsor subsequently updated the </w:t>
      </w:r>
      <w:r w:rsidR="00970D4A" w:rsidRPr="00FA7958">
        <w:rPr>
          <w:rFonts w:asciiTheme="minorHAnsi" w:hAnsiTheme="minorHAnsi"/>
          <w:snapToGrid w:val="0"/>
        </w:rPr>
        <w:t xml:space="preserve">proposed TGA </w:t>
      </w:r>
      <w:r w:rsidR="004154DB" w:rsidRPr="00FA7958">
        <w:rPr>
          <w:rFonts w:asciiTheme="minorHAnsi" w:hAnsiTheme="minorHAnsi"/>
          <w:snapToGrid w:val="0"/>
        </w:rPr>
        <w:t xml:space="preserve">indication </w:t>
      </w:r>
      <w:r w:rsidR="00D4484E" w:rsidRPr="00FA7958">
        <w:rPr>
          <w:rFonts w:asciiTheme="minorHAnsi" w:hAnsiTheme="minorHAnsi"/>
          <w:snapToGrid w:val="0"/>
        </w:rPr>
        <w:t xml:space="preserve">in the second round </w:t>
      </w:r>
      <w:r w:rsidR="004154DB" w:rsidRPr="00FA7958">
        <w:rPr>
          <w:rFonts w:asciiTheme="minorHAnsi" w:hAnsiTheme="minorHAnsi"/>
          <w:snapToGrid w:val="0"/>
        </w:rPr>
        <w:t xml:space="preserve">to: </w:t>
      </w:r>
      <w:r w:rsidR="008A4B40">
        <w:rPr>
          <w:rFonts w:asciiTheme="minorHAnsi" w:hAnsiTheme="minorHAnsi"/>
          <w:snapToGrid w:val="0"/>
        </w:rPr>
        <w:t>‘</w:t>
      </w:r>
      <w:r w:rsidR="004154DB" w:rsidRPr="00FA7958">
        <w:rPr>
          <w:rFonts w:asciiTheme="minorHAnsi" w:hAnsiTheme="minorHAnsi"/>
          <w:snapToGrid w:val="0"/>
        </w:rPr>
        <w:t xml:space="preserve">COLUMVI in combination with gemcitabine and oxaliplatin with obinutuzumab </w:t>
      </w:r>
      <w:r w:rsidR="008C0556" w:rsidRPr="00FA7958">
        <w:rPr>
          <w:rFonts w:asciiTheme="minorHAnsi" w:hAnsiTheme="minorHAnsi"/>
          <w:snapToGrid w:val="0"/>
        </w:rPr>
        <w:t>pretreatment</w:t>
      </w:r>
      <w:r w:rsidR="004154DB" w:rsidRPr="00FA7958">
        <w:rPr>
          <w:rFonts w:asciiTheme="minorHAnsi" w:hAnsiTheme="minorHAnsi"/>
          <w:snapToGrid w:val="0"/>
        </w:rPr>
        <w:t xml:space="preserve"> is indicated for the treatment of adult patients with relapsed or refractory diffuse large B-cell lymphoma not otherwise specified (DLBCL NOS) who are not candidates for autologous stem cell transplant (ASCT). COLUMVI is not indicated for the treatment of patients with primary central nervous system </w:t>
      </w:r>
      <w:r w:rsidR="004154DB" w:rsidRPr="009825E7">
        <w:rPr>
          <w:rFonts w:asciiTheme="minorHAnsi" w:hAnsiTheme="minorHAnsi"/>
          <w:snapToGrid w:val="0"/>
        </w:rPr>
        <w:t>lymphoma,</w:t>
      </w:r>
      <w:r w:rsidR="008A4B40" w:rsidRPr="009825E7">
        <w:rPr>
          <w:rFonts w:asciiTheme="minorHAnsi" w:hAnsiTheme="minorHAnsi"/>
          <w:snapToGrid w:val="0"/>
        </w:rPr>
        <w:t>’</w:t>
      </w:r>
      <w:r w:rsidR="004154DB" w:rsidRPr="009825E7">
        <w:rPr>
          <w:rFonts w:asciiTheme="minorHAnsi" w:hAnsiTheme="minorHAnsi"/>
          <w:snapToGrid w:val="0"/>
        </w:rPr>
        <w:t xml:space="preserve"> which was considered satisfactory (TGA CER).</w:t>
      </w:r>
    </w:p>
    <w:p w14:paraId="13699D9F" w14:textId="71FDA0C7" w:rsidR="00982F58" w:rsidRPr="009825E7" w:rsidRDefault="00982F58" w:rsidP="004154DB">
      <w:pPr>
        <w:numPr>
          <w:ilvl w:val="1"/>
          <w:numId w:val="1"/>
        </w:numPr>
        <w:spacing w:before="60" w:after="60"/>
        <w:rPr>
          <w:rFonts w:asciiTheme="minorHAnsi" w:hAnsiTheme="minorHAnsi"/>
          <w:snapToGrid w:val="0"/>
        </w:rPr>
      </w:pPr>
      <w:bookmarkStart w:id="12" w:name="_Ref200980614"/>
      <w:bookmarkStart w:id="13" w:name="_Ref203659117"/>
      <w:r w:rsidRPr="009825E7">
        <w:rPr>
          <w:rFonts w:asciiTheme="minorHAnsi" w:hAnsiTheme="minorHAnsi"/>
          <w:snapToGrid w:val="0"/>
        </w:rPr>
        <w:t xml:space="preserve">The </w:t>
      </w:r>
      <w:r w:rsidR="00D26DE2" w:rsidRPr="009825E7">
        <w:rPr>
          <w:rFonts w:asciiTheme="minorHAnsi" w:hAnsiTheme="minorHAnsi"/>
          <w:snapToGrid w:val="0"/>
        </w:rPr>
        <w:t xml:space="preserve">TGA </w:t>
      </w:r>
      <w:r w:rsidRPr="009825E7">
        <w:rPr>
          <w:rFonts w:asciiTheme="minorHAnsi" w:hAnsiTheme="minorHAnsi"/>
          <w:snapToGrid w:val="0"/>
        </w:rPr>
        <w:t xml:space="preserve">Delegate’s Overview </w:t>
      </w:r>
      <w:r w:rsidR="00AC5430" w:rsidRPr="009825E7">
        <w:rPr>
          <w:rFonts w:asciiTheme="minorHAnsi" w:hAnsiTheme="minorHAnsi"/>
          <w:snapToGrid w:val="0"/>
        </w:rPr>
        <w:t>stated that the Delegate was incl</w:t>
      </w:r>
      <w:r w:rsidR="004A4FD3" w:rsidRPr="009825E7">
        <w:rPr>
          <w:rFonts w:asciiTheme="minorHAnsi" w:hAnsiTheme="minorHAnsi"/>
          <w:snapToGrid w:val="0"/>
        </w:rPr>
        <w:t>in</w:t>
      </w:r>
      <w:r w:rsidR="00AC5430" w:rsidRPr="009825E7">
        <w:rPr>
          <w:rFonts w:asciiTheme="minorHAnsi" w:hAnsiTheme="minorHAnsi"/>
          <w:snapToGrid w:val="0"/>
        </w:rPr>
        <w:t xml:space="preserve">ed to </w:t>
      </w:r>
      <w:r w:rsidR="004A4FD3" w:rsidRPr="009825E7">
        <w:rPr>
          <w:rFonts w:asciiTheme="minorHAnsi" w:hAnsiTheme="minorHAnsi"/>
          <w:snapToGrid w:val="0"/>
        </w:rPr>
        <w:t xml:space="preserve">recommend </w:t>
      </w:r>
      <w:r w:rsidR="00AC5430" w:rsidRPr="009825E7">
        <w:rPr>
          <w:rFonts w:asciiTheme="minorHAnsi" w:hAnsiTheme="minorHAnsi"/>
          <w:snapToGrid w:val="0"/>
        </w:rPr>
        <w:t>approv</w:t>
      </w:r>
      <w:r w:rsidR="004A4FD3" w:rsidRPr="009825E7">
        <w:rPr>
          <w:rFonts w:asciiTheme="minorHAnsi" w:hAnsiTheme="minorHAnsi"/>
          <w:snapToGrid w:val="0"/>
        </w:rPr>
        <w:t>al of</w:t>
      </w:r>
      <w:r w:rsidR="00AC5430" w:rsidRPr="009825E7">
        <w:rPr>
          <w:rFonts w:asciiTheme="minorHAnsi" w:hAnsiTheme="minorHAnsi"/>
          <w:snapToGrid w:val="0"/>
        </w:rPr>
        <w:t xml:space="preserve"> the updated indication, but advice </w:t>
      </w:r>
      <w:r w:rsidR="00BB4098" w:rsidRPr="009825E7">
        <w:rPr>
          <w:rFonts w:asciiTheme="minorHAnsi" w:hAnsiTheme="minorHAnsi"/>
          <w:snapToGrid w:val="0"/>
        </w:rPr>
        <w:t xml:space="preserve">was sought </w:t>
      </w:r>
      <w:r w:rsidR="00AC5430" w:rsidRPr="009825E7">
        <w:rPr>
          <w:rFonts w:asciiTheme="minorHAnsi" w:hAnsiTheme="minorHAnsi"/>
          <w:snapToGrid w:val="0"/>
        </w:rPr>
        <w:t>from the ACM</w:t>
      </w:r>
      <w:r w:rsidR="000B38AB" w:rsidRPr="009825E7">
        <w:rPr>
          <w:rFonts w:asciiTheme="minorHAnsi" w:hAnsiTheme="minorHAnsi"/>
          <w:snapToGrid w:val="0"/>
        </w:rPr>
        <w:t xml:space="preserve"> on</w:t>
      </w:r>
      <w:r w:rsidR="00AC5430" w:rsidRPr="009825E7">
        <w:rPr>
          <w:rFonts w:asciiTheme="minorHAnsi" w:hAnsiTheme="minorHAnsi"/>
          <w:snapToGrid w:val="0"/>
        </w:rPr>
        <w:t xml:space="preserve"> </w:t>
      </w:r>
      <w:bookmarkEnd w:id="12"/>
      <w:r w:rsidR="00CC68E6" w:rsidRPr="009825E7">
        <w:rPr>
          <w:rFonts w:asciiTheme="minorHAnsi" w:hAnsiTheme="minorHAnsi"/>
          <w:snapToGrid w:val="0"/>
        </w:rPr>
        <w:t>the following issues:</w:t>
      </w:r>
      <w:bookmarkEnd w:id="13"/>
      <w:r w:rsidR="00CC68E6" w:rsidRPr="009825E7">
        <w:rPr>
          <w:rFonts w:asciiTheme="minorHAnsi" w:hAnsiTheme="minorHAnsi"/>
          <w:snapToGrid w:val="0"/>
        </w:rPr>
        <w:t xml:space="preserve"> </w:t>
      </w:r>
    </w:p>
    <w:p w14:paraId="7FE0A55F" w14:textId="6898B5B0" w:rsidR="009C3BC6" w:rsidRDefault="00AC5430" w:rsidP="00DF71FB">
      <w:pPr>
        <w:numPr>
          <w:ilvl w:val="0"/>
          <w:numId w:val="17"/>
        </w:numPr>
        <w:spacing w:before="60" w:after="60"/>
        <w:rPr>
          <w:rFonts w:asciiTheme="minorHAnsi" w:hAnsiTheme="minorHAnsi"/>
          <w:snapToGrid w:val="0"/>
        </w:rPr>
      </w:pPr>
      <w:r w:rsidRPr="008E0BE7">
        <w:rPr>
          <w:rFonts w:asciiTheme="minorHAnsi" w:hAnsiTheme="minorHAnsi"/>
          <w:snapToGrid w:val="0"/>
        </w:rPr>
        <w:t xml:space="preserve">There were concerning trends identified </w:t>
      </w:r>
      <w:r w:rsidR="00230F6D" w:rsidRPr="008E0BE7">
        <w:rPr>
          <w:rFonts w:asciiTheme="minorHAnsi" w:hAnsiTheme="minorHAnsi"/>
          <w:snapToGrid w:val="0"/>
        </w:rPr>
        <w:t>in</w:t>
      </w:r>
      <w:r w:rsidRPr="008E0BE7">
        <w:rPr>
          <w:rFonts w:asciiTheme="minorHAnsi" w:hAnsiTheme="minorHAnsi"/>
          <w:snapToGrid w:val="0"/>
        </w:rPr>
        <w:t xml:space="preserve"> post-hoc subgroup analysis of STARGLO, which suggested an adverse survival impact in North America and Europe. Though extensive additional </w:t>
      </w:r>
      <w:r w:rsidR="009C3BC6" w:rsidRPr="008E0BE7">
        <w:rPr>
          <w:rFonts w:asciiTheme="minorHAnsi" w:hAnsiTheme="minorHAnsi"/>
          <w:snapToGrid w:val="0"/>
        </w:rPr>
        <w:t xml:space="preserve">descriptive </w:t>
      </w:r>
      <w:r w:rsidRPr="008E0BE7">
        <w:rPr>
          <w:rFonts w:asciiTheme="minorHAnsi" w:hAnsiTheme="minorHAnsi"/>
          <w:snapToGrid w:val="0"/>
        </w:rPr>
        <w:t>analyses</w:t>
      </w:r>
      <w:r w:rsidR="009C3BC6" w:rsidRPr="008E0BE7">
        <w:rPr>
          <w:rFonts w:asciiTheme="minorHAnsi" w:hAnsiTheme="minorHAnsi"/>
          <w:snapToGrid w:val="0"/>
        </w:rPr>
        <w:t xml:space="preserve"> suggested that multiple factors within the subpopulations may have confounded the results, the Delegate</w:t>
      </w:r>
      <w:r w:rsidR="009C3BC6" w:rsidRPr="009825E7">
        <w:rPr>
          <w:rFonts w:asciiTheme="minorHAnsi" w:hAnsiTheme="minorHAnsi"/>
          <w:snapToGrid w:val="0"/>
        </w:rPr>
        <w:t xml:space="preserve"> </w:t>
      </w:r>
      <w:r w:rsidR="00BD6E95" w:rsidRPr="00DB2C39">
        <w:rPr>
          <w:rFonts w:asciiTheme="minorHAnsi" w:hAnsiTheme="minorHAnsi"/>
          <w:snapToGrid w:val="0"/>
          <w:color w:val="000000"/>
          <w:w w:val="61"/>
          <w:shd w:val="solid" w:color="000000" w:fill="000000"/>
          <w:fitText w:val="472" w:id="-632054015"/>
          <w14:textFill>
            <w14:solidFill>
              <w14:srgbClr w14:val="000000">
                <w14:alpha w14:val="100000"/>
              </w14:srgbClr>
            </w14:solidFill>
          </w14:textFill>
        </w:rPr>
        <w:t>|||  ||</w:t>
      </w:r>
      <w:r w:rsidR="00BD6E95" w:rsidRPr="00DB2C39">
        <w:rPr>
          <w:rFonts w:asciiTheme="minorHAnsi" w:hAnsiTheme="minorHAnsi"/>
          <w:snapToGrid w:val="0"/>
          <w:color w:val="000000"/>
          <w:spacing w:val="2"/>
          <w:w w:val="61"/>
          <w:shd w:val="solid" w:color="000000" w:fill="000000"/>
          <w:fitText w:val="472" w:id="-632054015"/>
          <w14:textFill>
            <w14:solidFill>
              <w14:srgbClr w14:val="000000">
                <w14:alpha w14:val="100000"/>
              </w14:srgbClr>
            </w14:solidFill>
          </w14:textFill>
        </w:rPr>
        <w:t>|</w:t>
      </w:r>
      <w:r w:rsidR="003E22B4" w:rsidRPr="009825E7">
        <w:rPr>
          <w:rFonts w:asciiTheme="minorHAnsi" w:hAnsiTheme="minorHAnsi"/>
          <w:snapToGrid w:val="0"/>
        </w:rPr>
        <w:t xml:space="preserve"> The pre-PBAC response) </w:t>
      </w:r>
      <w:r w:rsidR="00507990" w:rsidRPr="009825E7">
        <w:rPr>
          <w:rFonts w:asciiTheme="minorHAnsi" w:hAnsiTheme="minorHAnsi"/>
          <w:snapToGrid w:val="0"/>
        </w:rPr>
        <w:t xml:space="preserve">noted that </w:t>
      </w:r>
      <w:r w:rsidR="00BD6E95" w:rsidRPr="00DB2C39">
        <w:rPr>
          <w:rFonts w:asciiTheme="minorHAnsi" w:hAnsiTheme="minorHAnsi"/>
          <w:snapToGrid w:val="0"/>
          <w:color w:val="000000"/>
          <w:w w:val="61"/>
          <w:shd w:val="solid" w:color="000000" w:fill="000000"/>
          <w:fitText w:val="472" w:id="-632054014"/>
          <w14:textFill>
            <w14:solidFill>
              <w14:srgbClr w14:val="000000">
                <w14:alpha w14:val="100000"/>
              </w14:srgbClr>
            </w14:solidFill>
          </w14:textFill>
        </w:rPr>
        <w:t>|||  ||</w:t>
      </w:r>
      <w:r w:rsidR="00BD6E95" w:rsidRPr="00DB2C39">
        <w:rPr>
          <w:rFonts w:asciiTheme="minorHAnsi" w:hAnsiTheme="minorHAnsi"/>
          <w:snapToGrid w:val="0"/>
          <w:color w:val="000000"/>
          <w:spacing w:val="2"/>
          <w:w w:val="61"/>
          <w:shd w:val="solid" w:color="000000" w:fill="000000"/>
          <w:fitText w:val="472" w:id="-632054014"/>
          <w14:textFill>
            <w14:solidFill>
              <w14:srgbClr w14:val="000000">
                <w14:alpha w14:val="100000"/>
              </w14:srgbClr>
            </w14:solidFill>
          </w14:textFill>
        </w:rPr>
        <w:t>|</w:t>
      </w:r>
    </w:p>
    <w:p w14:paraId="4634A016" w14:textId="2B9F7387" w:rsidR="0074762F" w:rsidRPr="009825E7" w:rsidRDefault="00C54603" w:rsidP="007368C9">
      <w:pPr>
        <w:numPr>
          <w:ilvl w:val="0"/>
          <w:numId w:val="17"/>
        </w:numPr>
        <w:spacing w:before="60" w:after="60"/>
        <w:rPr>
          <w:rFonts w:asciiTheme="minorHAnsi" w:hAnsiTheme="minorHAnsi"/>
          <w:snapToGrid w:val="0"/>
        </w:rPr>
      </w:pPr>
      <w:r w:rsidRPr="00C54603">
        <w:rPr>
          <w:rFonts w:asciiTheme="minorHAnsi" w:hAnsiTheme="minorHAnsi"/>
          <w:snapToGrid w:val="0"/>
        </w:rPr>
        <w:lastRenderedPageBreak/>
        <w:t xml:space="preserve">The sponsor proposed </w:t>
      </w:r>
      <w:r w:rsidR="00BD6E95" w:rsidRPr="00DB2C39">
        <w:rPr>
          <w:rFonts w:asciiTheme="minorHAnsi" w:hAnsiTheme="minorHAnsi"/>
          <w:snapToGrid w:val="0"/>
          <w:color w:val="000000"/>
          <w:w w:val="61"/>
          <w:shd w:val="solid" w:color="000000" w:fill="000000"/>
          <w:fitText w:val="472" w:id="-632054013"/>
          <w14:textFill>
            <w14:solidFill>
              <w14:srgbClr w14:val="000000">
                <w14:alpha w14:val="100000"/>
              </w14:srgbClr>
            </w14:solidFill>
          </w14:textFill>
        </w:rPr>
        <w:t>|||  ||</w:t>
      </w:r>
      <w:r w:rsidR="00BD6E95" w:rsidRPr="00DB2C39">
        <w:rPr>
          <w:rFonts w:asciiTheme="minorHAnsi" w:hAnsiTheme="minorHAnsi"/>
          <w:snapToGrid w:val="0"/>
          <w:color w:val="000000"/>
          <w:spacing w:val="2"/>
          <w:w w:val="61"/>
          <w:shd w:val="solid" w:color="000000" w:fill="000000"/>
          <w:fitText w:val="472" w:id="-632054013"/>
          <w14:textFill>
            <w14:solidFill>
              <w14:srgbClr w14:val="000000">
                <w14:alpha w14:val="100000"/>
              </w14:srgbClr>
            </w14:solidFill>
          </w14:textFill>
        </w:rPr>
        <w:t>|</w:t>
      </w:r>
      <w:r w:rsidRPr="00C54603">
        <w:rPr>
          <w:rFonts w:asciiTheme="minorHAnsi" w:hAnsiTheme="minorHAnsi"/>
          <w:snapToGrid w:val="0"/>
        </w:rPr>
        <w:t xml:space="preserve">. The Delegate was concerned </w:t>
      </w:r>
      <w:r w:rsidR="00BD6E95" w:rsidRPr="00DB2C39">
        <w:rPr>
          <w:rFonts w:asciiTheme="minorHAnsi" w:hAnsiTheme="minorHAnsi"/>
          <w:snapToGrid w:val="0"/>
          <w:color w:val="000000"/>
          <w:w w:val="61"/>
          <w:shd w:val="solid" w:color="000000" w:fill="000000"/>
          <w:fitText w:val="472" w:id="-632054012"/>
          <w14:textFill>
            <w14:solidFill>
              <w14:srgbClr w14:val="000000">
                <w14:alpha w14:val="100000"/>
              </w14:srgbClr>
            </w14:solidFill>
          </w14:textFill>
        </w:rPr>
        <w:t>|||  ||</w:t>
      </w:r>
      <w:r w:rsidR="00BD6E95" w:rsidRPr="00DB2C39">
        <w:rPr>
          <w:rFonts w:asciiTheme="minorHAnsi" w:hAnsiTheme="minorHAnsi"/>
          <w:snapToGrid w:val="0"/>
          <w:color w:val="000000"/>
          <w:spacing w:val="2"/>
          <w:w w:val="61"/>
          <w:shd w:val="solid" w:color="000000" w:fill="000000"/>
          <w:fitText w:val="472" w:id="-632054012"/>
          <w14:textFill>
            <w14:solidFill>
              <w14:srgbClr w14:val="000000">
                <w14:alpha w14:val="100000"/>
              </w14:srgbClr>
            </w14:solidFill>
          </w14:textFill>
        </w:rPr>
        <w:t>|</w:t>
      </w:r>
      <w:r w:rsidRPr="00C54603">
        <w:rPr>
          <w:rFonts w:asciiTheme="minorHAnsi" w:hAnsiTheme="minorHAnsi"/>
          <w:snapToGrid w:val="0"/>
        </w:rPr>
        <w:t xml:space="preserve">. The PBAC noted </w:t>
      </w:r>
      <w:r w:rsidR="00BD6E95" w:rsidRPr="00DB2C39">
        <w:rPr>
          <w:rFonts w:asciiTheme="minorHAnsi" w:hAnsiTheme="minorHAnsi"/>
          <w:snapToGrid w:val="0"/>
          <w:color w:val="000000"/>
          <w:w w:val="61"/>
          <w:shd w:val="solid" w:color="000000" w:fill="000000"/>
          <w:fitText w:val="472" w:id="-632054011"/>
          <w14:textFill>
            <w14:solidFill>
              <w14:srgbClr w14:val="000000">
                <w14:alpha w14:val="100000"/>
              </w14:srgbClr>
            </w14:solidFill>
          </w14:textFill>
        </w:rPr>
        <w:t>|||  ||</w:t>
      </w:r>
      <w:r w:rsidR="00BD6E95" w:rsidRPr="00DB2C39">
        <w:rPr>
          <w:rFonts w:asciiTheme="minorHAnsi" w:hAnsiTheme="minorHAnsi"/>
          <w:snapToGrid w:val="0"/>
          <w:color w:val="000000"/>
          <w:spacing w:val="2"/>
          <w:w w:val="61"/>
          <w:shd w:val="solid" w:color="000000" w:fill="000000"/>
          <w:fitText w:val="472" w:id="-632054011"/>
          <w14:textFill>
            <w14:solidFill>
              <w14:srgbClr w14:val="000000">
                <w14:alpha w14:val="100000"/>
              </w14:srgbClr>
            </w14:solidFill>
          </w14:textFill>
        </w:rPr>
        <w:t>|</w:t>
      </w:r>
      <w:r w:rsidR="008A6402" w:rsidRPr="009825E7">
        <w:rPr>
          <w:rFonts w:asciiTheme="minorHAnsi" w:hAnsiTheme="minorHAnsi"/>
          <w:snapToGrid w:val="0"/>
        </w:rPr>
        <w:t xml:space="preserve">but G-CSF was administered to all patients in </w:t>
      </w:r>
      <w:r w:rsidR="00876B53" w:rsidRPr="009825E7">
        <w:rPr>
          <w:rFonts w:asciiTheme="minorHAnsi" w:hAnsiTheme="minorHAnsi"/>
          <w:snapToGrid w:val="0"/>
        </w:rPr>
        <w:t xml:space="preserve">STARGLO </w:t>
      </w:r>
      <w:r w:rsidR="004A4FD3" w:rsidRPr="009825E7">
        <w:rPr>
          <w:rFonts w:asciiTheme="minorHAnsi" w:hAnsiTheme="minorHAnsi"/>
          <w:snapToGrid w:val="0"/>
        </w:rPr>
        <w:t>for two cycles</w:t>
      </w:r>
      <w:r w:rsidR="00876B53" w:rsidRPr="009825E7">
        <w:rPr>
          <w:rFonts w:asciiTheme="minorHAnsi" w:hAnsiTheme="minorHAnsi"/>
          <w:snapToGrid w:val="0"/>
        </w:rPr>
        <w:t>, with further doses at</w:t>
      </w:r>
      <w:r w:rsidR="004A4FD3" w:rsidRPr="009825E7">
        <w:rPr>
          <w:rFonts w:asciiTheme="minorHAnsi" w:hAnsiTheme="minorHAnsi"/>
          <w:snapToGrid w:val="0"/>
        </w:rPr>
        <w:t xml:space="preserve"> investigator </w:t>
      </w:r>
      <w:r w:rsidR="00876B53" w:rsidRPr="009825E7">
        <w:rPr>
          <w:rFonts w:asciiTheme="minorHAnsi" w:hAnsiTheme="minorHAnsi"/>
          <w:snapToGrid w:val="0"/>
        </w:rPr>
        <w:t>discretion</w:t>
      </w:r>
      <w:r w:rsidR="008A6402" w:rsidRPr="009825E7">
        <w:rPr>
          <w:rFonts w:asciiTheme="minorHAnsi" w:hAnsiTheme="minorHAnsi"/>
          <w:snapToGrid w:val="0"/>
        </w:rPr>
        <w:t>.</w:t>
      </w:r>
    </w:p>
    <w:p w14:paraId="721C668B" w14:textId="283010D3" w:rsidR="008A6402" w:rsidRPr="00FA7958" w:rsidRDefault="008A6402" w:rsidP="007368C9">
      <w:pPr>
        <w:numPr>
          <w:ilvl w:val="0"/>
          <w:numId w:val="17"/>
        </w:numPr>
        <w:spacing w:before="60" w:after="60"/>
        <w:rPr>
          <w:rFonts w:asciiTheme="minorHAnsi" w:hAnsiTheme="minorHAnsi"/>
          <w:snapToGrid w:val="0"/>
        </w:rPr>
      </w:pPr>
      <w:r w:rsidRPr="009825E7">
        <w:rPr>
          <w:rFonts w:asciiTheme="minorHAnsi" w:hAnsiTheme="minorHAnsi"/>
          <w:snapToGrid w:val="0"/>
        </w:rPr>
        <w:t>Patients in the comparator arm of STARGLO (R-</w:t>
      </w:r>
      <w:proofErr w:type="spellStart"/>
      <w:r w:rsidRPr="009825E7">
        <w:rPr>
          <w:rFonts w:asciiTheme="minorHAnsi" w:hAnsiTheme="minorHAnsi"/>
          <w:snapToGrid w:val="0"/>
        </w:rPr>
        <w:t>GemOx</w:t>
      </w:r>
      <w:proofErr w:type="spellEnd"/>
      <w:r w:rsidRPr="009825E7">
        <w:rPr>
          <w:rFonts w:asciiTheme="minorHAnsi" w:hAnsiTheme="minorHAnsi"/>
          <w:snapToGrid w:val="0"/>
        </w:rPr>
        <w:t xml:space="preserve"> administered over 3 weekly cycles) received a lower dose of R-</w:t>
      </w:r>
      <w:proofErr w:type="spellStart"/>
      <w:r w:rsidRPr="009825E7">
        <w:rPr>
          <w:rFonts w:asciiTheme="minorHAnsi" w:hAnsiTheme="minorHAnsi"/>
          <w:snapToGrid w:val="0"/>
        </w:rPr>
        <w:t>GemOx</w:t>
      </w:r>
      <w:proofErr w:type="spellEnd"/>
      <w:r w:rsidRPr="009825E7">
        <w:rPr>
          <w:rFonts w:asciiTheme="minorHAnsi" w:hAnsiTheme="minorHAnsi"/>
          <w:snapToGrid w:val="0"/>
        </w:rPr>
        <w:t xml:space="preserve"> than recommended in Australian guidelines (R-</w:t>
      </w:r>
      <w:proofErr w:type="spellStart"/>
      <w:r w:rsidRPr="009825E7">
        <w:rPr>
          <w:rFonts w:asciiTheme="minorHAnsi" w:hAnsiTheme="minorHAnsi"/>
          <w:snapToGrid w:val="0"/>
        </w:rPr>
        <w:t>GemOx</w:t>
      </w:r>
      <w:proofErr w:type="spellEnd"/>
      <w:r w:rsidRPr="009825E7">
        <w:rPr>
          <w:rFonts w:asciiTheme="minorHAnsi" w:hAnsiTheme="minorHAnsi"/>
          <w:snapToGrid w:val="0"/>
        </w:rPr>
        <w:t xml:space="preserve"> administered over 2 weekly cycles). </w:t>
      </w:r>
      <w:r w:rsidR="00BD6E95" w:rsidRPr="00BD6E95">
        <w:rPr>
          <w:rFonts w:asciiTheme="minorHAnsi" w:hAnsiTheme="minorHAnsi"/>
          <w:snapToGrid w:val="0"/>
          <w:color w:val="000000"/>
          <w:w w:val="61"/>
          <w:shd w:val="solid" w:color="000000" w:fill="000000"/>
          <w:fitText w:val="472" w:id="-632054010"/>
          <w14:textFill>
            <w14:solidFill>
              <w14:srgbClr w14:val="000000">
                <w14:alpha w14:val="100000"/>
              </w14:srgbClr>
            </w14:solidFill>
          </w14:textFill>
        </w:rPr>
        <w:t>|||  ||</w:t>
      </w:r>
      <w:r w:rsidR="00BD6E95" w:rsidRPr="00BD6E95">
        <w:rPr>
          <w:rFonts w:asciiTheme="minorHAnsi" w:hAnsiTheme="minorHAnsi"/>
          <w:snapToGrid w:val="0"/>
          <w:color w:val="000000"/>
          <w:spacing w:val="2"/>
          <w:w w:val="61"/>
          <w:shd w:val="solid" w:color="000000" w:fill="000000"/>
          <w:fitText w:val="472" w:id="-632054010"/>
          <w14:textFill>
            <w14:solidFill>
              <w14:srgbClr w14:val="000000">
                <w14:alpha w14:val="100000"/>
              </w14:srgbClr>
            </w14:solidFill>
          </w14:textFill>
        </w:rPr>
        <w:t>|</w:t>
      </w:r>
      <w:r w:rsidR="004977D9" w:rsidRPr="009825E7">
        <w:rPr>
          <w:rFonts w:asciiTheme="minorHAnsi" w:hAnsiTheme="minorHAnsi"/>
          <w:snapToGrid w:val="0"/>
        </w:rPr>
        <w:t xml:space="preserve">The pre-PBAC response </w:t>
      </w:r>
      <w:r w:rsidR="00A63380" w:rsidRPr="009825E7">
        <w:rPr>
          <w:rFonts w:asciiTheme="minorHAnsi" w:hAnsiTheme="minorHAnsi"/>
          <w:snapToGrid w:val="0"/>
        </w:rPr>
        <w:t>stated</w:t>
      </w:r>
      <w:r w:rsidR="004977D9" w:rsidRPr="009825E7">
        <w:rPr>
          <w:rFonts w:asciiTheme="minorHAnsi" w:hAnsiTheme="minorHAnsi"/>
          <w:snapToGrid w:val="0"/>
        </w:rPr>
        <w:t xml:space="preserve"> that </w:t>
      </w:r>
      <w:r w:rsidR="00BD6E95" w:rsidRPr="00BD6E95">
        <w:rPr>
          <w:rFonts w:asciiTheme="minorHAnsi" w:hAnsiTheme="minorHAnsi"/>
          <w:snapToGrid w:val="0"/>
          <w:color w:val="000000"/>
          <w:w w:val="61"/>
          <w:shd w:val="solid" w:color="000000" w:fill="000000"/>
          <w:fitText w:val="472" w:id="-632054009"/>
          <w14:textFill>
            <w14:solidFill>
              <w14:srgbClr w14:val="000000">
                <w14:alpha w14:val="100000"/>
              </w14:srgbClr>
            </w14:solidFill>
          </w14:textFill>
        </w:rPr>
        <w:t>|||  ||</w:t>
      </w:r>
      <w:r w:rsidR="00BD6E95" w:rsidRPr="00BD6E95">
        <w:rPr>
          <w:rFonts w:asciiTheme="minorHAnsi" w:hAnsiTheme="minorHAnsi"/>
          <w:snapToGrid w:val="0"/>
          <w:color w:val="000000"/>
          <w:spacing w:val="2"/>
          <w:w w:val="61"/>
          <w:shd w:val="solid" w:color="000000" w:fill="000000"/>
          <w:fitText w:val="472" w:id="-632054009"/>
          <w14:textFill>
            <w14:solidFill>
              <w14:srgbClr w14:val="000000">
                <w14:alpha w14:val="100000"/>
              </w14:srgbClr>
            </w14:solidFill>
          </w14:textFill>
        </w:rPr>
        <w:t>|</w:t>
      </w:r>
    </w:p>
    <w:p w14:paraId="70C11786" w14:textId="599DBD07" w:rsidR="004154DB" w:rsidRDefault="004154DB" w:rsidP="004154DB">
      <w:pPr>
        <w:numPr>
          <w:ilvl w:val="1"/>
          <w:numId w:val="1"/>
        </w:numPr>
        <w:spacing w:before="60" w:after="60"/>
        <w:rPr>
          <w:rFonts w:asciiTheme="minorHAnsi" w:hAnsiTheme="minorHAnsi"/>
          <w:snapToGrid w:val="0"/>
        </w:rPr>
      </w:pPr>
      <w:r w:rsidRPr="00FA7958">
        <w:rPr>
          <w:rFonts w:asciiTheme="minorHAnsi" w:hAnsiTheme="minorHAnsi"/>
          <w:snapToGrid w:val="0"/>
        </w:rPr>
        <w:t>Glofitamab monotherapy (</w:t>
      </w:r>
      <w:r w:rsidR="00D4484E" w:rsidRPr="00FA7958">
        <w:rPr>
          <w:rFonts w:asciiTheme="minorHAnsi" w:hAnsiTheme="minorHAnsi"/>
          <w:snapToGrid w:val="0"/>
        </w:rPr>
        <w:t xml:space="preserve">including </w:t>
      </w:r>
      <w:r w:rsidRPr="00FA7958">
        <w:rPr>
          <w:rFonts w:asciiTheme="minorHAnsi" w:hAnsiTheme="minorHAnsi"/>
          <w:snapToGrid w:val="0"/>
        </w:rPr>
        <w:t xml:space="preserve">obinutuzumab </w:t>
      </w:r>
      <w:r w:rsidR="008C0556" w:rsidRPr="00FA7958">
        <w:rPr>
          <w:rFonts w:asciiTheme="minorHAnsi" w:hAnsiTheme="minorHAnsi"/>
          <w:snapToGrid w:val="0"/>
        </w:rPr>
        <w:t>pre-treatment</w:t>
      </w:r>
      <w:r w:rsidRPr="00FA7958">
        <w:rPr>
          <w:rFonts w:asciiTheme="minorHAnsi" w:hAnsiTheme="minorHAnsi"/>
          <w:snapToGrid w:val="0"/>
        </w:rPr>
        <w:t xml:space="preserve">) </w:t>
      </w:r>
      <w:r w:rsidR="003D7963" w:rsidRPr="00FA7958">
        <w:rPr>
          <w:rFonts w:asciiTheme="minorHAnsi" w:hAnsiTheme="minorHAnsi"/>
          <w:snapToGrid w:val="0"/>
        </w:rPr>
        <w:t xml:space="preserve">was </w:t>
      </w:r>
      <w:r w:rsidRPr="00FA7958">
        <w:rPr>
          <w:rFonts w:asciiTheme="minorHAnsi" w:hAnsiTheme="minorHAnsi"/>
          <w:snapToGrid w:val="0"/>
        </w:rPr>
        <w:t xml:space="preserve">provisionally registered on the ARTG </w:t>
      </w:r>
      <w:r w:rsidR="003D7963" w:rsidRPr="00FA7958">
        <w:rPr>
          <w:rFonts w:asciiTheme="minorHAnsi" w:hAnsiTheme="minorHAnsi"/>
          <w:snapToGrid w:val="0"/>
        </w:rPr>
        <w:t>on</w:t>
      </w:r>
      <w:r w:rsidRPr="00FA7958">
        <w:rPr>
          <w:rFonts w:asciiTheme="minorHAnsi" w:hAnsiTheme="minorHAnsi"/>
          <w:snapToGrid w:val="0"/>
        </w:rPr>
        <w:t xml:space="preserve"> 9 August 2023 for </w:t>
      </w:r>
      <w:r w:rsidR="003D7963" w:rsidRPr="00FA7958">
        <w:rPr>
          <w:rFonts w:asciiTheme="minorHAnsi" w:hAnsiTheme="minorHAnsi"/>
          <w:snapToGrid w:val="0"/>
        </w:rPr>
        <w:t xml:space="preserve">the </w:t>
      </w:r>
      <w:r w:rsidRPr="00FA7958">
        <w:rPr>
          <w:rFonts w:asciiTheme="minorHAnsi" w:hAnsiTheme="minorHAnsi"/>
          <w:snapToGrid w:val="0"/>
        </w:rPr>
        <w:t xml:space="preserve">treatment of R/R DLBCL after two or more lines of systemic therapy (i.e. the third-line setting for DLBCL), based on the complete response and overall response rate data from </w:t>
      </w:r>
      <w:r w:rsidR="003D7963" w:rsidRPr="00FA7958">
        <w:rPr>
          <w:rFonts w:asciiTheme="minorHAnsi" w:hAnsiTheme="minorHAnsi"/>
          <w:snapToGrid w:val="0"/>
        </w:rPr>
        <w:t>the NP30179 study (</w:t>
      </w:r>
      <w:r w:rsidRPr="00FA7958">
        <w:rPr>
          <w:rFonts w:asciiTheme="minorHAnsi" w:hAnsiTheme="minorHAnsi"/>
          <w:snapToGrid w:val="0"/>
        </w:rPr>
        <w:t>an uncontrolled, open label phase I/II study</w:t>
      </w:r>
      <w:r w:rsidR="003D7963" w:rsidRPr="00FA7958">
        <w:rPr>
          <w:rFonts w:asciiTheme="minorHAnsi" w:hAnsiTheme="minorHAnsi"/>
          <w:snapToGrid w:val="0"/>
        </w:rPr>
        <w:t>)</w:t>
      </w:r>
      <w:r w:rsidRPr="00FA7958">
        <w:rPr>
          <w:rFonts w:asciiTheme="minorHAnsi" w:hAnsiTheme="minorHAnsi"/>
          <w:snapToGrid w:val="0"/>
        </w:rPr>
        <w:t xml:space="preserve">. </w:t>
      </w:r>
      <w:r w:rsidR="003D7963" w:rsidRPr="00FA7958">
        <w:rPr>
          <w:rFonts w:asciiTheme="minorHAnsi" w:hAnsiTheme="minorHAnsi"/>
          <w:snapToGrid w:val="0"/>
        </w:rPr>
        <w:t>The indication stipulates that c</w:t>
      </w:r>
      <w:r w:rsidRPr="00FA7958">
        <w:rPr>
          <w:rFonts w:asciiTheme="minorHAnsi" w:hAnsiTheme="minorHAnsi"/>
          <w:snapToGrid w:val="0"/>
        </w:rPr>
        <w:t>ontinued approval of this indication depends on verification and description of benefit in confirmatory trials.</w:t>
      </w:r>
    </w:p>
    <w:p w14:paraId="1105A1CF" w14:textId="604BD827" w:rsidR="00A975A4" w:rsidRPr="005C5007" w:rsidRDefault="00A975A4" w:rsidP="005C5007">
      <w:pPr>
        <w:ind w:firstLine="709"/>
        <w:rPr>
          <w:rFonts w:asciiTheme="minorHAnsi" w:hAnsiTheme="minorHAnsi"/>
          <w:i/>
        </w:rPr>
      </w:pPr>
      <w:bookmarkStart w:id="14" w:name="_Hlk76375324"/>
      <w:r w:rsidRPr="00C33D30">
        <w:rPr>
          <w:rFonts w:asciiTheme="minorHAnsi" w:hAnsiTheme="minorHAnsi"/>
          <w:i/>
        </w:rPr>
        <w:t>For more detail on PBAC’s view, see section 7 PBAC outcome.</w:t>
      </w:r>
      <w:bookmarkEnd w:id="14"/>
    </w:p>
    <w:p w14:paraId="3AB05C7A" w14:textId="77777777" w:rsidR="004154DB" w:rsidRPr="00882085" w:rsidRDefault="004154DB" w:rsidP="00BD2D2E">
      <w:pPr>
        <w:pStyle w:val="PBACESHeading1"/>
      </w:pPr>
      <w:bookmarkStart w:id="15" w:name="_Toc107927622"/>
      <w:bookmarkStart w:id="16" w:name="_Toc198716593"/>
      <w:bookmarkEnd w:id="10"/>
      <w:bookmarkEnd w:id="11"/>
      <w:r w:rsidRPr="00407F2D">
        <w:t>Requested listing</w:t>
      </w:r>
      <w:bookmarkEnd w:id="15"/>
      <w:bookmarkEnd w:id="16"/>
    </w:p>
    <w:p w14:paraId="06C1E649" w14:textId="5A73B613" w:rsidR="00142F53" w:rsidRPr="005C5007" w:rsidRDefault="0081113C" w:rsidP="005C5007">
      <w:pPr>
        <w:numPr>
          <w:ilvl w:val="1"/>
          <w:numId w:val="1"/>
        </w:numPr>
        <w:spacing w:before="60" w:after="60"/>
        <w:rPr>
          <w:rFonts w:asciiTheme="minorHAnsi" w:hAnsiTheme="minorHAnsi"/>
          <w:snapToGrid w:val="0"/>
        </w:rPr>
      </w:pPr>
      <w:bookmarkStart w:id="17" w:name="_Toc107927623"/>
      <w:r w:rsidRPr="00F91542">
        <w:rPr>
          <w:rFonts w:asciiTheme="minorHAnsi" w:hAnsiTheme="minorHAnsi" w:cstheme="minorHAnsi"/>
          <w:iCs/>
        </w:rPr>
        <w:t>Suggestions and additions proposed by the Secretariat are added in italics and suggested deletions are crossed out with strikethrough</w:t>
      </w:r>
      <w:r w:rsidR="00142F53" w:rsidRPr="005C5007">
        <w:rPr>
          <w:rFonts w:asciiTheme="minorHAnsi" w:hAnsiTheme="minorHAnsi"/>
          <w:snapToGrid w:val="0"/>
        </w:rPr>
        <w:t>.</w:t>
      </w:r>
    </w:p>
    <w:p w14:paraId="644301A7" w14:textId="77777777" w:rsidR="005A4BF3" w:rsidRPr="00D61004" w:rsidRDefault="005A4BF3" w:rsidP="005A4BF3">
      <w:pPr>
        <w:keepNext/>
        <w:keepLines/>
        <w:rPr>
          <w:b/>
        </w:rPr>
      </w:pPr>
      <w:r w:rsidRPr="00D61004">
        <w:rPr>
          <w:b/>
        </w:rPr>
        <w:t>Obinutuzumab – single pre-treatment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823"/>
        <w:gridCol w:w="1973"/>
        <w:gridCol w:w="1973"/>
        <w:gridCol w:w="1977"/>
      </w:tblGrid>
      <w:tr w:rsidR="005A4BF3" w:rsidRPr="001428E9" w14:paraId="00F1EAEA" w14:textId="77777777" w:rsidTr="002178A9">
        <w:trPr>
          <w:cantSplit/>
          <w:trHeight w:val="20"/>
        </w:trPr>
        <w:tc>
          <w:tcPr>
            <w:tcW w:w="1716" w:type="pct"/>
            <w:gridSpan w:val="2"/>
            <w:vAlign w:val="center"/>
          </w:tcPr>
          <w:p w14:paraId="79A35482" w14:textId="77777777" w:rsidR="005A4BF3" w:rsidRPr="001428E9" w:rsidRDefault="005A4BF3" w:rsidP="002178A9">
            <w:pPr>
              <w:keepNext/>
              <w:keepLines/>
              <w:rPr>
                <w:rFonts w:ascii="Arial Narrow" w:hAnsi="Arial Narrow"/>
                <w:b/>
                <w:bCs/>
                <w:sz w:val="20"/>
                <w:szCs w:val="20"/>
              </w:rPr>
            </w:pPr>
            <w:r w:rsidRPr="001428E9">
              <w:rPr>
                <w:rFonts w:ascii="Arial Narrow" w:hAnsi="Arial Narrow"/>
                <w:b/>
                <w:bCs/>
                <w:sz w:val="20"/>
                <w:szCs w:val="20"/>
              </w:rPr>
              <w:t>MEDICINAL PRODUCT</w:t>
            </w:r>
          </w:p>
          <w:p w14:paraId="09EDEE33" w14:textId="77777777" w:rsidR="005A4BF3" w:rsidRPr="001428E9" w:rsidRDefault="005A4BF3" w:rsidP="002178A9">
            <w:pPr>
              <w:keepNext/>
              <w:keepLines/>
              <w:rPr>
                <w:rFonts w:ascii="Arial Narrow" w:hAnsi="Arial Narrow"/>
                <w:b/>
                <w:sz w:val="20"/>
                <w:szCs w:val="20"/>
              </w:rPr>
            </w:pPr>
            <w:r w:rsidRPr="001428E9">
              <w:rPr>
                <w:rFonts w:ascii="Arial Narrow" w:hAnsi="Arial Narrow"/>
                <w:b/>
                <w:sz w:val="20"/>
                <w:szCs w:val="20"/>
              </w:rPr>
              <w:t>Form</w:t>
            </w:r>
          </w:p>
        </w:tc>
        <w:tc>
          <w:tcPr>
            <w:tcW w:w="1094" w:type="pct"/>
            <w:vAlign w:val="center"/>
          </w:tcPr>
          <w:p w14:paraId="07D7CE75" w14:textId="77777777" w:rsidR="005A4BF3" w:rsidRPr="001428E9" w:rsidRDefault="005A4BF3" w:rsidP="002178A9">
            <w:pPr>
              <w:keepNext/>
              <w:keepLines/>
              <w:jc w:val="center"/>
              <w:rPr>
                <w:rFonts w:ascii="Arial Narrow" w:hAnsi="Arial Narrow"/>
                <w:b/>
                <w:sz w:val="20"/>
                <w:szCs w:val="20"/>
              </w:rPr>
            </w:pPr>
            <w:r w:rsidRPr="001428E9">
              <w:rPr>
                <w:rFonts w:ascii="Arial Narrow" w:hAnsi="Arial Narrow"/>
                <w:b/>
                <w:sz w:val="20"/>
                <w:szCs w:val="20"/>
              </w:rPr>
              <w:t>PBS item code</w:t>
            </w:r>
          </w:p>
        </w:tc>
        <w:tc>
          <w:tcPr>
            <w:tcW w:w="1094" w:type="pct"/>
            <w:vAlign w:val="center"/>
          </w:tcPr>
          <w:p w14:paraId="7D180D41" w14:textId="77777777" w:rsidR="005A4BF3" w:rsidRPr="001428E9" w:rsidRDefault="005A4BF3" w:rsidP="002178A9">
            <w:pPr>
              <w:keepNext/>
              <w:keepLines/>
              <w:jc w:val="center"/>
              <w:rPr>
                <w:rFonts w:ascii="Arial Narrow" w:hAnsi="Arial Narrow"/>
                <w:b/>
                <w:sz w:val="20"/>
                <w:szCs w:val="20"/>
              </w:rPr>
            </w:pPr>
            <w:r w:rsidRPr="001428E9">
              <w:rPr>
                <w:rFonts w:ascii="Arial Narrow" w:hAnsi="Arial Narrow"/>
                <w:b/>
                <w:sz w:val="20"/>
                <w:szCs w:val="20"/>
              </w:rPr>
              <w:t>Max.</w:t>
            </w:r>
            <w:r>
              <w:rPr>
                <w:rFonts w:ascii="Arial Narrow" w:hAnsi="Arial Narrow"/>
                <w:b/>
                <w:sz w:val="20"/>
                <w:szCs w:val="20"/>
              </w:rPr>
              <w:t xml:space="preserve"> </w:t>
            </w:r>
            <w:r w:rsidRPr="001428E9">
              <w:rPr>
                <w:rFonts w:ascii="Arial Narrow" w:hAnsi="Arial Narrow"/>
                <w:b/>
                <w:sz w:val="20"/>
                <w:szCs w:val="20"/>
              </w:rPr>
              <w:t>Amount</w:t>
            </w:r>
          </w:p>
        </w:tc>
        <w:tc>
          <w:tcPr>
            <w:tcW w:w="1096" w:type="pct"/>
            <w:vAlign w:val="center"/>
          </w:tcPr>
          <w:p w14:paraId="1EC18401" w14:textId="77777777" w:rsidR="005A4BF3" w:rsidRPr="001428E9" w:rsidRDefault="005A4BF3" w:rsidP="002178A9">
            <w:pPr>
              <w:keepNext/>
              <w:keepLines/>
              <w:jc w:val="center"/>
              <w:rPr>
                <w:rFonts w:ascii="Arial Narrow" w:hAnsi="Arial Narrow"/>
                <w:b/>
                <w:sz w:val="20"/>
                <w:szCs w:val="20"/>
              </w:rPr>
            </w:pPr>
            <w:r w:rsidRPr="001428E9">
              <w:rPr>
                <w:rFonts w:ascii="Arial Narrow" w:hAnsi="Arial Narrow"/>
                <w:b/>
                <w:sz w:val="20"/>
                <w:szCs w:val="20"/>
              </w:rPr>
              <w:t>№.of Rpts</w:t>
            </w:r>
          </w:p>
        </w:tc>
      </w:tr>
      <w:tr w:rsidR="005A4BF3" w:rsidRPr="001428E9" w14:paraId="72963118" w14:textId="77777777" w:rsidTr="002178A9">
        <w:trPr>
          <w:cantSplit/>
          <w:trHeight w:val="20"/>
        </w:trPr>
        <w:tc>
          <w:tcPr>
            <w:tcW w:w="1716" w:type="pct"/>
            <w:gridSpan w:val="2"/>
            <w:vAlign w:val="center"/>
          </w:tcPr>
          <w:p w14:paraId="5BCDD099" w14:textId="77777777" w:rsidR="005A4BF3" w:rsidRPr="001428E9" w:rsidRDefault="005A4BF3" w:rsidP="002178A9">
            <w:pPr>
              <w:keepNext/>
              <w:keepLines/>
              <w:rPr>
                <w:rFonts w:ascii="Arial Narrow" w:hAnsi="Arial Narrow"/>
                <w:sz w:val="20"/>
                <w:szCs w:val="20"/>
              </w:rPr>
            </w:pPr>
            <w:r>
              <w:rPr>
                <w:rFonts w:ascii="Arial Narrow" w:hAnsi="Arial Narrow"/>
                <w:sz w:val="20"/>
                <w:szCs w:val="20"/>
              </w:rPr>
              <w:t>OBINUTUZUMAB</w:t>
            </w:r>
            <w:r>
              <w:rPr>
                <w:rFonts w:ascii="Arial Narrow" w:hAnsi="Arial Narrow"/>
                <w:color w:val="FF0000"/>
                <w:sz w:val="20"/>
                <w:szCs w:val="20"/>
              </w:rPr>
              <w:br/>
            </w:r>
            <w:r w:rsidRPr="001428E9">
              <w:rPr>
                <w:rFonts w:ascii="Arial Narrow" w:hAnsi="Arial Narrow" w:cs="Arial Narrow"/>
                <w:sz w:val="20"/>
                <w:szCs w:val="20"/>
              </w:rPr>
              <w:t>Injection</w:t>
            </w:r>
          </w:p>
        </w:tc>
        <w:tc>
          <w:tcPr>
            <w:tcW w:w="1094" w:type="pct"/>
            <w:vAlign w:val="center"/>
          </w:tcPr>
          <w:p w14:paraId="01C86344" w14:textId="77777777" w:rsidR="005A4BF3" w:rsidRPr="001428E9" w:rsidRDefault="005A4BF3" w:rsidP="002178A9">
            <w:pPr>
              <w:keepNext/>
              <w:keepLines/>
              <w:jc w:val="center"/>
              <w:rPr>
                <w:rFonts w:ascii="Arial Narrow" w:hAnsi="Arial Narrow"/>
                <w:sz w:val="20"/>
                <w:szCs w:val="20"/>
              </w:rPr>
            </w:pPr>
            <w:r w:rsidRPr="001428E9">
              <w:rPr>
                <w:rFonts w:ascii="Arial Narrow" w:hAnsi="Arial Narrow"/>
                <w:sz w:val="20"/>
                <w:szCs w:val="20"/>
              </w:rPr>
              <w:t>NEW (Public)</w:t>
            </w:r>
            <w:r>
              <w:rPr>
                <w:rFonts w:ascii="Arial Narrow" w:hAnsi="Arial Narrow"/>
                <w:sz w:val="20"/>
                <w:szCs w:val="20"/>
              </w:rPr>
              <w:br/>
            </w:r>
            <w:r w:rsidRPr="001428E9">
              <w:rPr>
                <w:rFonts w:ascii="Arial Narrow" w:hAnsi="Arial Narrow"/>
                <w:sz w:val="20"/>
                <w:szCs w:val="20"/>
              </w:rPr>
              <w:t>NEW (Private)</w:t>
            </w:r>
          </w:p>
        </w:tc>
        <w:tc>
          <w:tcPr>
            <w:tcW w:w="1094" w:type="pct"/>
            <w:vAlign w:val="center"/>
          </w:tcPr>
          <w:p w14:paraId="7F94D2EF" w14:textId="77777777" w:rsidR="005A4BF3" w:rsidRPr="001428E9" w:rsidRDefault="005A4BF3" w:rsidP="002178A9">
            <w:pPr>
              <w:keepNext/>
              <w:keepLines/>
              <w:jc w:val="center"/>
              <w:rPr>
                <w:rFonts w:ascii="Arial Narrow" w:hAnsi="Arial Narrow"/>
                <w:sz w:val="20"/>
                <w:szCs w:val="20"/>
              </w:rPr>
            </w:pPr>
            <w:r>
              <w:rPr>
                <w:rFonts w:ascii="Arial Narrow" w:hAnsi="Arial Narrow"/>
                <w:sz w:val="20"/>
                <w:szCs w:val="20"/>
              </w:rPr>
              <w:t>1000</w:t>
            </w:r>
            <w:r w:rsidRPr="001428E9">
              <w:rPr>
                <w:rFonts w:ascii="Arial Narrow" w:hAnsi="Arial Narrow"/>
                <w:sz w:val="20"/>
                <w:szCs w:val="20"/>
              </w:rPr>
              <w:t xml:space="preserve"> mg</w:t>
            </w:r>
          </w:p>
        </w:tc>
        <w:tc>
          <w:tcPr>
            <w:tcW w:w="1096" w:type="pct"/>
            <w:vAlign w:val="center"/>
          </w:tcPr>
          <w:p w14:paraId="0B6D139D" w14:textId="77777777" w:rsidR="005A4BF3" w:rsidRPr="001428E9" w:rsidRDefault="005A4BF3" w:rsidP="002178A9">
            <w:pPr>
              <w:keepNext/>
              <w:keepLines/>
              <w:jc w:val="center"/>
              <w:rPr>
                <w:rFonts w:ascii="Arial Narrow" w:hAnsi="Arial Narrow"/>
                <w:sz w:val="20"/>
                <w:szCs w:val="20"/>
              </w:rPr>
            </w:pPr>
            <w:r>
              <w:rPr>
                <w:rFonts w:ascii="Arial Narrow" w:hAnsi="Arial Narrow"/>
                <w:sz w:val="20"/>
                <w:szCs w:val="20"/>
              </w:rPr>
              <w:t>0</w:t>
            </w:r>
          </w:p>
        </w:tc>
      </w:tr>
      <w:tr w:rsidR="005A4BF3" w:rsidRPr="001428E9" w14:paraId="4D659D23" w14:textId="77777777" w:rsidTr="002178A9">
        <w:trPr>
          <w:cantSplit/>
          <w:trHeight w:val="20"/>
        </w:trPr>
        <w:tc>
          <w:tcPr>
            <w:tcW w:w="5000" w:type="pct"/>
            <w:gridSpan w:val="5"/>
            <w:vAlign w:val="center"/>
          </w:tcPr>
          <w:p w14:paraId="06E6555E" w14:textId="77777777" w:rsidR="005A4BF3" w:rsidRPr="001428E9" w:rsidRDefault="005A4BF3" w:rsidP="002178A9">
            <w:pPr>
              <w:keepNext/>
              <w:keepLines/>
              <w:rPr>
                <w:rFonts w:ascii="Arial Narrow" w:hAnsi="Arial Narrow"/>
                <w:b/>
                <w:sz w:val="20"/>
                <w:szCs w:val="20"/>
              </w:rPr>
            </w:pPr>
            <w:r w:rsidRPr="001428E9">
              <w:rPr>
                <w:rFonts w:ascii="Arial Narrow" w:hAnsi="Arial Narrow"/>
                <w:b/>
                <w:sz w:val="20"/>
                <w:szCs w:val="20"/>
              </w:rPr>
              <w:t xml:space="preserve">Available brands </w:t>
            </w:r>
          </w:p>
        </w:tc>
      </w:tr>
      <w:tr w:rsidR="005A4BF3" w:rsidRPr="001428E9" w14:paraId="16AE2C3B" w14:textId="77777777" w:rsidTr="002178A9">
        <w:trPr>
          <w:cantSplit/>
          <w:trHeight w:val="20"/>
        </w:trPr>
        <w:tc>
          <w:tcPr>
            <w:tcW w:w="5000" w:type="pct"/>
            <w:gridSpan w:val="5"/>
            <w:vAlign w:val="center"/>
          </w:tcPr>
          <w:p w14:paraId="4E4A2513" w14:textId="77777777" w:rsidR="005A4BF3" w:rsidRPr="00A9186F" w:rsidRDefault="005A4BF3" w:rsidP="002178A9">
            <w:pPr>
              <w:keepNext/>
              <w:keepLines/>
              <w:rPr>
                <w:rFonts w:ascii="Arial Narrow" w:hAnsi="Arial Narrow"/>
                <w:sz w:val="20"/>
                <w:szCs w:val="20"/>
              </w:rPr>
            </w:pPr>
            <w:proofErr w:type="spellStart"/>
            <w:r w:rsidRPr="00A9186F">
              <w:rPr>
                <w:rFonts w:ascii="Arial Narrow" w:hAnsi="Arial Narrow"/>
                <w:sz w:val="20"/>
                <w:szCs w:val="20"/>
              </w:rPr>
              <w:t>Gazyva</w:t>
            </w:r>
            <w:proofErr w:type="spellEnd"/>
          </w:p>
          <w:p w14:paraId="0D7D302F" w14:textId="77777777" w:rsidR="005A4BF3" w:rsidRPr="00007B20" w:rsidRDefault="005A4BF3" w:rsidP="002178A9">
            <w:pPr>
              <w:keepNext/>
              <w:keepLines/>
              <w:rPr>
                <w:rFonts w:ascii="Arial Narrow" w:hAnsi="Arial Narrow"/>
                <w:i/>
                <w:iCs/>
                <w:sz w:val="20"/>
                <w:szCs w:val="20"/>
              </w:rPr>
            </w:pPr>
            <w:r w:rsidRPr="00A9186F">
              <w:rPr>
                <w:rFonts w:ascii="Arial Narrow" w:hAnsi="Arial Narrow"/>
                <w:sz w:val="20"/>
                <w:szCs w:val="20"/>
              </w:rPr>
              <w:t>obinutuzumab 1 g/40 mL injection, 40 mL vial</w:t>
            </w:r>
          </w:p>
        </w:tc>
      </w:tr>
      <w:tr w:rsidR="005A4BF3" w:rsidRPr="001428E9" w14:paraId="5EA15FF8" w14:textId="77777777" w:rsidTr="002178A9">
        <w:trPr>
          <w:cantSplit/>
          <w:trHeight w:val="20"/>
        </w:trPr>
        <w:tc>
          <w:tcPr>
            <w:tcW w:w="5000" w:type="pct"/>
            <w:gridSpan w:val="5"/>
            <w:vAlign w:val="center"/>
          </w:tcPr>
          <w:p w14:paraId="32E38CE8" w14:textId="77777777" w:rsidR="005A4BF3" w:rsidRPr="001428E9" w:rsidRDefault="005A4BF3" w:rsidP="002178A9">
            <w:pPr>
              <w:keepNext/>
              <w:keepLines/>
              <w:rPr>
                <w:rFonts w:ascii="Arial Narrow" w:hAnsi="Arial Narrow"/>
                <w:color w:val="FF0000"/>
                <w:sz w:val="20"/>
                <w:szCs w:val="20"/>
              </w:rPr>
            </w:pPr>
          </w:p>
        </w:tc>
      </w:tr>
      <w:tr w:rsidR="005A4BF3" w:rsidRPr="001428E9" w14:paraId="73407F70"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tcPr>
          <w:p w14:paraId="6FEB9611" w14:textId="77777777" w:rsidR="005A4BF3" w:rsidRPr="001428E9" w:rsidRDefault="005A4BF3" w:rsidP="002178A9">
            <w:pPr>
              <w:keepNext/>
              <w:keepLines/>
              <w:jc w:val="center"/>
              <w:rPr>
                <w:rFonts w:ascii="Arial Narrow" w:hAnsi="Arial Narrow"/>
                <w:b/>
                <w:sz w:val="20"/>
                <w:szCs w:val="20"/>
              </w:rPr>
            </w:pPr>
            <w:r w:rsidRPr="001428E9">
              <w:rPr>
                <w:rFonts w:ascii="Arial Narrow" w:hAnsi="Arial Narrow"/>
                <w:b/>
                <w:sz w:val="20"/>
                <w:szCs w:val="20"/>
              </w:rPr>
              <w:t xml:space="preserve">Concept ID </w:t>
            </w:r>
            <w:r w:rsidRPr="001428E9">
              <w:rPr>
                <w:rFonts w:ascii="Arial Narrow" w:hAnsi="Arial Narrow"/>
                <w:sz w:val="20"/>
                <w:szCs w:val="20"/>
              </w:rPr>
              <w:t>(for internal Dept. use)</w:t>
            </w:r>
          </w:p>
        </w:tc>
        <w:tc>
          <w:tcPr>
            <w:tcW w:w="4295" w:type="pct"/>
            <w:gridSpan w:val="4"/>
          </w:tcPr>
          <w:p w14:paraId="3BE8F65F" w14:textId="77777777" w:rsidR="005A4BF3" w:rsidRPr="001428E9" w:rsidRDefault="005A4BF3" w:rsidP="002178A9">
            <w:pPr>
              <w:keepNext/>
              <w:keepLines/>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Efficient Funding of Chemotherapy Public/Private hospitals</w:t>
            </w:r>
          </w:p>
        </w:tc>
      </w:tr>
      <w:tr w:rsidR="005A4BF3" w:rsidRPr="001428E9" w14:paraId="77A7EF1B"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0C65DF3B" w14:textId="77777777" w:rsidR="005A4BF3" w:rsidRPr="001428E9" w:rsidRDefault="005A4BF3" w:rsidP="002178A9">
            <w:pPr>
              <w:keepNext/>
              <w:keepLines/>
              <w:rPr>
                <w:rFonts w:ascii="Arial Narrow" w:hAnsi="Arial Narrow"/>
                <w:sz w:val="20"/>
                <w:szCs w:val="20"/>
              </w:rPr>
            </w:pPr>
          </w:p>
        </w:tc>
        <w:tc>
          <w:tcPr>
            <w:tcW w:w="4295" w:type="pct"/>
            <w:gridSpan w:val="4"/>
          </w:tcPr>
          <w:p w14:paraId="3B319182" w14:textId="77777777" w:rsidR="005A4BF3" w:rsidRPr="001428E9" w:rsidRDefault="005A4BF3" w:rsidP="002178A9">
            <w:pPr>
              <w:keepNext/>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5A4BF3" w:rsidRPr="001428E9" w14:paraId="2BAD2A81"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008CD892" w14:textId="77777777" w:rsidR="005A4BF3" w:rsidRPr="001428E9" w:rsidRDefault="005A4BF3" w:rsidP="002178A9">
            <w:pPr>
              <w:keepNext/>
              <w:keepLines/>
              <w:rPr>
                <w:rFonts w:ascii="Arial Narrow" w:hAnsi="Arial Narrow"/>
                <w:sz w:val="20"/>
                <w:szCs w:val="20"/>
              </w:rPr>
            </w:pPr>
          </w:p>
        </w:tc>
        <w:tc>
          <w:tcPr>
            <w:tcW w:w="4295" w:type="pct"/>
            <w:gridSpan w:val="4"/>
          </w:tcPr>
          <w:p w14:paraId="365D12F6" w14:textId="77777777" w:rsidR="005A4BF3" w:rsidRPr="001428E9" w:rsidRDefault="005A4BF3" w:rsidP="002178A9">
            <w:pPr>
              <w:keepNext/>
              <w:keepLines/>
              <w:rPr>
                <w:rFonts w:ascii="Arial Narrow" w:eastAsia="Calibri" w:hAnsi="Arial Narrow"/>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Check3"/>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(telephone/online PBS Authorities system) </w:t>
            </w:r>
          </w:p>
        </w:tc>
      </w:tr>
      <w:tr w:rsidR="005A4BF3" w:rsidRPr="001428E9" w14:paraId="46F24578"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vAlign w:val="center"/>
          </w:tcPr>
          <w:p w14:paraId="2D447294" w14:textId="77777777" w:rsidR="005A4BF3" w:rsidRPr="001428E9" w:rsidRDefault="005A4BF3" w:rsidP="002178A9">
            <w:pPr>
              <w:keepNext/>
              <w:keepLines/>
              <w:jc w:val="center"/>
              <w:rPr>
                <w:rFonts w:ascii="Arial Narrow" w:hAnsi="Arial Narrow"/>
                <w:color w:val="333333"/>
                <w:sz w:val="20"/>
                <w:szCs w:val="20"/>
              </w:rPr>
            </w:pPr>
          </w:p>
        </w:tc>
        <w:tc>
          <w:tcPr>
            <w:tcW w:w="4295" w:type="pct"/>
            <w:gridSpan w:val="4"/>
            <w:vAlign w:val="center"/>
          </w:tcPr>
          <w:p w14:paraId="35EC57D5" w14:textId="77777777" w:rsidR="005A4BF3" w:rsidRPr="00007B20" w:rsidRDefault="005A4BF3" w:rsidP="002178A9">
            <w:pPr>
              <w:keepNext/>
              <w:keepLines/>
              <w:rPr>
                <w:rFonts w:ascii="Arial Narrow" w:hAnsi="Arial Narrow"/>
                <w:bCs/>
                <w:sz w:val="20"/>
                <w:szCs w:val="20"/>
              </w:rPr>
            </w:pPr>
            <w:proofErr w:type="spellStart"/>
            <w:r w:rsidRPr="00007B20">
              <w:rPr>
                <w:rFonts w:ascii="Arial Narrow" w:hAnsi="Arial Narrow"/>
                <w:b/>
                <w:bCs/>
                <w:sz w:val="20"/>
                <w:szCs w:val="20"/>
              </w:rPr>
              <w:t>Episodicity</w:t>
            </w:r>
            <w:proofErr w:type="spellEnd"/>
            <w:r w:rsidRPr="00007B20">
              <w:rPr>
                <w:rFonts w:ascii="Arial Narrow" w:hAnsi="Arial Narrow"/>
                <w:b/>
                <w:bCs/>
                <w:sz w:val="20"/>
                <w:szCs w:val="20"/>
              </w:rPr>
              <w:t>:</w:t>
            </w:r>
            <w:r w:rsidRPr="00007B20">
              <w:rPr>
                <w:rFonts w:ascii="Arial Narrow" w:hAnsi="Arial Narrow"/>
                <w:bCs/>
                <w:sz w:val="20"/>
                <w:szCs w:val="20"/>
              </w:rPr>
              <w:t xml:space="preserve"> [blank]</w:t>
            </w:r>
          </w:p>
        </w:tc>
      </w:tr>
      <w:tr w:rsidR="005A4BF3" w:rsidRPr="001428E9" w14:paraId="68D1044E"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575FE42F" w14:textId="77777777" w:rsidR="005A4BF3" w:rsidRPr="001428E9" w:rsidRDefault="005A4BF3" w:rsidP="002178A9">
            <w:pPr>
              <w:keepNext/>
              <w:keepLines/>
              <w:jc w:val="center"/>
              <w:rPr>
                <w:rFonts w:ascii="Arial Narrow" w:hAnsi="Arial Narrow"/>
                <w:color w:val="333333"/>
                <w:sz w:val="20"/>
                <w:szCs w:val="20"/>
              </w:rPr>
            </w:pPr>
          </w:p>
        </w:tc>
        <w:tc>
          <w:tcPr>
            <w:tcW w:w="4295" w:type="pct"/>
            <w:gridSpan w:val="4"/>
            <w:vAlign w:val="center"/>
          </w:tcPr>
          <w:p w14:paraId="14C1C5E1" w14:textId="77777777" w:rsidR="005A4BF3" w:rsidRPr="00007B20" w:rsidRDefault="005A4BF3" w:rsidP="002178A9">
            <w:pPr>
              <w:keepNext/>
              <w:keepLines/>
              <w:rPr>
                <w:rFonts w:ascii="Arial Narrow" w:hAnsi="Arial Narrow"/>
                <w:b/>
                <w:bCs/>
                <w:sz w:val="20"/>
                <w:szCs w:val="20"/>
              </w:rPr>
            </w:pPr>
            <w:r w:rsidRPr="00007B20">
              <w:rPr>
                <w:rFonts w:ascii="Arial Narrow" w:hAnsi="Arial Narrow"/>
                <w:b/>
                <w:bCs/>
                <w:sz w:val="20"/>
                <w:szCs w:val="20"/>
              </w:rPr>
              <w:t xml:space="preserve">Severity: </w:t>
            </w:r>
            <w:r w:rsidRPr="00007B20">
              <w:rPr>
                <w:rFonts w:ascii="Arial Narrow" w:hAnsi="Arial Narrow"/>
                <w:bCs/>
                <w:sz w:val="20"/>
                <w:szCs w:val="20"/>
              </w:rPr>
              <w:t>Relapsed or refractory</w:t>
            </w:r>
          </w:p>
        </w:tc>
      </w:tr>
      <w:tr w:rsidR="005A4BF3" w:rsidRPr="001428E9" w14:paraId="00D3F694"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359F0DB0" w14:textId="77777777" w:rsidR="005A4BF3" w:rsidRPr="001428E9" w:rsidRDefault="005A4BF3" w:rsidP="002178A9">
            <w:pPr>
              <w:keepNext/>
              <w:keepLines/>
              <w:jc w:val="center"/>
              <w:rPr>
                <w:rFonts w:ascii="Arial Narrow" w:hAnsi="Arial Narrow"/>
                <w:color w:val="333333"/>
                <w:sz w:val="20"/>
                <w:szCs w:val="20"/>
              </w:rPr>
            </w:pPr>
          </w:p>
        </w:tc>
        <w:tc>
          <w:tcPr>
            <w:tcW w:w="4295" w:type="pct"/>
            <w:gridSpan w:val="4"/>
            <w:vAlign w:val="center"/>
          </w:tcPr>
          <w:p w14:paraId="31DCDB40" w14:textId="77777777" w:rsidR="005A4BF3" w:rsidRPr="00007B20" w:rsidRDefault="005A4BF3" w:rsidP="002178A9">
            <w:pPr>
              <w:keepNext/>
              <w:keepLines/>
              <w:rPr>
                <w:rFonts w:ascii="Arial Narrow" w:hAnsi="Arial Narrow"/>
                <w:b/>
                <w:bCs/>
                <w:sz w:val="20"/>
                <w:szCs w:val="20"/>
              </w:rPr>
            </w:pPr>
            <w:r w:rsidRPr="00007B20">
              <w:rPr>
                <w:rFonts w:ascii="Arial Narrow" w:hAnsi="Arial Narrow"/>
                <w:b/>
                <w:bCs/>
                <w:sz w:val="20"/>
                <w:szCs w:val="20"/>
              </w:rPr>
              <w:t xml:space="preserve">Condition: </w:t>
            </w:r>
            <w:r w:rsidRPr="00007B20">
              <w:rPr>
                <w:rFonts w:ascii="Arial Narrow" w:hAnsi="Arial Narrow"/>
                <w:bCs/>
                <w:sz w:val="20"/>
                <w:szCs w:val="20"/>
              </w:rPr>
              <w:t>Diffuse large b-cell lymphoma (DLBCL)</w:t>
            </w:r>
          </w:p>
        </w:tc>
      </w:tr>
      <w:tr w:rsidR="005A4BF3" w:rsidRPr="001428E9" w14:paraId="4F9411D2" w14:textId="77777777" w:rsidTr="002178A9">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5EA73473" w14:textId="77777777" w:rsidR="005A4BF3" w:rsidRPr="00007B20" w:rsidRDefault="005A4BF3" w:rsidP="002178A9">
            <w:pPr>
              <w:keepNext/>
              <w:keepLines/>
              <w:rPr>
                <w:rFonts w:ascii="Arial Narrow" w:hAnsi="Arial Narrow"/>
                <w:sz w:val="20"/>
                <w:szCs w:val="20"/>
              </w:rPr>
            </w:pPr>
            <w:r w:rsidRPr="001428E9">
              <w:rPr>
                <w:rFonts w:ascii="Arial Narrow" w:hAnsi="Arial Narrow"/>
                <w:b/>
                <w:sz w:val="20"/>
                <w:szCs w:val="20"/>
              </w:rPr>
              <w:t>Restriction Summary [new</w:t>
            </w:r>
            <w:r>
              <w:rPr>
                <w:rFonts w:ascii="Arial Narrow" w:hAnsi="Arial Narrow"/>
                <w:b/>
                <w:sz w:val="20"/>
                <w:szCs w:val="20"/>
              </w:rPr>
              <w:t>1</w:t>
            </w:r>
            <w:r w:rsidRPr="001428E9">
              <w:rPr>
                <w:rFonts w:ascii="Arial Narrow" w:hAnsi="Arial Narrow"/>
                <w:b/>
                <w:sz w:val="20"/>
                <w:szCs w:val="20"/>
              </w:rPr>
              <w:t>] / Treatment of Concept: [new</w:t>
            </w:r>
            <w:r>
              <w:rPr>
                <w:rFonts w:ascii="Arial Narrow" w:hAnsi="Arial Narrow"/>
                <w:b/>
                <w:sz w:val="20"/>
                <w:szCs w:val="20"/>
              </w:rPr>
              <w:t>1A</w:t>
            </w:r>
            <w:r w:rsidRPr="001428E9">
              <w:rPr>
                <w:rFonts w:ascii="Arial Narrow" w:hAnsi="Arial Narrow"/>
                <w:b/>
                <w:sz w:val="20"/>
                <w:szCs w:val="20"/>
              </w:rPr>
              <w:t>]</w:t>
            </w:r>
          </w:p>
        </w:tc>
      </w:tr>
      <w:tr w:rsidR="005A4BF3" w:rsidRPr="001428E9" w14:paraId="35AD0687"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7E7C75C2" w14:textId="0928291C" w:rsidR="005A4BF3" w:rsidRPr="001428E9" w:rsidRDefault="005A4BF3" w:rsidP="002178A9">
            <w:pPr>
              <w:keepNext/>
              <w:keepLines/>
              <w:jc w:val="center"/>
              <w:rPr>
                <w:rFonts w:ascii="Arial Narrow" w:hAnsi="Arial Narrow"/>
                <w:color w:val="333333"/>
                <w:sz w:val="20"/>
                <w:szCs w:val="20"/>
              </w:rPr>
            </w:pPr>
          </w:p>
        </w:tc>
        <w:tc>
          <w:tcPr>
            <w:tcW w:w="4295" w:type="pct"/>
            <w:gridSpan w:val="4"/>
            <w:vAlign w:val="center"/>
          </w:tcPr>
          <w:p w14:paraId="07BE96D4" w14:textId="77777777" w:rsidR="005A4BF3" w:rsidRPr="00007B20" w:rsidRDefault="005A4BF3" w:rsidP="002178A9">
            <w:pPr>
              <w:keepNext/>
              <w:keepLines/>
              <w:rPr>
                <w:rFonts w:ascii="Arial Narrow" w:hAnsi="Arial Narrow"/>
                <w:b/>
                <w:bCs/>
                <w:sz w:val="20"/>
                <w:szCs w:val="20"/>
              </w:rPr>
            </w:pPr>
            <w:r w:rsidRPr="00007B20">
              <w:rPr>
                <w:rFonts w:ascii="Arial Narrow" w:hAnsi="Arial Narrow"/>
                <w:b/>
                <w:bCs/>
                <w:sz w:val="20"/>
                <w:szCs w:val="20"/>
              </w:rPr>
              <w:t>Indication:</w:t>
            </w:r>
            <w:r w:rsidRPr="00007B20">
              <w:rPr>
                <w:rFonts w:ascii="Arial Narrow" w:hAnsi="Arial Narrow"/>
                <w:sz w:val="20"/>
                <w:szCs w:val="20"/>
              </w:rPr>
              <w:t xml:space="preserve"> Relapsed or refractory Diffuse large b-cell lymphoma (DLBCL)</w:t>
            </w:r>
          </w:p>
        </w:tc>
      </w:tr>
      <w:tr w:rsidR="005A4BF3" w:rsidRPr="001428E9" w14:paraId="56C58774"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49E035C5" w14:textId="77777777" w:rsidR="005A4BF3" w:rsidRPr="001428E9" w:rsidRDefault="005A4BF3" w:rsidP="002178A9">
            <w:pPr>
              <w:keepNext/>
              <w:keepLines/>
              <w:jc w:val="center"/>
              <w:rPr>
                <w:rFonts w:ascii="Arial Narrow" w:hAnsi="Arial Narrow"/>
                <w:color w:val="333333"/>
                <w:sz w:val="20"/>
                <w:szCs w:val="20"/>
              </w:rPr>
            </w:pPr>
          </w:p>
        </w:tc>
        <w:tc>
          <w:tcPr>
            <w:tcW w:w="4295" w:type="pct"/>
            <w:gridSpan w:val="4"/>
            <w:vAlign w:val="center"/>
            <w:hideMark/>
          </w:tcPr>
          <w:p w14:paraId="397BA068" w14:textId="77777777" w:rsidR="005A4BF3" w:rsidRPr="00007B20" w:rsidRDefault="005A4BF3" w:rsidP="002178A9">
            <w:pPr>
              <w:keepNext/>
              <w:keepLines/>
              <w:rPr>
                <w:rFonts w:ascii="Arial Narrow" w:hAnsi="Arial Narrow"/>
                <w:sz w:val="20"/>
                <w:szCs w:val="20"/>
              </w:rPr>
            </w:pPr>
            <w:r w:rsidRPr="00007B20">
              <w:rPr>
                <w:rFonts w:ascii="Arial Narrow" w:hAnsi="Arial Narrow"/>
                <w:b/>
                <w:bCs/>
                <w:sz w:val="20"/>
                <w:szCs w:val="20"/>
              </w:rPr>
              <w:t>Treatment Phase:</w:t>
            </w:r>
            <w:r w:rsidRPr="00007B20">
              <w:rPr>
                <w:rFonts w:ascii="Arial Narrow" w:hAnsi="Arial Narrow"/>
                <w:sz w:val="20"/>
                <w:szCs w:val="20"/>
              </w:rPr>
              <w:t xml:space="preserve"> </w:t>
            </w:r>
            <w:r w:rsidRPr="009C58E1">
              <w:rPr>
                <w:rFonts w:ascii="Arial Narrow" w:hAnsi="Arial Narrow"/>
                <w:sz w:val="20"/>
                <w:szCs w:val="20"/>
              </w:rPr>
              <w:t>Pre-treatment prior to initiation of glofitamab</w:t>
            </w:r>
          </w:p>
        </w:tc>
      </w:tr>
      <w:tr w:rsidR="005A4BF3" w:rsidRPr="001428E9" w14:paraId="4CCC1B9B"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72EA4687" w14:textId="77777777" w:rsidR="005A4BF3" w:rsidRPr="001428E9" w:rsidRDefault="005A4BF3" w:rsidP="002178A9">
            <w:pPr>
              <w:keepNext/>
              <w:keepLines/>
              <w:jc w:val="center"/>
              <w:rPr>
                <w:rFonts w:ascii="Arial Narrow" w:hAnsi="Arial Narrow"/>
                <w:color w:val="333333"/>
                <w:sz w:val="20"/>
                <w:szCs w:val="20"/>
              </w:rPr>
            </w:pPr>
          </w:p>
        </w:tc>
        <w:tc>
          <w:tcPr>
            <w:tcW w:w="4295" w:type="pct"/>
            <w:gridSpan w:val="4"/>
            <w:vAlign w:val="center"/>
            <w:hideMark/>
          </w:tcPr>
          <w:p w14:paraId="20A09DA2" w14:textId="77777777" w:rsidR="005A4BF3" w:rsidRPr="00007B20" w:rsidRDefault="005A4BF3" w:rsidP="002178A9">
            <w:pPr>
              <w:keepNext/>
              <w:keepLines/>
              <w:rPr>
                <w:rFonts w:ascii="Arial Narrow" w:hAnsi="Arial Narrow"/>
                <w:sz w:val="20"/>
                <w:szCs w:val="20"/>
              </w:rPr>
            </w:pPr>
            <w:r w:rsidRPr="00007B20">
              <w:rPr>
                <w:rFonts w:ascii="Arial Narrow" w:hAnsi="Arial Narrow"/>
                <w:b/>
                <w:bCs/>
                <w:sz w:val="20"/>
                <w:szCs w:val="20"/>
              </w:rPr>
              <w:t xml:space="preserve">Clinical criteria: </w:t>
            </w:r>
          </w:p>
        </w:tc>
      </w:tr>
      <w:tr w:rsidR="005A4BF3" w:rsidRPr="00532B6F" w14:paraId="13946DF1"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4D4BD549" w14:textId="64BDDA75" w:rsidR="005A4BF3" w:rsidRPr="001428E9" w:rsidRDefault="005A4BF3" w:rsidP="002178A9">
            <w:pPr>
              <w:keepNext/>
              <w:keepLines/>
              <w:jc w:val="center"/>
              <w:rPr>
                <w:rFonts w:ascii="Arial Narrow" w:hAnsi="Arial Narrow"/>
                <w:color w:val="333333"/>
                <w:sz w:val="20"/>
                <w:szCs w:val="20"/>
              </w:rPr>
            </w:pPr>
          </w:p>
        </w:tc>
        <w:tc>
          <w:tcPr>
            <w:tcW w:w="4295" w:type="pct"/>
            <w:gridSpan w:val="4"/>
            <w:vAlign w:val="center"/>
          </w:tcPr>
          <w:p w14:paraId="71423266" w14:textId="77777777" w:rsidR="005A4BF3" w:rsidRPr="00532B6F" w:rsidRDefault="005A4BF3" w:rsidP="002178A9">
            <w:pPr>
              <w:keepNext/>
              <w:keepLines/>
              <w:rPr>
                <w:rFonts w:ascii="Arial Narrow" w:hAnsi="Arial Narrow"/>
                <w:color w:val="333333"/>
                <w:sz w:val="20"/>
                <w:szCs w:val="20"/>
              </w:rPr>
            </w:pPr>
            <w:r w:rsidRPr="00E06BB3">
              <w:rPr>
                <w:rFonts w:ascii="Arial Narrow" w:hAnsi="Arial Narrow"/>
                <w:color w:val="333333"/>
                <w:sz w:val="20"/>
                <w:szCs w:val="20"/>
              </w:rPr>
              <w:t>Patient must be eligible to receive treatment under the PBS listing criteria for glofitamab.</w:t>
            </w:r>
          </w:p>
        </w:tc>
      </w:tr>
      <w:tr w:rsidR="005A4BF3" w:rsidRPr="00532B6F" w14:paraId="398A3A62"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404A65D5" w14:textId="77777777" w:rsidR="005A4BF3" w:rsidRPr="001428E9" w:rsidRDefault="005A4BF3" w:rsidP="002178A9">
            <w:pPr>
              <w:keepNext/>
              <w:keepLines/>
              <w:jc w:val="center"/>
              <w:rPr>
                <w:rFonts w:ascii="Arial Narrow" w:hAnsi="Arial Narrow"/>
                <w:color w:val="333333"/>
                <w:sz w:val="20"/>
                <w:szCs w:val="20"/>
              </w:rPr>
            </w:pPr>
          </w:p>
        </w:tc>
        <w:tc>
          <w:tcPr>
            <w:tcW w:w="4295" w:type="pct"/>
            <w:gridSpan w:val="4"/>
            <w:vAlign w:val="center"/>
          </w:tcPr>
          <w:p w14:paraId="01316776" w14:textId="77777777" w:rsidR="005A4BF3" w:rsidRPr="00FF1EDC" w:rsidRDefault="005A4BF3" w:rsidP="002178A9">
            <w:pPr>
              <w:keepNext/>
              <w:keepLines/>
              <w:rPr>
                <w:rFonts w:ascii="Arial Narrow" w:hAnsi="Arial Narrow"/>
                <w:b/>
                <w:bCs/>
                <w:color w:val="333333"/>
                <w:sz w:val="20"/>
                <w:szCs w:val="20"/>
              </w:rPr>
            </w:pPr>
            <w:r w:rsidRPr="00FF1EDC">
              <w:rPr>
                <w:rFonts w:ascii="Arial Narrow" w:hAnsi="Arial Narrow"/>
                <w:b/>
                <w:bCs/>
                <w:color w:val="333333"/>
                <w:sz w:val="20"/>
                <w:szCs w:val="20"/>
              </w:rPr>
              <w:t xml:space="preserve">Prescribing Instructions: </w:t>
            </w:r>
          </w:p>
          <w:p w14:paraId="5F5ACD7E" w14:textId="77777777" w:rsidR="005A4BF3" w:rsidRPr="00532B6F" w:rsidRDefault="005A4BF3" w:rsidP="002178A9">
            <w:pPr>
              <w:keepNext/>
              <w:keepLines/>
              <w:rPr>
                <w:rFonts w:ascii="Arial Narrow" w:hAnsi="Arial Narrow"/>
                <w:b/>
                <w:bCs/>
                <w:color w:val="333333"/>
                <w:sz w:val="20"/>
                <w:szCs w:val="20"/>
              </w:rPr>
            </w:pPr>
            <w:r w:rsidRPr="00B90A01">
              <w:rPr>
                <w:rFonts w:ascii="Arial Narrow" w:hAnsi="Arial Narrow"/>
                <w:color w:val="333333"/>
                <w:sz w:val="20"/>
                <w:szCs w:val="20"/>
              </w:rPr>
              <w:t>Patient is intended to receive a single dose of Obinutuzumab 1000 mg 7 days prior to initiating glofitamab treatment (Cycle 1 Day 1)</w:t>
            </w:r>
            <w:r w:rsidRPr="00CA75DA">
              <w:rPr>
                <w:rFonts w:ascii="Arial Narrow" w:hAnsi="Arial Narrow"/>
                <w:color w:val="333333"/>
                <w:sz w:val="20"/>
                <w:szCs w:val="20"/>
              </w:rPr>
              <w:t>.</w:t>
            </w:r>
          </w:p>
        </w:tc>
      </w:tr>
    </w:tbl>
    <w:p w14:paraId="06EE9E37" w14:textId="77777777" w:rsidR="005A4BF3" w:rsidRDefault="005A4BF3" w:rsidP="005A4BF3"/>
    <w:p w14:paraId="0B386AF1" w14:textId="77777777" w:rsidR="005A4BF3" w:rsidRPr="00D61004" w:rsidRDefault="005A4BF3" w:rsidP="005A4BF3">
      <w:pPr>
        <w:rPr>
          <w:b/>
        </w:rPr>
      </w:pPr>
      <w:r w:rsidRPr="00D61004">
        <w:rPr>
          <w:b/>
        </w:rPr>
        <w:t>Initial – Cycle 1, Day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1417"/>
        <w:gridCol w:w="2694"/>
        <w:gridCol w:w="1277"/>
        <w:gridCol w:w="1275"/>
        <w:gridCol w:w="1082"/>
      </w:tblGrid>
      <w:tr w:rsidR="006923BC" w:rsidRPr="00755DBE" w14:paraId="3841AAB4" w14:textId="77777777" w:rsidTr="006923BC">
        <w:trPr>
          <w:cantSplit/>
          <w:trHeight w:val="20"/>
        </w:trPr>
        <w:tc>
          <w:tcPr>
            <w:tcW w:w="1491" w:type="pct"/>
            <w:gridSpan w:val="2"/>
            <w:vAlign w:val="center"/>
          </w:tcPr>
          <w:p w14:paraId="2BA27F3E" w14:textId="77777777" w:rsidR="006923BC" w:rsidRDefault="006923BC" w:rsidP="002178A9">
            <w:pPr>
              <w:keepNext/>
              <w:rPr>
                <w:rFonts w:ascii="Arial Narrow" w:hAnsi="Arial Narrow"/>
                <w:b/>
                <w:bCs/>
                <w:sz w:val="20"/>
                <w:szCs w:val="20"/>
              </w:rPr>
            </w:pPr>
            <w:r w:rsidRPr="00755DBE">
              <w:rPr>
                <w:rFonts w:ascii="Arial Narrow" w:hAnsi="Arial Narrow"/>
                <w:b/>
                <w:bCs/>
                <w:sz w:val="20"/>
                <w:szCs w:val="20"/>
              </w:rPr>
              <w:t>MEDICINAL PRODUCT</w:t>
            </w:r>
          </w:p>
          <w:p w14:paraId="5287B851" w14:textId="7F7CA1FB" w:rsidR="006923BC" w:rsidRPr="00755DBE" w:rsidRDefault="006923BC" w:rsidP="002178A9">
            <w:pPr>
              <w:keepNext/>
              <w:rPr>
                <w:rFonts w:ascii="Arial Narrow" w:hAnsi="Arial Narrow"/>
                <w:b/>
                <w:bCs/>
                <w:sz w:val="20"/>
                <w:szCs w:val="20"/>
              </w:rPr>
            </w:pPr>
            <w:r w:rsidRPr="00755DBE">
              <w:rPr>
                <w:rFonts w:ascii="Arial Narrow" w:hAnsi="Arial Narrow"/>
                <w:b/>
                <w:sz w:val="20"/>
                <w:szCs w:val="20"/>
              </w:rPr>
              <w:t>Form</w:t>
            </w:r>
          </w:p>
        </w:tc>
        <w:tc>
          <w:tcPr>
            <w:tcW w:w="1494" w:type="pct"/>
            <w:vAlign w:val="center"/>
          </w:tcPr>
          <w:p w14:paraId="4671244F" w14:textId="4D3624A1" w:rsidR="006923BC" w:rsidRPr="00755DBE" w:rsidRDefault="006923BC" w:rsidP="002178A9">
            <w:pPr>
              <w:keepNext/>
              <w:rPr>
                <w:rFonts w:ascii="Arial Narrow" w:hAnsi="Arial Narrow"/>
                <w:b/>
                <w:sz w:val="20"/>
                <w:szCs w:val="20"/>
              </w:rPr>
            </w:pPr>
            <w:r w:rsidRPr="00B36050">
              <w:rPr>
                <w:rFonts w:ascii="Arial Narrow" w:hAnsi="Arial Narrow"/>
                <w:b/>
                <w:i/>
                <w:iCs/>
                <w:sz w:val="20"/>
                <w:szCs w:val="20"/>
              </w:rPr>
              <w:t>Dispensed Price for Max Amount</w:t>
            </w:r>
          </w:p>
        </w:tc>
        <w:tc>
          <w:tcPr>
            <w:tcW w:w="708" w:type="pct"/>
            <w:vAlign w:val="center"/>
          </w:tcPr>
          <w:p w14:paraId="7D8ACD9A" w14:textId="77777777" w:rsidR="006923BC" w:rsidRPr="00755DBE" w:rsidRDefault="006923BC" w:rsidP="002178A9">
            <w:pPr>
              <w:keepNext/>
              <w:jc w:val="center"/>
              <w:rPr>
                <w:rFonts w:ascii="Arial Narrow" w:hAnsi="Arial Narrow"/>
                <w:b/>
                <w:sz w:val="20"/>
                <w:szCs w:val="20"/>
              </w:rPr>
            </w:pPr>
            <w:r w:rsidRPr="00755DBE">
              <w:rPr>
                <w:rFonts w:ascii="Arial Narrow" w:hAnsi="Arial Narrow"/>
                <w:b/>
                <w:sz w:val="20"/>
                <w:szCs w:val="20"/>
              </w:rPr>
              <w:t>PBS item code</w:t>
            </w:r>
          </w:p>
        </w:tc>
        <w:tc>
          <w:tcPr>
            <w:tcW w:w="707" w:type="pct"/>
            <w:vAlign w:val="center"/>
          </w:tcPr>
          <w:p w14:paraId="50FE8428" w14:textId="77777777" w:rsidR="006923BC" w:rsidRPr="00755DBE" w:rsidRDefault="006923BC" w:rsidP="002178A9">
            <w:pPr>
              <w:keepNext/>
              <w:jc w:val="center"/>
              <w:rPr>
                <w:rFonts w:ascii="Arial Narrow" w:hAnsi="Arial Narrow"/>
                <w:b/>
                <w:sz w:val="20"/>
                <w:szCs w:val="20"/>
              </w:rPr>
            </w:pPr>
            <w:r w:rsidRPr="00755DBE">
              <w:rPr>
                <w:rFonts w:ascii="Arial Narrow" w:hAnsi="Arial Narrow"/>
                <w:b/>
                <w:sz w:val="20"/>
                <w:szCs w:val="20"/>
              </w:rPr>
              <w:t>Max. Amount</w:t>
            </w:r>
          </w:p>
        </w:tc>
        <w:tc>
          <w:tcPr>
            <w:tcW w:w="601" w:type="pct"/>
            <w:vAlign w:val="center"/>
          </w:tcPr>
          <w:p w14:paraId="4F20CC12" w14:textId="77777777" w:rsidR="006923BC" w:rsidRPr="00755DBE" w:rsidRDefault="006923BC" w:rsidP="002178A9">
            <w:pPr>
              <w:keepNext/>
              <w:jc w:val="center"/>
              <w:rPr>
                <w:rFonts w:ascii="Arial Narrow" w:hAnsi="Arial Narrow"/>
                <w:b/>
                <w:sz w:val="20"/>
                <w:szCs w:val="20"/>
              </w:rPr>
            </w:pPr>
            <w:r w:rsidRPr="00755DBE">
              <w:rPr>
                <w:rFonts w:ascii="Arial Narrow" w:hAnsi="Arial Narrow"/>
                <w:b/>
                <w:sz w:val="20"/>
                <w:szCs w:val="20"/>
              </w:rPr>
              <w:t>№.of Rpts</w:t>
            </w:r>
          </w:p>
        </w:tc>
      </w:tr>
      <w:tr w:rsidR="006923BC" w:rsidRPr="00755DBE" w14:paraId="30F94E40" w14:textId="77777777" w:rsidTr="006923BC">
        <w:trPr>
          <w:cantSplit/>
          <w:trHeight w:val="20"/>
        </w:trPr>
        <w:tc>
          <w:tcPr>
            <w:tcW w:w="1491" w:type="pct"/>
            <w:gridSpan w:val="2"/>
            <w:vAlign w:val="center"/>
          </w:tcPr>
          <w:p w14:paraId="5E5BA716" w14:textId="77777777" w:rsidR="006923BC" w:rsidRPr="00755DBE" w:rsidRDefault="006923BC" w:rsidP="002178A9">
            <w:pPr>
              <w:keepNext/>
              <w:rPr>
                <w:rFonts w:ascii="Arial Narrow" w:hAnsi="Arial Narrow"/>
                <w:sz w:val="20"/>
                <w:szCs w:val="20"/>
              </w:rPr>
            </w:pPr>
            <w:r w:rsidRPr="00755DBE">
              <w:rPr>
                <w:rFonts w:ascii="Arial Narrow" w:hAnsi="Arial Narrow"/>
                <w:sz w:val="20"/>
                <w:szCs w:val="20"/>
              </w:rPr>
              <w:t>GLOFITAMAB</w:t>
            </w:r>
            <w:r w:rsidRPr="00755DBE">
              <w:rPr>
                <w:rFonts w:ascii="Arial Narrow" w:hAnsi="Arial Narrow"/>
                <w:sz w:val="20"/>
                <w:szCs w:val="20"/>
              </w:rPr>
              <w:br/>
            </w:r>
            <w:r w:rsidRPr="00755DBE">
              <w:rPr>
                <w:rFonts w:ascii="Arial Narrow" w:hAnsi="Arial Narrow" w:cs="Arial Narrow"/>
                <w:sz w:val="20"/>
                <w:szCs w:val="20"/>
              </w:rPr>
              <w:t>Injection</w:t>
            </w:r>
          </w:p>
        </w:tc>
        <w:tc>
          <w:tcPr>
            <w:tcW w:w="1494" w:type="pct"/>
            <w:vAlign w:val="center"/>
          </w:tcPr>
          <w:p w14:paraId="3A3C65F5" w14:textId="77777777" w:rsidR="00115945" w:rsidRPr="00B36050" w:rsidRDefault="00115945" w:rsidP="00115945">
            <w:pPr>
              <w:widowControl w:val="0"/>
              <w:jc w:val="left"/>
              <w:rPr>
                <w:rFonts w:ascii="Arial Narrow" w:eastAsiaTheme="majorEastAsia" w:hAnsi="Arial Narrow" w:cstheme="majorBidi"/>
                <w:bCs/>
                <w:i/>
                <w:iCs/>
                <w:sz w:val="20"/>
                <w:u w:val="single"/>
              </w:rPr>
            </w:pPr>
            <w:r w:rsidRPr="00B36050">
              <w:rPr>
                <w:rFonts w:ascii="Arial Narrow" w:eastAsiaTheme="majorEastAsia" w:hAnsi="Arial Narrow" w:cstheme="majorBidi"/>
                <w:bCs/>
                <w:i/>
                <w:iCs/>
                <w:sz w:val="20"/>
                <w:u w:val="single"/>
              </w:rPr>
              <w:t>Published</w:t>
            </w:r>
          </w:p>
          <w:p w14:paraId="3A20443E" w14:textId="7AA5D179" w:rsidR="00115945" w:rsidRPr="00B36050" w:rsidRDefault="00115945" w:rsidP="00115945">
            <w:pPr>
              <w:widowControl w:val="0"/>
              <w:jc w:val="left"/>
              <w:rPr>
                <w:rFonts w:ascii="Arial Narrow" w:eastAsiaTheme="majorEastAsia" w:hAnsi="Arial Narrow" w:cstheme="majorBidi"/>
                <w:bCs/>
                <w:i/>
                <w:iCs/>
                <w:sz w:val="20"/>
              </w:rPr>
            </w:pPr>
            <w:r w:rsidRPr="00B36050">
              <w:rPr>
                <w:rFonts w:ascii="Arial Narrow" w:eastAsiaTheme="majorEastAsia" w:hAnsi="Arial Narrow" w:cstheme="majorBidi"/>
                <w:bCs/>
                <w:i/>
                <w:iCs/>
                <w:sz w:val="20"/>
              </w:rPr>
              <w:t>Public: $</w:t>
            </w:r>
            <w:r w:rsidR="00A96011">
              <w:rPr>
                <w:rFonts w:ascii="Arial Narrow" w:eastAsiaTheme="majorEastAsia" w:hAnsi="Arial Narrow" w:cstheme="majorBidi"/>
                <w:bCs/>
                <w:i/>
                <w:iCs/>
                <w:sz w:val="20"/>
              </w:rPr>
              <w:t>1,407.08</w:t>
            </w:r>
          </w:p>
          <w:p w14:paraId="02E6C902" w14:textId="194672D3" w:rsidR="00115945" w:rsidRPr="00B36050" w:rsidRDefault="00115945" w:rsidP="00115945">
            <w:pPr>
              <w:widowControl w:val="0"/>
              <w:jc w:val="left"/>
              <w:rPr>
                <w:rFonts w:ascii="Arial Narrow" w:eastAsiaTheme="majorEastAsia" w:hAnsi="Arial Narrow" w:cstheme="majorBidi"/>
                <w:bCs/>
                <w:i/>
                <w:iCs/>
                <w:sz w:val="20"/>
              </w:rPr>
            </w:pPr>
            <w:r w:rsidRPr="00B36050">
              <w:rPr>
                <w:rFonts w:ascii="Arial Narrow" w:eastAsiaTheme="majorEastAsia" w:hAnsi="Arial Narrow" w:cstheme="majorBidi"/>
                <w:bCs/>
                <w:i/>
                <w:iCs/>
                <w:sz w:val="20"/>
              </w:rPr>
              <w:t>Private: $</w:t>
            </w:r>
            <w:r w:rsidR="005A6AB7">
              <w:rPr>
                <w:rFonts w:ascii="Arial Narrow" w:eastAsiaTheme="majorEastAsia" w:hAnsi="Arial Narrow" w:cstheme="majorBidi"/>
                <w:bCs/>
                <w:i/>
                <w:iCs/>
                <w:sz w:val="20"/>
              </w:rPr>
              <w:t>1,470.19</w:t>
            </w:r>
          </w:p>
          <w:p w14:paraId="6AB9F3F7" w14:textId="77777777" w:rsidR="00115945" w:rsidRPr="00B36050" w:rsidRDefault="00115945" w:rsidP="00115945">
            <w:pPr>
              <w:widowControl w:val="0"/>
              <w:jc w:val="left"/>
              <w:rPr>
                <w:rFonts w:ascii="Arial Narrow" w:eastAsiaTheme="majorEastAsia" w:hAnsi="Arial Narrow" w:cstheme="majorBidi"/>
                <w:bCs/>
                <w:i/>
                <w:iCs/>
                <w:sz w:val="20"/>
                <w:u w:val="single"/>
              </w:rPr>
            </w:pPr>
            <w:r w:rsidRPr="00B36050">
              <w:rPr>
                <w:rFonts w:ascii="Arial Narrow" w:eastAsiaTheme="majorEastAsia" w:hAnsi="Arial Narrow" w:cstheme="majorBidi"/>
                <w:bCs/>
                <w:i/>
                <w:iCs/>
                <w:sz w:val="20"/>
                <w:u w:val="single"/>
              </w:rPr>
              <w:t>Effective</w:t>
            </w:r>
          </w:p>
          <w:p w14:paraId="7AD14B4E" w14:textId="251C3D59" w:rsidR="00115945" w:rsidRPr="00B36050" w:rsidRDefault="00115945" w:rsidP="00115945">
            <w:pPr>
              <w:widowControl w:val="0"/>
              <w:jc w:val="left"/>
              <w:rPr>
                <w:rFonts w:ascii="Arial Narrow" w:eastAsiaTheme="majorEastAsia" w:hAnsi="Arial Narrow" w:cstheme="majorBidi"/>
                <w:bCs/>
                <w:i/>
                <w:iCs/>
                <w:sz w:val="20"/>
              </w:rPr>
            </w:pPr>
            <w:r w:rsidRPr="00B36050">
              <w:rPr>
                <w:rFonts w:ascii="Arial Narrow" w:eastAsiaTheme="majorEastAsia" w:hAnsi="Arial Narrow" w:cstheme="majorBidi"/>
                <w:bCs/>
                <w:i/>
                <w:iCs/>
                <w:sz w:val="20"/>
              </w:rPr>
              <w:t>Public: $</w:t>
            </w:r>
            <w:r w:rsidR="00BD6E95" w:rsidRPr="00BD6E95">
              <w:rPr>
                <w:rFonts w:ascii="Arial Narrow" w:eastAsiaTheme="majorEastAsia" w:hAnsi="Arial Narrow" w:cstheme="majorBidi"/>
                <w:bCs/>
                <w:i/>
                <w:iCs/>
                <w:color w:val="000000"/>
                <w:spacing w:val="53"/>
                <w:sz w:val="20"/>
                <w:shd w:val="solid" w:color="000000" w:fill="000000"/>
                <w:fitText w:val="330" w:id="-632054008"/>
                <w14:textFill>
                  <w14:solidFill>
                    <w14:srgbClr w14:val="000000">
                      <w14:alpha w14:val="100000"/>
                    </w14:srgbClr>
                  </w14:solidFill>
                </w14:textFill>
              </w:rPr>
              <w:t>|||</w:t>
            </w:r>
            <w:r w:rsidR="00BD6E95" w:rsidRPr="00BD6E95">
              <w:rPr>
                <w:rFonts w:ascii="Arial Narrow" w:eastAsiaTheme="majorEastAsia" w:hAnsi="Arial Narrow" w:cstheme="majorBidi"/>
                <w:bCs/>
                <w:i/>
                <w:iCs/>
                <w:color w:val="000000"/>
                <w:spacing w:val="1"/>
                <w:sz w:val="20"/>
                <w:shd w:val="solid" w:color="000000" w:fill="000000"/>
                <w:fitText w:val="330" w:id="-632054008"/>
                <w14:textFill>
                  <w14:solidFill>
                    <w14:srgbClr w14:val="000000">
                      <w14:alpha w14:val="100000"/>
                    </w14:srgbClr>
                  </w14:solidFill>
                </w14:textFill>
              </w:rPr>
              <w:t>|</w:t>
            </w:r>
          </w:p>
          <w:p w14:paraId="4A3E7EE7" w14:textId="5514C1A6" w:rsidR="006923BC" w:rsidRPr="00755DBE" w:rsidRDefault="00115945" w:rsidP="00115945">
            <w:pPr>
              <w:keepNext/>
              <w:rPr>
                <w:rFonts w:ascii="Arial Narrow" w:hAnsi="Arial Narrow"/>
                <w:sz w:val="20"/>
                <w:szCs w:val="20"/>
              </w:rPr>
            </w:pPr>
            <w:r w:rsidRPr="00B36050">
              <w:rPr>
                <w:rFonts w:ascii="Arial Narrow" w:eastAsiaTheme="majorEastAsia" w:hAnsi="Arial Narrow" w:cstheme="majorBidi"/>
                <w:bCs/>
                <w:i/>
                <w:iCs/>
                <w:sz w:val="20"/>
              </w:rPr>
              <w:t>Private: $</w:t>
            </w:r>
            <w:r w:rsidR="00BD6E95" w:rsidRPr="00BD6E95">
              <w:rPr>
                <w:rFonts w:ascii="Arial Narrow" w:eastAsiaTheme="majorEastAsia" w:hAnsi="Arial Narrow" w:cstheme="majorBidi"/>
                <w:bCs/>
                <w:i/>
                <w:iCs/>
                <w:color w:val="000000"/>
                <w:spacing w:val="8"/>
                <w:sz w:val="20"/>
                <w:shd w:val="solid" w:color="000000" w:fill="000000"/>
                <w:fitText w:val="304" w:id="-632054007"/>
                <w14:textFill>
                  <w14:solidFill>
                    <w14:srgbClr w14:val="000000">
                      <w14:alpha w14:val="100000"/>
                    </w14:srgbClr>
                  </w14:solidFill>
                </w14:textFill>
              </w:rPr>
              <w:t>||  |</w:t>
            </w:r>
            <w:r w:rsidR="00BD6E95" w:rsidRPr="00BD6E95">
              <w:rPr>
                <w:rFonts w:ascii="Arial Narrow" w:eastAsiaTheme="majorEastAsia" w:hAnsi="Arial Narrow" w:cstheme="majorBidi"/>
                <w:bCs/>
                <w:i/>
                <w:iCs/>
                <w:color w:val="000000"/>
                <w:spacing w:val="3"/>
                <w:sz w:val="20"/>
                <w:shd w:val="solid" w:color="000000" w:fill="000000"/>
                <w:fitText w:val="304" w:id="-632054007"/>
                <w14:textFill>
                  <w14:solidFill>
                    <w14:srgbClr w14:val="000000">
                      <w14:alpha w14:val="100000"/>
                    </w14:srgbClr>
                  </w14:solidFill>
                </w14:textFill>
              </w:rPr>
              <w:t>|</w:t>
            </w:r>
          </w:p>
        </w:tc>
        <w:tc>
          <w:tcPr>
            <w:tcW w:w="708" w:type="pct"/>
            <w:vAlign w:val="center"/>
          </w:tcPr>
          <w:p w14:paraId="5A9730A5" w14:textId="77777777" w:rsidR="006923BC" w:rsidRPr="00755DBE" w:rsidRDefault="006923BC" w:rsidP="002178A9">
            <w:pPr>
              <w:keepNext/>
              <w:jc w:val="center"/>
              <w:rPr>
                <w:rFonts w:ascii="Arial Narrow" w:hAnsi="Arial Narrow"/>
                <w:sz w:val="20"/>
                <w:szCs w:val="20"/>
              </w:rPr>
            </w:pPr>
            <w:r w:rsidRPr="00755DBE">
              <w:rPr>
                <w:rFonts w:ascii="Arial Narrow" w:hAnsi="Arial Narrow"/>
                <w:sz w:val="20"/>
                <w:szCs w:val="20"/>
              </w:rPr>
              <w:t>NEW (Public)</w:t>
            </w:r>
            <w:r w:rsidRPr="00755DBE">
              <w:rPr>
                <w:rFonts w:ascii="Arial Narrow" w:hAnsi="Arial Narrow"/>
                <w:sz w:val="20"/>
                <w:szCs w:val="20"/>
              </w:rPr>
              <w:br/>
              <w:t>NEW (Private)</w:t>
            </w:r>
          </w:p>
        </w:tc>
        <w:tc>
          <w:tcPr>
            <w:tcW w:w="707" w:type="pct"/>
            <w:vAlign w:val="center"/>
          </w:tcPr>
          <w:p w14:paraId="753203C7" w14:textId="77777777" w:rsidR="006923BC" w:rsidRPr="00755DBE" w:rsidRDefault="006923BC" w:rsidP="002178A9">
            <w:pPr>
              <w:keepNext/>
              <w:jc w:val="center"/>
              <w:rPr>
                <w:rFonts w:ascii="Arial Narrow" w:hAnsi="Arial Narrow"/>
                <w:sz w:val="20"/>
                <w:szCs w:val="20"/>
              </w:rPr>
            </w:pPr>
            <w:r w:rsidRPr="00755DBE">
              <w:rPr>
                <w:rFonts w:ascii="Arial Narrow" w:hAnsi="Arial Narrow"/>
                <w:i/>
                <w:iCs/>
                <w:sz w:val="20"/>
                <w:szCs w:val="20"/>
              </w:rPr>
              <w:t>2.5</w:t>
            </w:r>
            <w:r w:rsidRPr="00755DBE">
              <w:rPr>
                <w:rFonts w:ascii="Arial Narrow" w:hAnsi="Arial Narrow"/>
                <w:sz w:val="20"/>
                <w:szCs w:val="20"/>
              </w:rPr>
              <w:t xml:space="preserve"> </w:t>
            </w:r>
            <w:r w:rsidRPr="00755DBE">
              <w:rPr>
                <w:rFonts w:ascii="Arial Narrow" w:hAnsi="Arial Narrow"/>
                <w:strike/>
                <w:sz w:val="20"/>
                <w:szCs w:val="20"/>
              </w:rPr>
              <w:t>10</w:t>
            </w:r>
            <w:r w:rsidRPr="00755DBE">
              <w:rPr>
                <w:rFonts w:ascii="Arial Narrow" w:hAnsi="Arial Narrow"/>
                <w:sz w:val="20"/>
                <w:szCs w:val="20"/>
              </w:rPr>
              <w:t xml:space="preserve"> mg</w:t>
            </w:r>
          </w:p>
          <w:p w14:paraId="1AC7E155" w14:textId="77777777" w:rsidR="006923BC" w:rsidRPr="00755DBE" w:rsidRDefault="006923BC" w:rsidP="002178A9">
            <w:pPr>
              <w:keepNext/>
              <w:jc w:val="center"/>
              <w:rPr>
                <w:rFonts w:ascii="Arial Narrow" w:hAnsi="Arial Narrow"/>
                <w:sz w:val="20"/>
                <w:szCs w:val="20"/>
              </w:rPr>
            </w:pPr>
          </w:p>
        </w:tc>
        <w:tc>
          <w:tcPr>
            <w:tcW w:w="601" w:type="pct"/>
            <w:vAlign w:val="center"/>
          </w:tcPr>
          <w:p w14:paraId="011C2D0F" w14:textId="627298B0" w:rsidR="006923BC" w:rsidRPr="00755DBE" w:rsidRDefault="006923BC" w:rsidP="002178A9">
            <w:pPr>
              <w:keepNext/>
              <w:jc w:val="center"/>
              <w:rPr>
                <w:rFonts w:ascii="Arial Narrow" w:hAnsi="Arial Narrow"/>
                <w:sz w:val="20"/>
                <w:szCs w:val="20"/>
              </w:rPr>
            </w:pPr>
            <w:r w:rsidRPr="00755DBE">
              <w:rPr>
                <w:rFonts w:ascii="Arial Narrow" w:hAnsi="Arial Narrow"/>
                <w:i/>
                <w:iCs/>
                <w:sz w:val="20"/>
                <w:szCs w:val="20"/>
              </w:rPr>
              <w:t>0</w:t>
            </w:r>
            <w:r w:rsidRPr="00755DBE">
              <w:rPr>
                <w:rFonts w:ascii="Arial Narrow" w:hAnsi="Arial Narrow"/>
                <w:sz w:val="20"/>
                <w:szCs w:val="20"/>
              </w:rPr>
              <w:t xml:space="preserve"> </w:t>
            </w:r>
          </w:p>
        </w:tc>
      </w:tr>
      <w:tr w:rsidR="005A4BF3" w:rsidRPr="00755DBE" w14:paraId="77F90111" w14:textId="77777777" w:rsidTr="002178A9">
        <w:trPr>
          <w:cantSplit/>
          <w:trHeight w:val="20"/>
        </w:trPr>
        <w:tc>
          <w:tcPr>
            <w:tcW w:w="5000" w:type="pct"/>
            <w:gridSpan w:val="6"/>
            <w:vAlign w:val="center"/>
          </w:tcPr>
          <w:p w14:paraId="673BB0C2" w14:textId="77777777" w:rsidR="005A4BF3" w:rsidRPr="00755DBE" w:rsidRDefault="005A4BF3" w:rsidP="002178A9">
            <w:pPr>
              <w:keepNext/>
              <w:rPr>
                <w:rFonts w:ascii="Arial Narrow" w:hAnsi="Arial Narrow"/>
                <w:b/>
                <w:sz w:val="20"/>
                <w:szCs w:val="20"/>
              </w:rPr>
            </w:pPr>
            <w:r w:rsidRPr="00755DBE">
              <w:rPr>
                <w:rFonts w:ascii="Arial Narrow" w:hAnsi="Arial Narrow"/>
                <w:b/>
                <w:sz w:val="20"/>
                <w:szCs w:val="20"/>
              </w:rPr>
              <w:t xml:space="preserve">Available brands </w:t>
            </w:r>
          </w:p>
        </w:tc>
      </w:tr>
      <w:tr w:rsidR="005A4BF3" w:rsidRPr="00755DBE" w14:paraId="0238C90F" w14:textId="77777777" w:rsidTr="002178A9">
        <w:trPr>
          <w:cantSplit/>
          <w:trHeight w:val="20"/>
        </w:trPr>
        <w:tc>
          <w:tcPr>
            <w:tcW w:w="5000" w:type="pct"/>
            <w:gridSpan w:val="6"/>
            <w:vAlign w:val="center"/>
          </w:tcPr>
          <w:p w14:paraId="26AAD1A1" w14:textId="77777777" w:rsidR="005A4BF3" w:rsidRPr="00755DBE" w:rsidRDefault="005A4BF3" w:rsidP="002178A9">
            <w:pPr>
              <w:keepNext/>
              <w:rPr>
                <w:rFonts w:ascii="Arial Narrow" w:hAnsi="Arial Narrow"/>
                <w:sz w:val="20"/>
                <w:szCs w:val="20"/>
              </w:rPr>
            </w:pPr>
            <w:r w:rsidRPr="00755DBE">
              <w:rPr>
                <w:rFonts w:ascii="Arial Narrow" w:hAnsi="Arial Narrow"/>
                <w:sz w:val="20"/>
                <w:szCs w:val="20"/>
              </w:rPr>
              <w:t xml:space="preserve">Columvi </w:t>
            </w:r>
            <w:r w:rsidRPr="00755DBE">
              <w:rPr>
                <w:rFonts w:ascii="Arial Narrow" w:hAnsi="Arial Narrow"/>
                <w:sz w:val="20"/>
                <w:szCs w:val="20"/>
              </w:rPr>
              <w:br/>
              <w:t>Glofitamab 2.5 mg injection, 1 vial</w:t>
            </w:r>
          </w:p>
        </w:tc>
      </w:tr>
      <w:tr w:rsidR="005A4BF3" w:rsidRPr="00755DBE" w14:paraId="4BD81600" w14:textId="77777777" w:rsidTr="002178A9">
        <w:trPr>
          <w:cantSplit/>
          <w:trHeight w:val="20"/>
        </w:trPr>
        <w:tc>
          <w:tcPr>
            <w:tcW w:w="5000" w:type="pct"/>
            <w:gridSpan w:val="6"/>
            <w:vAlign w:val="center"/>
          </w:tcPr>
          <w:p w14:paraId="5786076F" w14:textId="77777777" w:rsidR="005A4BF3" w:rsidRPr="00755DBE" w:rsidRDefault="005A4BF3" w:rsidP="002178A9">
            <w:pPr>
              <w:keepNext/>
              <w:rPr>
                <w:rFonts w:ascii="Arial Narrow" w:hAnsi="Arial Narrow"/>
                <w:strike/>
                <w:sz w:val="20"/>
                <w:szCs w:val="20"/>
              </w:rPr>
            </w:pPr>
            <w:r w:rsidRPr="00755DBE">
              <w:rPr>
                <w:rFonts w:ascii="Arial Narrow" w:hAnsi="Arial Narrow"/>
                <w:strike/>
                <w:sz w:val="20"/>
                <w:szCs w:val="20"/>
              </w:rPr>
              <w:t xml:space="preserve">Columvi </w:t>
            </w:r>
            <w:r w:rsidRPr="00755DBE">
              <w:rPr>
                <w:rFonts w:ascii="Arial Narrow" w:hAnsi="Arial Narrow"/>
                <w:strike/>
                <w:sz w:val="20"/>
                <w:szCs w:val="20"/>
              </w:rPr>
              <w:br/>
              <w:t>Glofitamab 10 mg injection, 1 vial</w:t>
            </w:r>
          </w:p>
        </w:tc>
      </w:tr>
      <w:tr w:rsidR="005A4BF3" w:rsidRPr="00755DBE" w14:paraId="57FA8D7F" w14:textId="77777777" w:rsidTr="002178A9">
        <w:trPr>
          <w:cantSplit/>
          <w:trHeight w:val="20"/>
        </w:trPr>
        <w:tc>
          <w:tcPr>
            <w:tcW w:w="5000" w:type="pct"/>
            <w:gridSpan w:val="6"/>
            <w:vAlign w:val="center"/>
          </w:tcPr>
          <w:p w14:paraId="3BD0E554" w14:textId="77777777" w:rsidR="005A4BF3" w:rsidRPr="00755DBE" w:rsidRDefault="005A4BF3" w:rsidP="002178A9">
            <w:pPr>
              <w:rPr>
                <w:rFonts w:ascii="Arial Narrow" w:hAnsi="Arial Narrow"/>
                <w:sz w:val="20"/>
                <w:szCs w:val="20"/>
              </w:rPr>
            </w:pPr>
          </w:p>
        </w:tc>
      </w:tr>
      <w:tr w:rsidR="005A4BF3" w:rsidRPr="00755DBE" w14:paraId="75BECF4B" w14:textId="77777777" w:rsidTr="002178A9">
        <w:trPr>
          <w:cantSplit/>
          <w:trHeight w:val="20"/>
        </w:trPr>
        <w:tc>
          <w:tcPr>
            <w:tcW w:w="5000" w:type="pct"/>
            <w:gridSpan w:val="6"/>
            <w:vAlign w:val="center"/>
          </w:tcPr>
          <w:p w14:paraId="42133401" w14:textId="77777777" w:rsidR="005A4BF3" w:rsidRPr="00755DBE" w:rsidRDefault="005A4BF3" w:rsidP="002178A9">
            <w:pPr>
              <w:keepNext/>
              <w:rPr>
                <w:rFonts w:ascii="Arial Narrow" w:hAnsi="Arial Narrow"/>
                <w:sz w:val="20"/>
                <w:szCs w:val="20"/>
              </w:rPr>
            </w:pPr>
            <w:r w:rsidRPr="00755DBE">
              <w:rPr>
                <w:rFonts w:ascii="Arial Narrow" w:hAnsi="Arial Narrow"/>
                <w:b/>
                <w:sz w:val="20"/>
                <w:szCs w:val="20"/>
              </w:rPr>
              <w:t xml:space="preserve">Restriction Summary [new2] / Treatment of Concept: [new2A] </w:t>
            </w:r>
          </w:p>
        </w:tc>
      </w:tr>
      <w:tr w:rsidR="005A4BF3" w:rsidRPr="00755DBE" w14:paraId="33E3C7EA"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tcPr>
          <w:p w14:paraId="342374A5" w14:textId="77777777" w:rsidR="005A4BF3" w:rsidRPr="00755DBE" w:rsidRDefault="005A4BF3" w:rsidP="002178A9">
            <w:pPr>
              <w:keepNext/>
              <w:jc w:val="center"/>
              <w:rPr>
                <w:rFonts w:ascii="Arial Narrow" w:hAnsi="Arial Narrow"/>
                <w:b/>
                <w:sz w:val="20"/>
                <w:szCs w:val="20"/>
              </w:rPr>
            </w:pPr>
            <w:r w:rsidRPr="00755DBE">
              <w:rPr>
                <w:rFonts w:ascii="Arial Narrow" w:hAnsi="Arial Narrow"/>
                <w:b/>
                <w:sz w:val="20"/>
                <w:szCs w:val="20"/>
              </w:rPr>
              <w:t xml:space="preserve">Concept ID </w:t>
            </w:r>
            <w:r w:rsidRPr="00755DBE">
              <w:rPr>
                <w:rFonts w:ascii="Arial Narrow" w:hAnsi="Arial Narrow"/>
                <w:sz w:val="20"/>
                <w:szCs w:val="20"/>
              </w:rPr>
              <w:t>(for internal Dept. use)</w:t>
            </w:r>
          </w:p>
        </w:tc>
        <w:tc>
          <w:tcPr>
            <w:tcW w:w="4295" w:type="pct"/>
            <w:gridSpan w:val="5"/>
          </w:tcPr>
          <w:p w14:paraId="4F3EB648" w14:textId="77777777" w:rsidR="005A4BF3" w:rsidRPr="00755DBE" w:rsidRDefault="005A4BF3" w:rsidP="002178A9">
            <w:pPr>
              <w:keepNext/>
              <w:rPr>
                <w:rFonts w:ascii="Arial Narrow" w:hAnsi="Arial Narrow"/>
                <w:sz w:val="20"/>
                <w:szCs w:val="20"/>
              </w:rPr>
            </w:pPr>
            <w:r w:rsidRPr="00755DBE">
              <w:rPr>
                <w:rFonts w:ascii="Arial Narrow" w:hAnsi="Arial Narrow"/>
                <w:b/>
                <w:sz w:val="20"/>
                <w:szCs w:val="20"/>
              </w:rPr>
              <w:t xml:space="preserve">Category / Program: </w:t>
            </w:r>
            <w:r w:rsidRPr="00755DBE">
              <w:rPr>
                <w:rFonts w:ascii="Arial Narrow" w:hAnsi="Arial Narrow"/>
                <w:sz w:val="20"/>
                <w:szCs w:val="20"/>
              </w:rPr>
              <w:t>Section 100 – Efficient Funding of Chemotherapy Public/Private hospitals</w:t>
            </w:r>
          </w:p>
        </w:tc>
      </w:tr>
      <w:tr w:rsidR="005A4BF3" w:rsidRPr="00755DBE" w14:paraId="26E8FD9A"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44793B18" w14:textId="77777777" w:rsidR="005A4BF3" w:rsidRPr="00755DBE" w:rsidRDefault="005A4BF3" w:rsidP="002178A9">
            <w:pPr>
              <w:keepNext/>
              <w:rPr>
                <w:rFonts w:ascii="Arial Narrow" w:hAnsi="Arial Narrow"/>
                <w:sz w:val="20"/>
                <w:szCs w:val="20"/>
              </w:rPr>
            </w:pPr>
          </w:p>
        </w:tc>
        <w:tc>
          <w:tcPr>
            <w:tcW w:w="4295" w:type="pct"/>
            <w:gridSpan w:val="5"/>
          </w:tcPr>
          <w:p w14:paraId="79DCCE73" w14:textId="77777777" w:rsidR="005A4BF3" w:rsidRPr="00755DBE" w:rsidRDefault="005A4BF3" w:rsidP="002178A9">
            <w:pPr>
              <w:keepNext/>
              <w:rPr>
                <w:rFonts w:ascii="Arial Narrow" w:hAnsi="Arial Narrow"/>
                <w:b/>
                <w:sz w:val="20"/>
                <w:szCs w:val="20"/>
              </w:rPr>
            </w:pPr>
            <w:r w:rsidRPr="00755DBE">
              <w:rPr>
                <w:rFonts w:ascii="Arial Narrow" w:hAnsi="Arial Narrow"/>
                <w:b/>
                <w:sz w:val="20"/>
                <w:szCs w:val="20"/>
              </w:rPr>
              <w:t xml:space="preserve">Prescriber type: </w:t>
            </w:r>
            <w:r w:rsidRPr="00755DBE">
              <w:rPr>
                <w:rFonts w:ascii="Arial Narrow" w:hAnsi="Arial Narrow"/>
                <w:sz w:val="20"/>
                <w:szCs w:val="20"/>
              </w:rPr>
              <w:fldChar w:fldCharType="begin" w:fldLock="1">
                <w:ffData>
                  <w:name w:val=""/>
                  <w:enabled/>
                  <w:calcOnExit w:val="0"/>
                  <w:checkBox>
                    <w:sizeAuto/>
                    <w:default w:val="1"/>
                  </w:checkBox>
                </w:ffData>
              </w:fldChar>
            </w:r>
            <w:r w:rsidRPr="00755DBE">
              <w:rPr>
                <w:rFonts w:ascii="Arial Narrow" w:hAnsi="Arial Narrow"/>
                <w:sz w:val="20"/>
                <w:szCs w:val="20"/>
              </w:rPr>
              <w:instrText xml:space="preserve"> FORMCHECKBOX </w:instrText>
            </w:r>
            <w:r w:rsidRPr="00755DBE">
              <w:rPr>
                <w:rFonts w:ascii="Arial Narrow" w:hAnsi="Arial Narrow"/>
                <w:sz w:val="20"/>
                <w:szCs w:val="20"/>
              </w:rPr>
            </w:r>
            <w:r w:rsidRPr="00755DBE">
              <w:rPr>
                <w:rFonts w:ascii="Arial Narrow" w:hAnsi="Arial Narrow"/>
                <w:sz w:val="20"/>
                <w:szCs w:val="20"/>
              </w:rPr>
              <w:fldChar w:fldCharType="separate"/>
            </w:r>
            <w:r w:rsidRPr="00755DBE">
              <w:rPr>
                <w:rFonts w:ascii="Arial Narrow" w:hAnsi="Arial Narrow"/>
                <w:sz w:val="20"/>
                <w:szCs w:val="20"/>
              </w:rPr>
              <w:fldChar w:fldCharType="end"/>
            </w:r>
            <w:r w:rsidRPr="00755DBE">
              <w:rPr>
                <w:rFonts w:ascii="Arial Narrow" w:hAnsi="Arial Narrow"/>
                <w:sz w:val="20"/>
                <w:szCs w:val="20"/>
              </w:rPr>
              <w:t xml:space="preserve">Medical Practitioners </w:t>
            </w:r>
          </w:p>
        </w:tc>
      </w:tr>
      <w:tr w:rsidR="005A4BF3" w:rsidRPr="00755DBE" w14:paraId="31D8E03E"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5355BF1B" w14:textId="77777777" w:rsidR="005A4BF3" w:rsidRPr="00755DBE" w:rsidRDefault="005A4BF3" w:rsidP="002178A9">
            <w:pPr>
              <w:rPr>
                <w:rFonts w:ascii="Arial Narrow" w:hAnsi="Arial Narrow"/>
                <w:sz w:val="20"/>
                <w:szCs w:val="20"/>
              </w:rPr>
            </w:pPr>
          </w:p>
        </w:tc>
        <w:tc>
          <w:tcPr>
            <w:tcW w:w="4295" w:type="pct"/>
            <w:gridSpan w:val="5"/>
          </w:tcPr>
          <w:p w14:paraId="1B915790" w14:textId="77777777" w:rsidR="005A4BF3" w:rsidRPr="00755DBE" w:rsidRDefault="005A4BF3" w:rsidP="002178A9">
            <w:pPr>
              <w:rPr>
                <w:rFonts w:ascii="Arial Narrow" w:eastAsia="Calibri" w:hAnsi="Arial Narrow"/>
                <w:sz w:val="20"/>
                <w:szCs w:val="20"/>
              </w:rPr>
            </w:pPr>
            <w:r w:rsidRPr="00755DBE">
              <w:rPr>
                <w:rFonts w:ascii="Arial Narrow" w:hAnsi="Arial Narrow"/>
                <w:b/>
                <w:sz w:val="20"/>
                <w:szCs w:val="20"/>
              </w:rPr>
              <w:t xml:space="preserve">Restriction type: </w:t>
            </w:r>
            <w:r w:rsidRPr="00755DBE">
              <w:rPr>
                <w:rFonts w:ascii="Arial Narrow" w:eastAsia="Calibri" w:hAnsi="Arial Narrow"/>
                <w:sz w:val="20"/>
                <w:szCs w:val="20"/>
              </w:rPr>
              <w:fldChar w:fldCharType="begin" w:fldLock="1">
                <w:ffData>
                  <w:name w:val="Check3"/>
                  <w:enabled/>
                  <w:calcOnExit w:val="0"/>
                  <w:checkBox>
                    <w:sizeAuto/>
                    <w:default w:val="1"/>
                  </w:checkBox>
                </w:ffData>
              </w:fldChar>
            </w:r>
            <w:r w:rsidRPr="00755DBE">
              <w:rPr>
                <w:rFonts w:ascii="Arial Narrow" w:eastAsia="Calibri" w:hAnsi="Arial Narrow"/>
                <w:sz w:val="20"/>
                <w:szCs w:val="20"/>
              </w:rPr>
              <w:instrText xml:space="preserve"> FORMCHECKBOX </w:instrText>
            </w:r>
            <w:r w:rsidRPr="00755DBE">
              <w:rPr>
                <w:rFonts w:ascii="Arial Narrow" w:eastAsia="Calibri" w:hAnsi="Arial Narrow"/>
                <w:sz w:val="20"/>
                <w:szCs w:val="20"/>
              </w:rPr>
            </w:r>
            <w:r w:rsidRPr="00755DBE">
              <w:rPr>
                <w:rFonts w:ascii="Arial Narrow" w:eastAsia="Calibri" w:hAnsi="Arial Narrow"/>
                <w:sz w:val="20"/>
                <w:szCs w:val="20"/>
              </w:rPr>
              <w:fldChar w:fldCharType="separate"/>
            </w:r>
            <w:r w:rsidRPr="00755DBE">
              <w:rPr>
                <w:rFonts w:ascii="Arial Narrow" w:eastAsia="Calibri" w:hAnsi="Arial Narrow"/>
                <w:sz w:val="20"/>
                <w:szCs w:val="20"/>
              </w:rPr>
              <w:fldChar w:fldCharType="end"/>
            </w:r>
            <w:r w:rsidRPr="00755DBE">
              <w:rPr>
                <w:rFonts w:ascii="Arial Narrow" w:eastAsia="Calibri" w:hAnsi="Arial Narrow"/>
                <w:sz w:val="20"/>
                <w:szCs w:val="20"/>
              </w:rPr>
              <w:t xml:space="preserve">Authority Required (telephone/online PBS Authorities system) </w:t>
            </w:r>
          </w:p>
        </w:tc>
      </w:tr>
      <w:tr w:rsidR="005A4BF3" w:rsidRPr="00755DBE" w14:paraId="34F2D2A7"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vAlign w:val="center"/>
          </w:tcPr>
          <w:p w14:paraId="681F7573" w14:textId="77777777" w:rsidR="005A4BF3" w:rsidRPr="00755DBE" w:rsidRDefault="005A4BF3" w:rsidP="002178A9">
            <w:pPr>
              <w:keepLines/>
              <w:jc w:val="center"/>
              <w:rPr>
                <w:rFonts w:ascii="Arial Narrow" w:hAnsi="Arial Narrow"/>
                <w:sz w:val="20"/>
                <w:szCs w:val="20"/>
              </w:rPr>
            </w:pPr>
          </w:p>
        </w:tc>
        <w:tc>
          <w:tcPr>
            <w:tcW w:w="4295" w:type="pct"/>
            <w:gridSpan w:val="5"/>
            <w:vAlign w:val="center"/>
          </w:tcPr>
          <w:p w14:paraId="19E9AF32" w14:textId="77777777" w:rsidR="005A4BF3" w:rsidRPr="00755DBE" w:rsidRDefault="005A4BF3" w:rsidP="002178A9">
            <w:pPr>
              <w:keepLines/>
              <w:rPr>
                <w:rFonts w:ascii="Arial Narrow" w:hAnsi="Arial Narrow"/>
                <w:bCs/>
                <w:sz w:val="20"/>
                <w:szCs w:val="20"/>
              </w:rPr>
            </w:pPr>
            <w:proofErr w:type="spellStart"/>
            <w:r w:rsidRPr="00755DBE">
              <w:rPr>
                <w:rFonts w:ascii="Arial Narrow" w:hAnsi="Arial Narrow"/>
                <w:b/>
                <w:bCs/>
                <w:sz w:val="20"/>
                <w:szCs w:val="20"/>
              </w:rPr>
              <w:t>Episodicity</w:t>
            </w:r>
            <w:proofErr w:type="spellEnd"/>
            <w:r w:rsidRPr="00755DBE">
              <w:rPr>
                <w:rFonts w:ascii="Arial Narrow" w:hAnsi="Arial Narrow"/>
                <w:b/>
                <w:bCs/>
                <w:sz w:val="20"/>
                <w:szCs w:val="20"/>
              </w:rPr>
              <w:t>:</w:t>
            </w:r>
            <w:r w:rsidRPr="00755DBE">
              <w:rPr>
                <w:rFonts w:ascii="Arial Narrow" w:hAnsi="Arial Narrow"/>
                <w:bCs/>
                <w:sz w:val="20"/>
                <w:szCs w:val="20"/>
              </w:rPr>
              <w:t xml:space="preserve"> [blank]</w:t>
            </w:r>
          </w:p>
        </w:tc>
      </w:tr>
      <w:tr w:rsidR="005A4BF3" w:rsidRPr="00755DBE" w14:paraId="3475C8B9"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62882110" w14:textId="77777777" w:rsidR="005A4BF3" w:rsidRPr="00755DBE" w:rsidRDefault="005A4BF3" w:rsidP="002178A9">
            <w:pPr>
              <w:keepLines/>
              <w:jc w:val="center"/>
              <w:rPr>
                <w:rFonts w:ascii="Arial Narrow" w:hAnsi="Arial Narrow"/>
                <w:sz w:val="20"/>
                <w:szCs w:val="20"/>
              </w:rPr>
            </w:pPr>
          </w:p>
        </w:tc>
        <w:tc>
          <w:tcPr>
            <w:tcW w:w="4295" w:type="pct"/>
            <w:gridSpan w:val="5"/>
            <w:vAlign w:val="center"/>
          </w:tcPr>
          <w:p w14:paraId="1B695F32" w14:textId="77777777" w:rsidR="005A4BF3" w:rsidRPr="00755DBE" w:rsidRDefault="005A4BF3" w:rsidP="002178A9">
            <w:pPr>
              <w:keepLines/>
              <w:rPr>
                <w:rFonts w:ascii="Arial Narrow" w:hAnsi="Arial Narrow"/>
                <w:b/>
                <w:bCs/>
                <w:sz w:val="20"/>
                <w:szCs w:val="20"/>
              </w:rPr>
            </w:pPr>
            <w:r w:rsidRPr="00755DBE">
              <w:rPr>
                <w:rFonts w:ascii="Arial Narrow" w:hAnsi="Arial Narrow"/>
                <w:b/>
                <w:bCs/>
                <w:sz w:val="20"/>
                <w:szCs w:val="20"/>
              </w:rPr>
              <w:t xml:space="preserve">Severity: </w:t>
            </w:r>
            <w:r w:rsidRPr="00755DBE">
              <w:rPr>
                <w:rFonts w:ascii="Arial Narrow" w:hAnsi="Arial Narrow"/>
                <w:bCs/>
                <w:sz w:val="20"/>
                <w:szCs w:val="20"/>
              </w:rPr>
              <w:t>Relapsed or refractory</w:t>
            </w:r>
          </w:p>
        </w:tc>
      </w:tr>
      <w:tr w:rsidR="005A4BF3" w:rsidRPr="00755DBE" w14:paraId="58A9D925"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25A22698" w14:textId="77777777" w:rsidR="005A4BF3" w:rsidRPr="00755DBE" w:rsidRDefault="005A4BF3" w:rsidP="002178A9">
            <w:pPr>
              <w:keepLines/>
              <w:jc w:val="center"/>
              <w:rPr>
                <w:rFonts w:ascii="Arial Narrow" w:hAnsi="Arial Narrow"/>
                <w:sz w:val="20"/>
                <w:szCs w:val="20"/>
              </w:rPr>
            </w:pPr>
          </w:p>
        </w:tc>
        <w:tc>
          <w:tcPr>
            <w:tcW w:w="4295" w:type="pct"/>
            <w:gridSpan w:val="5"/>
            <w:vAlign w:val="center"/>
          </w:tcPr>
          <w:p w14:paraId="58AF5056" w14:textId="77777777" w:rsidR="005A4BF3" w:rsidRPr="00755DBE" w:rsidRDefault="005A4BF3" w:rsidP="002178A9">
            <w:pPr>
              <w:keepLines/>
              <w:rPr>
                <w:rFonts w:ascii="Arial Narrow" w:hAnsi="Arial Narrow"/>
                <w:b/>
                <w:bCs/>
                <w:sz w:val="20"/>
                <w:szCs w:val="20"/>
              </w:rPr>
            </w:pPr>
            <w:r w:rsidRPr="00755DBE">
              <w:rPr>
                <w:rFonts w:ascii="Arial Narrow" w:hAnsi="Arial Narrow"/>
                <w:b/>
                <w:bCs/>
                <w:sz w:val="20"/>
                <w:szCs w:val="20"/>
              </w:rPr>
              <w:t xml:space="preserve">Condition: </w:t>
            </w:r>
            <w:r w:rsidRPr="00755DBE">
              <w:rPr>
                <w:rFonts w:ascii="Arial Narrow" w:hAnsi="Arial Narrow"/>
                <w:bCs/>
                <w:sz w:val="20"/>
                <w:szCs w:val="20"/>
              </w:rPr>
              <w:t>Diffuse large b-cell lymphoma (DLBCL)</w:t>
            </w:r>
          </w:p>
        </w:tc>
      </w:tr>
      <w:tr w:rsidR="005A4BF3" w:rsidRPr="00755DBE" w14:paraId="510415A8"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06FC3B7C" w14:textId="61587E23" w:rsidR="005A4BF3" w:rsidRPr="00755DBE" w:rsidRDefault="005A4BF3" w:rsidP="002178A9">
            <w:pPr>
              <w:keepLines/>
              <w:jc w:val="center"/>
              <w:rPr>
                <w:rFonts w:ascii="Arial Narrow" w:hAnsi="Arial Narrow"/>
                <w:sz w:val="20"/>
                <w:szCs w:val="20"/>
              </w:rPr>
            </w:pPr>
          </w:p>
        </w:tc>
        <w:tc>
          <w:tcPr>
            <w:tcW w:w="4295" w:type="pct"/>
            <w:gridSpan w:val="5"/>
            <w:vAlign w:val="center"/>
            <w:hideMark/>
          </w:tcPr>
          <w:p w14:paraId="1582ABC3" w14:textId="77777777" w:rsidR="005A4BF3" w:rsidRPr="00755DBE" w:rsidRDefault="005A4BF3" w:rsidP="002178A9">
            <w:pPr>
              <w:keepLines/>
              <w:rPr>
                <w:rFonts w:ascii="Arial Narrow" w:hAnsi="Arial Narrow"/>
                <w:sz w:val="20"/>
                <w:szCs w:val="20"/>
              </w:rPr>
            </w:pPr>
            <w:r w:rsidRPr="00755DBE">
              <w:rPr>
                <w:rFonts w:ascii="Arial Narrow" w:hAnsi="Arial Narrow"/>
                <w:b/>
                <w:bCs/>
                <w:sz w:val="20"/>
                <w:szCs w:val="20"/>
              </w:rPr>
              <w:t>Indication:</w:t>
            </w:r>
            <w:r w:rsidRPr="00755DBE">
              <w:rPr>
                <w:rFonts w:ascii="Arial Narrow" w:hAnsi="Arial Narrow"/>
                <w:sz w:val="20"/>
                <w:szCs w:val="20"/>
              </w:rPr>
              <w:t xml:space="preserve"> Relapsed or refractory Diffuse large b-cell lymphoma (DLBCL)</w:t>
            </w:r>
          </w:p>
        </w:tc>
      </w:tr>
      <w:tr w:rsidR="005A4BF3" w:rsidRPr="00755DBE" w14:paraId="7AFEF829"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24BFA241" w14:textId="77777777" w:rsidR="005A4BF3" w:rsidRPr="00755DBE" w:rsidRDefault="005A4BF3" w:rsidP="002178A9">
            <w:pPr>
              <w:jc w:val="center"/>
              <w:rPr>
                <w:rFonts w:ascii="Arial Narrow" w:hAnsi="Arial Narrow"/>
                <w:sz w:val="20"/>
                <w:szCs w:val="20"/>
              </w:rPr>
            </w:pPr>
          </w:p>
        </w:tc>
        <w:tc>
          <w:tcPr>
            <w:tcW w:w="4295" w:type="pct"/>
            <w:gridSpan w:val="5"/>
            <w:vAlign w:val="center"/>
            <w:hideMark/>
          </w:tcPr>
          <w:p w14:paraId="66C05162" w14:textId="77777777" w:rsidR="005A4BF3" w:rsidRPr="00755DBE" w:rsidRDefault="005A4BF3" w:rsidP="002178A9">
            <w:pPr>
              <w:rPr>
                <w:rFonts w:ascii="Arial Narrow" w:hAnsi="Arial Narrow"/>
                <w:sz w:val="20"/>
                <w:szCs w:val="20"/>
              </w:rPr>
            </w:pPr>
            <w:r w:rsidRPr="00755DBE">
              <w:rPr>
                <w:rFonts w:ascii="Arial Narrow" w:hAnsi="Arial Narrow"/>
                <w:b/>
                <w:bCs/>
                <w:sz w:val="20"/>
                <w:szCs w:val="20"/>
              </w:rPr>
              <w:t>Treatment Phase:</w:t>
            </w:r>
            <w:r w:rsidRPr="00755DBE">
              <w:rPr>
                <w:rFonts w:ascii="Arial Narrow" w:hAnsi="Arial Narrow"/>
                <w:sz w:val="20"/>
                <w:szCs w:val="20"/>
              </w:rPr>
              <w:t xml:space="preserve"> Initial treatment (cycle 1 </w:t>
            </w:r>
            <w:r w:rsidRPr="00755DBE">
              <w:rPr>
                <w:rFonts w:ascii="Arial Narrow" w:hAnsi="Arial Narrow"/>
                <w:i/>
                <w:iCs/>
                <w:sz w:val="20"/>
                <w:szCs w:val="20"/>
              </w:rPr>
              <w:t>– day 8</w:t>
            </w:r>
            <w:r w:rsidRPr="00755DBE">
              <w:rPr>
                <w:rFonts w:ascii="Arial Narrow" w:hAnsi="Arial Narrow"/>
                <w:sz w:val="20"/>
                <w:szCs w:val="20"/>
              </w:rPr>
              <w:t>)</w:t>
            </w:r>
          </w:p>
        </w:tc>
      </w:tr>
      <w:tr w:rsidR="005A4BF3" w:rsidRPr="00755DBE" w14:paraId="24B16858"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22833BC0" w14:textId="77777777" w:rsidR="005A4BF3" w:rsidRPr="00755DBE" w:rsidRDefault="005A4BF3" w:rsidP="002178A9">
            <w:pPr>
              <w:jc w:val="center"/>
              <w:rPr>
                <w:rFonts w:ascii="Arial Narrow" w:hAnsi="Arial Narrow"/>
                <w:sz w:val="20"/>
                <w:szCs w:val="20"/>
              </w:rPr>
            </w:pPr>
          </w:p>
        </w:tc>
        <w:tc>
          <w:tcPr>
            <w:tcW w:w="4295" w:type="pct"/>
            <w:gridSpan w:val="5"/>
            <w:vAlign w:val="center"/>
            <w:hideMark/>
          </w:tcPr>
          <w:p w14:paraId="1F97FC29" w14:textId="77777777" w:rsidR="005A4BF3" w:rsidRPr="00755DBE" w:rsidRDefault="005A4BF3" w:rsidP="002178A9">
            <w:pPr>
              <w:rPr>
                <w:rFonts w:ascii="Arial Narrow" w:hAnsi="Arial Narrow"/>
                <w:sz w:val="20"/>
                <w:szCs w:val="20"/>
              </w:rPr>
            </w:pPr>
            <w:r w:rsidRPr="00755DBE">
              <w:rPr>
                <w:rFonts w:ascii="Arial Narrow" w:hAnsi="Arial Narrow"/>
                <w:b/>
                <w:bCs/>
                <w:sz w:val="20"/>
                <w:szCs w:val="20"/>
              </w:rPr>
              <w:t xml:space="preserve">Clinical criteria: </w:t>
            </w:r>
          </w:p>
        </w:tc>
      </w:tr>
      <w:tr w:rsidR="005A4BF3" w:rsidRPr="00755DBE" w14:paraId="01280435"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44FCBB54"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2EAB6AAC" w14:textId="77777777" w:rsidR="005A4BF3" w:rsidRPr="00755DBE" w:rsidRDefault="005A4BF3" w:rsidP="002178A9">
            <w:pPr>
              <w:rPr>
                <w:rFonts w:ascii="Arial Narrow" w:hAnsi="Arial Narrow"/>
                <w:sz w:val="20"/>
                <w:szCs w:val="20"/>
              </w:rPr>
            </w:pPr>
            <w:r w:rsidRPr="00755DBE">
              <w:rPr>
                <w:rFonts w:ascii="Arial Narrow" w:hAnsi="Arial Narrow"/>
                <w:strike/>
                <w:sz w:val="20"/>
                <w:szCs w:val="20"/>
              </w:rPr>
              <w:t>The</w:t>
            </w:r>
            <w:r w:rsidRPr="00755DBE">
              <w:rPr>
                <w:rFonts w:ascii="Arial Narrow" w:hAnsi="Arial Narrow"/>
                <w:sz w:val="20"/>
                <w:szCs w:val="20"/>
              </w:rPr>
              <w:t xml:space="preserve"> </w:t>
            </w:r>
            <w:r w:rsidRPr="006740AB">
              <w:rPr>
                <w:rFonts w:ascii="Arial Narrow" w:hAnsi="Arial Narrow"/>
                <w:i/>
                <w:iCs/>
                <w:sz w:val="20"/>
                <w:szCs w:val="20"/>
              </w:rPr>
              <w:t>P</w:t>
            </w:r>
            <w:r w:rsidRPr="00755DBE">
              <w:rPr>
                <w:rFonts w:ascii="Arial Narrow" w:hAnsi="Arial Narrow"/>
                <w:sz w:val="20"/>
                <w:szCs w:val="20"/>
              </w:rPr>
              <w:t>atient must have relapsed or become refractory to at least one prior systemic therapy.</w:t>
            </w:r>
          </w:p>
        </w:tc>
      </w:tr>
      <w:tr w:rsidR="005A4BF3" w:rsidRPr="00755DBE" w14:paraId="3759D953"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77360FCF"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70097EFE" w14:textId="77777777" w:rsidR="005A4BF3" w:rsidRPr="00755DBE" w:rsidRDefault="005A4BF3" w:rsidP="002178A9">
            <w:pPr>
              <w:rPr>
                <w:rFonts w:ascii="Arial Narrow" w:hAnsi="Arial Narrow"/>
                <w:sz w:val="20"/>
                <w:szCs w:val="20"/>
              </w:rPr>
            </w:pPr>
            <w:r w:rsidRPr="00755DBE">
              <w:rPr>
                <w:rFonts w:ascii="Arial Narrow" w:hAnsi="Arial Narrow"/>
                <w:b/>
                <w:bCs/>
                <w:sz w:val="20"/>
                <w:szCs w:val="20"/>
              </w:rPr>
              <w:t>AND</w:t>
            </w:r>
          </w:p>
        </w:tc>
      </w:tr>
      <w:tr w:rsidR="005A4BF3" w:rsidRPr="00755DBE" w14:paraId="04A60D95"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0CF31328"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64329C60" w14:textId="77777777" w:rsidR="005A4BF3" w:rsidRPr="00755DBE" w:rsidRDefault="005A4BF3" w:rsidP="002178A9">
            <w:pPr>
              <w:rPr>
                <w:rFonts w:ascii="Arial Narrow" w:hAnsi="Arial Narrow"/>
                <w:sz w:val="20"/>
                <w:szCs w:val="20"/>
              </w:rPr>
            </w:pPr>
            <w:r w:rsidRPr="00755DBE">
              <w:rPr>
                <w:rFonts w:ascii="Arial Narrow" w:hAnsi="Arial Narrow"/>
                <w:b/>
                <w:bCs/>
                <w:sz w:val="20"/>
                <w:szCs w:val="20"/>
              </w:rPr>
              <w:t>Clinical criteria:</w:t>
            </w:r>
          </w:p>
        </w:tc>
      </w:tr>
      <w:tr w:rsidR="005A4BF3" w:rsidRPr="00755DBE" w14:paraId="44B8E303"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7163C685"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1BC3E1C4" w14:textId="77777777" w:rsidR="005A4BF3" w:rsidRPr="00755DBE" w:rsidRDefault="005A4BF3" w:rsidP="002178A9">
            <w:pPr>
              <w:rPr>
                <w:rFonts w:ascii="Arial Narrow" w:hAnsi="Arial Narrow"/>
                <w:sz w:val="20"/>
                <w:szCs w:val="20"/>
              </w:rPr>
            </w:pPr>
            <w:r w:rsidRPr="00755DBE">
              <w:rPr>
                <w:rFonts w:ascii="Arial Narrow" w:hAnsi="Arial Narrow"/>
                <w:sz w:val="20"/>
                <w:szCs w:val="20"/>
              </w:rPr>
              <w:t>Patient must be unsuitable for stem cell transplant.</w:t>
            </w:r>
          </w:p>
        </w:tc>
      </w:tr>
      <w:tr w:rsidR="005A4BF3" w:rsidRPr="00755DBE" w14:paraId="375C0E50"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03E9B685"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380BCA48" w14:textId="77777777" w:rsidR="005A4BF3" w:rsidRPr="00755DBE" w:rsidRDefault="005A4BF3" w:rsidP="002178A9">
            <w:pPr>
              <w:rPr>
                <w:rFonts w:ascii="Arial Narrow" w:hAnsi="Arial Narrow"/>
                <w:sz w:val="20"/>
                <w:szCs w:val="20"/>
              </w:rPr>
            </w:pPr>
            <w:r w:rsidRPr="00755DBE">
              <w:rPr>
                <w:rFonts w:ascii="Arial Narrow" w:hAnsi="Arial Narrow"/>
                <w:b/>
                <w:bCs/>
                <w:sz w:val="20"/>
                <w:szCs w:val="20"/>
              </w:rPr>
              <w:t>AND</w:t>
            </w:r>
          </w:p>
        </w:tc>
      </w:tr>
      <w:tr w:rsidR="005A4BF3" w:rsidRPr="00755DBE" w14:paraId="22EC5817"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619DEAF4"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024B6EF5" w14:textId="77777777" w:rsidR="005A4BF3" w:rsidRPr="00755DBE" w:rsidRDefault="005A4BF3" w:rsidP="002178A9">
            <w:pPr>
              <w:rPr>
                <w:rFonts w:ascii="Arial Narrow" w:hAnsi="Arial Narrow"/>
                <w:sz w:val="20"/>
                <w:szCs w:val="20"/>
              </w:rPr>
            </w:pPr>
            <w:r w:rsidRPr="00755DBE">
              <w:rPr>
                <w:rFonts w:ascii="Arial Narrow" w:hAnsi="Arial Narrow"/>
                <w:b/>
                <w:bCs/>
                <w:sz w:val="20"/>
                <w:szCs w:val="20"/>
              </w:rPr>
              <w:t>Clinical criteria:</w:t>
            </w:r>
          </w:p>
        </w:tc>
      </w:tr>
      <w:tr w:rsidR="005A4BF3" w:rsidRPr="00755DBE" w14:paraId="0B9B9798"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5FFC2ED7"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689DDFB2" w14:textId="77777777" w:rsidR="005A4BF3" w:rsidRPr="00755DBE" w:rsidRDefault="005A4BF3" w:rsidP="002178A9">
            <w:pPr>
              <w:rPr>
                <w:rFonts w:ascii="Arial Narrow" w:hAnsi="Arial Narrow"/>
                <w:sz w:val="20"/>
                <w:szCs w:val="20"/>
              </w:rPr>
            </w:pPr>
            <w:r w:rsidRPr="00755DBE">
              <w:rPr>
                <w:rFonts w:ascii="Arial Narrow" w:hAnsi="Arial Narrow"/>
                <w:sz w:val="20"/>
                <w:szCs w:val="20"/>
              </w:rPr>
              <w:t>Patient must have a WHO performance status of 2 or less.</w:t>
            </w:r>
          </w:p>
        </w:tc>
      </w:tr>
      <w:tr w:rsidR="005A4BF3" w:rsidRPr="00755DBE" w14:paraId="61019950"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6B135338"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5F6C839A" w14:textId="77777777" w:rsidR="005A4BF3" w:rsidRPr="00755DBE" w:rsidRDefault="005A4BF3" w:rsidP="002178A9">
            <w:pPr>
              <w:rPr>
                <w:rFonts w:ascii="Arial Narrow" w:hAnsi="Arial Narrow"/>
                <w:i/>
                <w:iCs/>
                <w:sz w:val="20"/>
                <w:szCs w:val="20"/>
              </w:rPr>
            </w:pPr>
            <w:r w:rsidRPr="00755DBE">
              <w:rPr>
                <w:rFonts w:ascii="Arial Narrow" w:hAnsi="Arial Narrow"/>
                <w:b/>
                <w:bCs/>
                <w:i/>
                <w:iCs/>
                <w:sz w:val="20"/>
                <w:szCs w:val="20"/>
              </w:rPr>
              <w:t>AND</w:t>
            </w:r>
          </w:p>
        </w:tc>
      </w:tr>
      <w:tr w:rsidR="005A4BF3" w:rsidRPr="00755DBE" w14:paraId="504AB315"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15638142"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256289BC" w14:textId="77777777" w:rsidR="005A4BF3" w:rsidRPr="00755DBE" w:rsidRDefault="005A4BF3" w:rsidP="002178A9">
            <w:pPr>
              <w:rPr>
                <w:rFonts w:ascii="Arial Narrow" w:hAnsi="Arial Narrow"/>
                <w:i/>
                <w:iCs/>
                <w:sz w:val="20"/>
                <w:szCs w:val="20"/>
              </w:rPr>
            </w:pPr>
            <w:r w:rsidRPr="00755DBE">
              <w:rPr>
                <w:rFonts w:ascii="Arial Narrow" w:hAnsi="Arial Narrow"/>
                <w:b/>
                <w:bCs/>
                <w:i/>
                <w:iCs/>
                <w:sz w:val="20"/>
                <w:szCs w:val="20"/>
              </w:rPr>
              <w:t>Clinical criteria:</w:t>
            </w:r>
          </w:p>
        </w:tc>
      </w:tr>
      <w:tr w:rsidR="005A4BF3" w:rsidRPr="00755DBE" w14:paraId="457EFA32"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5CC518E6"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10591B74" w14:textId="77777777" w:rsidR="005A4BF3" w:rsidRPr="00755DBE" w:rsidRDefault="005A4BF3" w:rsidP="002178A9">
            <w:pPr>
              <w:rPr>
                <w:rFonts w:ascii="Arial Narrow" w:hAnsi="Arial Narrow"/>
                <w:i/>
                <w:iCs/>
                <w:sz w:val="20"/>
                <w:szCs w:val="20"/>
              </w:rPr>
            </w:pPr>
            <w:r w:rsidRPr="00755DBE">
              <w:rPr>
                <w:rFonts w:ascii="Arial Narrow" w:hAnsi="Arial Narrow"/>
                <w:i/>
                <w:iCs/>
                <w:sz w:val="20"/>
                <w:szCs w:val="20"/>
              </w:rPr>
              <w:t xml:space="preserve">Patient must have a received/intend to receive a single pre-treatment dose of obinutuzumab for this indication </w:t>
            </w:r>
          </w:p>
        </w:tc>
      </w:tr>
      <w:tr w:rsidR="005A4BF3" w:rsidRPr="00755DBE" w14:paraId="60575D15"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33512DD3"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4C57D370" w14:textId="77777777" w:rsidR="005A4BF3" w:rsidRPr="00755DBE" w:rsidRDefault="005A4BF3" w:rsidP="002178A9">
            <w:pPr>
              <w:rPr>
                <w:rFonts w:ascii="Arial Narrow" w:hAnsi="Arial Narrow"/>
                <w:i/>
                <w:iCs/>
                <w:sz w:val="20"/>
                <w:szCs w:val="20"/>
              </w:rPr>
            </w:pPr>
            <w:r w:rsidRPr="00755DBE">
              <w:rPr>
                <w:rFonts w:ascii="Arial Narrow" w:hAnsi="Arial Narrow"/>
                <w:b/>
                <w:bCs/>
                <w:i/>
                <w:iCs/>
                <w:sz w:val="20"/>
                <w:szCs w:val="20"/>
              </w:rPr>
              <w:t>AND</w:t>
            </w:r>
          </w:p>
        </w:tc>
      </w:tr>
      <w:tr w:rsidR="005A4BF3" w:rsidRPr="00755DBE" w14:paraId="3465E829"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129ACFF7"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5828E855" w14:textId="77777777" w:rsidR="005A4BF3" w:rsidRPr="00755DBE" w:rsidRDefault="005A4BF3" w:rsidP="002178A9">
            <w:pPr>
              <w:rPr>
                <w:rFonts w:ascii="Arial Narrow" w:hAnsi="Arial Narrow"/>
                <w:b/>
                <w:bCs/>
                <w:sz w:val="20"/>
                <w:szCs w:val="20"/>
              </w:rPr>
            </w:pPr>
            <w:r w:rsidRPr="00755DBE">
              <w:rPr>
                <w:rFonts w:ascii="Arial Narrow" w:hAnsi="Arial Narrow"/>
                <w:b/>
                <w:bCs/>
                <w:strike/>
                <w:sz w:val="20"/>
                <w:szCs w:val="20"/>
              </w:rPr>
              <w:t>Treatment</w:t>
            </w:r>
            <w:r w:rsidRPr="00755DBE">
              <w:rPr>
                <w:rFonts w:ascii="Arial Narrow" w:hAnsi="Arial Narrow"/>
                <w:b/>
                <w:bCs/>
                <w:sz w:val="20"/>
                <w:szCs w:val="20"/>
              </w:rPr>
              <w:t xml:space="preserve"> </w:t>
            </w:r>
            <w:r w:rsidRPr="00755DBE">
              <w:rPr>
                <w:rFonts w:ascii="Arial Narrow" w:hAnsi="Arial Narrow"/>
                <w:b/>
                <w:bCs/>
                <w:i/>
                <w:iCs/>
                <w:sz w:val="20"/>
                <w:szCs w:val="20"/>
              </w:rPr>
              <w:t>Clinical</w:t>
            </w:r>
            <w:r w:rsidRPr="00755DBE">
              <w:rPr>
                <w:rFonts w:ascii="Arial Narrow" w:hAnsi="Arial Narrow"/>
                <w:b/>
                <w:bCs/>
                <w:sz w:val="20"/>
                <w:szCs w:val="20"/>
              </w:rPr>
              <w:t xml:space="preserve"> criteria:</w:t>
            </w:r>
          </w:p>
        </w:tc>
      </w:tr>
      <w:tr w:rsidR="005A4BF3" w:rsidRPr="00755DBE" w14:paraId="4361CEBE"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44883A38"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392E6191" w14:textId="77777777" w:rsidR="005A4BF3" w:rsidRPr="00755DBE" w:rsidRDefault="005A4BF3" w:rsidP="002178A9">
            <w:pPr>
              <w:rPr>
                <w:rFonts w:ascii="Arial Narrow" w:hAnsi="Arial Narrow"/>
                <w:sz w:val="20"/>
                <w:szCs w:val="20"/>
              </w:rPr>
            </w:pPr>
            <w:r w:rsidRPr="00755DBE">
              <w:rPr>
                <w:rFonts w:ascii="Arial Narrow" w:hAnsi="Arial Narrow"/>
                <w:sz w:val="20"/>
                <w:szCs w:val="20"/>
              </w:rPr>
              <w:t>T</w:t>
            </w:r>
            <w:r w:rsidRPr="00755DBE">
              <w:rPr>
                <w:rFonts w:ascii="Arial Narrow" w:hAnsi="Arial Narrow"/>
                <w:i/>
                <w:iCs/>
                <w:sz w:val="20"/>
                <w:szCs w:val="20"/>
              </w:rPr>
              <w:t>he t</w:t>
            </w:r>
            <w:r w:rsidRPr="00755DBE">
              <w:rPr>
                <w:rFonts w:ascii="Arial Narrow" w:hAnsi="Arial Narrow"/>
                <w:sz w:val="20"/>
                <w:szCs w:val="20"/>
              </w:rPr>
              <w:t xml:space="preserve">reatment </w:t>
            </w:r>
            <w:r w:rsidRPr="00755DBE">
              <w:rPr>
                <w:rFonts w:ascii="Arial Narrow" w:hAnsi="Arial Narrow"/>
                <w:i/>
                <w:iCs/>
                <w:sz w:val="20"/>
                <w:szCs w:val="20"/>
              </w:rPr>
              <w:t xml:space="preserve">must </w:t>
            </w:r>
            <w:proofErr w:type="gramStart"/>
            <w:r w:rsidRPr="00755DBE">
              <w:rPr>
                <w:rFonts w:ascii="Arial Narrow" w:hAnsi="Arial Narrow"/>
                <w:strike/>
                <w:sz w:val="20"/>
                <w:szCs w:val="20"/>
              </w:rPr>
              <w:t>is</w:t>
            </w:r>
            <w:proofErr w:type="gramEnd"/>
            <w:r w:rsidRPr="00755DBE">
              <w:rPr>
                <w:rFonts w:ascii="Arial Narrow" w:hAnsi="Arial Narrow"/>
                <w:strike/>
                <w:sz w:val="20"/>
                <w:szCs w:val="20"/>
              </w:rPr>
              <w:t xml:space="preserve"> intended to </w:t>
            </w:r>
            <w:r w:rsidRPr="00755DBE">
              <w:rPr>
                <w:rFonts w:ascii="Arial Narrow" w:hAnsi="Arial Narrow"/>
                <w:sz w:val="20"/>
                <w:szCs w:val="20"/>
              </w:rPr>
              <w:t xml:space="preserve">be given in combination with </w:t>
            </w:r>
            <w:proofErr w:type="spellStart"/>
            <w:r w:rsidRPr="00755DBE">
              <w:rPr>
                <w:rFonts w:ascii="Arial Narrow" w:hAnsi="Arial Narrow"/>
                <w:strike/>
                <w:sz w:val="20"/>
                <w:szCs w:val="20"/>
              </w:rPr>
              <w:t>GemOx</w:t>
            </w:r>
            <w:proofErr w:type="spellEnd"/>
            <w:r w:rsidRPr="00755DBE">
              <w:rPr>
                <w:rFonts w:ascii="Arial Narrow" w:hAnsi="Arial Narrow"/>
                <w:sz w:val="20"/>
                <w:szCs w:val="20"/>
              </w:rPr>
              <w:t xml:space="preserve"> </w:t>
            </w:r>
            <w:r w:rsidRPr="00755DBE">
              <w:rPr>
                <w:rFonts w:ascii="Arial Narrow" w:hAnsi="Arial Narrow"/>
                <w:i/>
                <w:iCs/>
                <w:sz w:val="20"/>
                <w:szCs w:val="20"/>
              </w:rPr>
              <w:t>gemcitabine and oxaliplatin</w:t>
            </w:r>
            <w:r w:rsidRPr="00755DBE">
              <w:rPr>
                <w:rFonts w:ascii="Arial Narrow" w:hAnsi="Arial Narrow"/>
                <w:sz w:val="20"/>
                <w:szCs w:val="20"/>
              </w:rPr>
              <w:t xml:space="preserve"> for the first 8 cycles.</w:t>
            </w:r>
          </w:p>
        </w:tc>
      </w:tr>
      <w:tr w:rsidR="005A4BF3" w:rsidRPr="00755DBE" w14:paraId="7A35B829"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1A452B6A" w14:textId="77777777" w:rsidR="005A4BF3" w:rsidRPr="00755DBE" w:rsidRDefault="005A4BF3" w:rsidP="002178A9">
            <w:pPr>
              <w:jc w:val="center"/>
              <w:rPr>
                <w:rFonts w:ascii="Arial Narrow" w:hAnsi="Arial Narrow"/>
                <w:sz w:val="20"/>
                <w:szCs w:val="20"/>
              </w:rPr>
            </w:pPr>
          </w:p>
        </w:tc>
        <w:tc>
          <w:tcPr>
            <w:tcW w:w="4295" w:type="pct"/>
            <w:gridSpan w:val="5"/>
            <w:vAlign w:val="center"/>
          </w:tcPr>
          <w:p w14:paraId="6A9F338F"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 xml:space="preserve">Prescribing Instructions: </w:t>
            </w:r>
          </w:p>
          <w:p w14:paraId="7889DBAC" w14:textId="77777777" w:rsidR="005A4BF3" w:rsidRPr="00755DBE" w:rsidRDefault="005A4BF3" w:rsidP="002178A9">
            <w:pPr>
              <w:rPr>
                <w:rFonts w:ascii="Arial Narrow" w:hAnsi="Arial Narrow"/>
                <w:strike/>
                <w:sz w:val="20"/>
                <w:szCs w:val="20"/>
              </w:rPr>
            </w:pPr>
            <w:r w:rsidRPr="00755DBE">
              <w:rPr>
                <w:rFonts w:ascii="Arial Narrow" w:hAnsi="Arial Narrow"/>
                <w:strike/>
                <w:sz w:val="20"/>
                <w:szCs w:val="20"/>
              </w:rPr>
              <w:t>Patient is intended to receive a single dose of Obinutuzumab 1000 mg 7 days prior to initiating glofitamab treatment (Cycle 1 Day 1).</w:t>
            </w:r>
          </w:p>
          <w:p w14:paraId="5BBD56CF" w14:textId="77777777" w:rsidR="005A4BF3" w:rsidRPr="00755DBE" w:rsidRDefault="005A4BF3" w:rsidP="002178A9">
            <w:pPr>
              <w:rPr>
                <w:rFonts w:ascii="Arial Narrow" w:hAnsi="Arial Narrow"/>
                <w:strike/>
                <w:sz w:val="20"/>
                <w:szCs w:val="20"/>
              </w:rPr>
            </w:pPr>
            <w:r w:rsidRPr="00755DBE">
              <w:rPr>
                <w:rFonts w:ascii="Arial Narrow" w:hAnsi="Arial Narrow"/>
                <w:strike/>
                <w:sz w:val="20"/>
                <w:szCs w:val="20"/>
              </w:rPr>
              <w:t xml:space="preserve">AND </w:t>
            </w:r>
          </w:p>
          <w:p w14:paraId="09B830D3" w14:textId="77777777" w:rsidR="005A4BF3" w:rsidRPr="00755DBE" w:rsidRDefault="005A4BF3" w:rsidP="002178A9">
            <w:pPr>
              <w:rPr>
                <w:rFonts w:ascii="Arial Narrow" w:hAnsi="Arial Narrow"/>
                <w:b/>
                <w:bCs/>
                <w:sz w:val="20"/>
                <w:szCs w:val="20"/>
              </w:rPr>
            </w:pPr>
            <w:r w:rsidRPr="00755DBE">
              <w:rPr>
                <w:rFonts w:ascii="Arial Narrow" w:hAnsi="Arial Narrow"/>
                <w:sz w:val="20"/>
                <w:szCs w:val="20"/>
              </w:rPr>
              <w:t xml:space="preserve">Glofitamab should be administered as an intravenous infusion according to the dose step-up schedule in cycle 1 (2.5 mg on Day 8 and 10 mg on Day 15) leading to the recommended dosage of 30 mg on Day 1 of cycles 2-12. Refer to the </w:t>
            </w:r>
            <w:r w:rsidRPr="00755DBE">
              <w:rPr>
                <w:rFonts w:ascii="Arial Narrow" w:hAnsi="Arial Narrow"/>
                <w:strike/>
                <w:sz w:val="20"/>
                <w:szCs w:val="20"/>
              </w:rPr>
              <w:t>Columvi</w:t>
            </w:r>
            <w:r w:rsidRPr="00755DBE">
              <w:rPr>
                <w:rFonts w:ascii="Arial Narrow" w:hAnsi="Arial Narrow"/>
                <w:sz w:val="20"/>
                <w:szCs w:val="20"/>
              </w:rPr>
              <w:t xml:space="preserve"> TGA approved Product information.</w:t>
            </w:r>
          </w:p>
        </w:tc>
      </w:tr>
      <w:tr w:rsidR="005A4BF3" w:rsidRPr="00755DBE" w14:paraId="70AC7852"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79E6EEDB" w14:textId="1AEBFBA1" w:rsidR="005A4BF3" w:rsidRPr="00755DBE" w:rsidRDefault="005A4BF3" w:rsidP="002178A9">
            <w:pPr>
              <w:jc w:val="center"/>
              <w:rPr>
                <w:rFonts w:ascii="Arial Narrow" w:hAnsi="Arial Narrow"/>
                <w:i/>
                <w:iCs/>
                <w:sz w:val="20"/>
                <w:szCs w:val="20"/>
              </w:rPr>
            </w:pPr>
          </w:p>
        </w:tc>
        <w:tc>
          <w:tcPr>
            <w:tcW w:w="4295" w:type="pct"/>
            <w:gridSpan w:val="5"/>
            <w:vAlign w:val="center"/>
          </w:tcPr>
          <w:p w14:paraId="2B665267" w14:textId="77777777" w:rsidR="005A4BF3" w:rsidRPr="00755DBE" w:rsidRDefault="005A4BF3" w:rsidP="002178A9">
            <w:pPr>
              <w:keepLines/>
              <w:contextualSpacing/>
              <w:rPr>
                <w:rFonts w:ascii="Arial Narrow" w:hAnsi="Arial Narrow"/>
                <w:i/>
                <w:iCs/>
                <w:sz w:val="20"/>
                <w:szCs w:val="20"/>
              </w:rPr>
            </w:pPr>
            <w:r w:rsidRPr="00755DBE">
              <w:rPr>
                <w:rFonts w:ascii="Arial Narrow" w:hAnsi="Arial Narrow"/>
                <w:b/>
                <w:bCs/>
                <w:i/>
                <w:iCs/>
                <w:sz w:val="20"/>
                <w:szCs w:val="20"/>
              </w:rPr>
              <w:t>Administrative Advice:</w:t>
            </w:r>
          </w:p>
          <w:p w14:paraId="0F74033A" w14:textId="77777777" w:rsidR="005A4BF3" w:rsidRPr="00755DBE" w:rsidRDefault="005A4BF3" w:rsidP="002178A9">
            <w:pPr>
              <w:rPr>
                <w:rFonts w:ascii="Arial Narrow" w:hAnsi="Arial Narrow"/>
                <w:b/>
                <w:bCs/>
                <w:i/>
                <w:iCs/>
                <w:sz w:val="20"/>
                <w:szCs w:val="20"/>
              </w:rPr>
            </w:pPr>
            <w:r w:rsidRPr="00755DBE">
              <w:rPr>
                <w:rFonts w:ascii="Arial Narrow" w:hAnsi="Arial Narrow"/>
                <w:i/>
                <w:iCs/>
                <w:sz w:val="20"/>
                <w:szCs w:val="20"/>
              </w:rPr>
              <w:t>No increase in the maximum amount or number of units may be authorised.</w:t>
            </w:r>
          </w:p>
        </w:tc>
      </w:tr>
      <w:tr w:rsidR="005A4BF3" w:rsidRPr="00755DBE" w14:paraId="20A66C7D"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tcPr>
          <w:p w14:paraId="2390E118" w14:textId="6A210D14" w:rsidR="005A4BF3" w:rsidRPr="00755DBE" w:rsidRDefault="005A4BF3" w:rsidP="002178A9">
            <w:pPr>
              <w:jc w:val="center"/>
              <w:rPr>
                <w:rFonts w:ascii="Arial Narrow" w:hAnsi="Arial Narrow"/>
                <w:sz w:val="20"/>
                <w:szCs w:val="20"/>
              </w:rPr>
            </w:pPr>
          </w:p>
        </w:tc>
        <w:tc>
          <w:tcPr>
            <w:tcW w:w="4295" w:type="pct"/>
            <w:gridSpan w:val="5"/>
            <w:tcBorders>
              <w:top w:val="single" w:sz="4" w:space="0" w:color="auto"/>
              <w:left w:val="single" w:sz="4" w:space="0" w:color="auto"/>
              <w:bottom w:val="single" w:sz="4" w:space="0" w:color="auto"/>
              <w:right w:val="single" w:sz="4" w:space="0" w:color="auto"/>
            </w:tcBorders>
          </w:tcPr>
          <w:p w14:paraId="08182093"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 xml:space="preserve">Administrative Advice: </w:t>
            </w:r>
            <w:r w:rsidRPr="00755DBE">
              <w:rPr>
                <w:rFonts w:ascii="Arial Narrow" w:hAnsi="Arial Narrow"/>
                <w:sz w:val="20"/>
                <w:szCs w:val="20"/>
              </w:rPr>
              <w:t>No increase in the maximum number of repeats may be authorised.</w:t>
            </w:r>
          </w:p>
        </w:tc>
      </w:tr>
      <w:tr w:rsidR="005A4BF3" w:rsidRPr="00755DBE" w14:paraId="6AED69A4"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tcPr>
          <w:p w14:paraId="2B9CBD05" w14:textId="10FF9DF2" w:rsidR="005A4BF3" w:rsidRPr="00755DBE" w:rsidRDefault="005A4BF3" w:rsidP="002178A9">
            <w:pPr>
              <w:jc w:val="center"/>
              <w:rPr>
                <w:rFonts w:ascii="Arial Narrow" w:hAnsi="Arial Narrow"/>
                <w:sz w:val="20"/>
                <w:szCs w:val="20"/>
              </w:rPr>
            </w:pPr>
          </w:p>
        </w:tc>
        <w:tc>
          <w:tcPr>
            <w:tcW w:w="4295" w:type="pct"/>
            <w:gridSpan w:val="5"/>
            <w:tcBorders>
              <w:top w:val="single" w:sz="4" w:space="0" w:color="auto"/>
              <w:left w:val="single" w:sz="4" w:space="0" w:color="auto"/>
              <w:bottom w:val="single" w:sz="4" w:space="0" w:color="auto"/>
              <w:right w:val="single" w:sz="4" w:space="0" w:color="auto"/>
            </w:tcBorders>
          </w:tcPr>
          <w:p w14:paraId="370C38D7"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 xml:space="preserve">Administrative Advice: </w:t>
            </w:r>
            <w:r w:rsidRPr="00755DBE">
              <w:rPr>
                <w:rFonts w:ascii="Arial Narrow" w:hAnsi="Arial Narrow"/>
                <w:sz w:val="20"/>
                <w:szCs w:val="20"/>
              </w:rPr>
              <w:t>Special Pricing Arrangements apply.</w:t>
            </w:r>
          </w:p>
        </w:tc>
      </w:tr>
      <w:tr w:rsidR="005A4BF3" w:rsidRPr="00755DBE" w14:paraId="04DFDC43"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30FABB1B" w14:textId="395B130C" w:rsidR="005A4BF3" w:rsidRPr="00755DBE" w:rsidRDefault="005A4BF3" w:rsidP="002178A9">
            <w:pPr>
              <w:jc w:val="center"/>
              <w:rPr>
                <w:rFonts w:ascii="Arial Narrow" w:hAnsi="Arial Narrow"/>
                <w:i/>
                <w:iCs/>
                <w:sz w:val="20"/>
                <w:szCs w:val="20"/>
              </w:rPr>
            </w:pPr>
          </w:p>
        </w:tc>
        <w:tc>
          <w:tcPr>
            <w:tcW w:w="4295" w:type="pct"/>
            <w:gridSpan w:val="5"/>
            <w:tcBorders>
              <w:top w:val="single" w:sz="4" w:space="0" w:color="auto"/>
              <w:left w:val="single" w:sz="4" w:space="0" w:color="auto"/>
              <w:bottom w:val="single" w:sz="4" w:space="0" w:color="auto"/>
              <w:right w:val="single" w:sz="4" w:space="0" w:color="auto"/>
            </w:tcBorders>
            <w:vAlign w:val="center"/>
          </w:tcPr>
          <w:p w14:paraId="1DE8BE79"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02A95E62" w14:textId="77777777" w:rsidR="005A4BF3" w:rsidRPr="00755DBE" w:rsidRDefault="005A4BF3" w:rsidP="005A4BF3"/>
    <w:p w14:paraId="36967EBD" w14:textId="77777777" w:rsidR="005A4BF3" w:rsidRPr="00D61004" w:rsidRDefault="005A4BF3" w:rsidP="005A4BF3">
      <w:pPr>
        <w:keepNext/>
        <w:rPr>
          <w:b/>
        </w:rPr>
      </w:pPr>
      <w:r w:rsidRPr="00D61004">
        <w:rPr>
          <w:b/>
        </w:rPr>
        <w:t>Initial – Cycle 1, Day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1349"/>
        <w:gridCol w:w="2620"/>
        <w:gridCol w:w="1417"/>
        <w:gridCol w:w="1275"/>
        <w:gridCol w:w="1084"/>
      </w:tblGrid>
      <w:tr w:rsidR="00DB67E6" w:rsidRPr="00755DBE" w14:paraId="10FD5C3E" w14:textId="77777777" w:rsidTr="00DB67E6">
        <w:trPr>
          <w:cantSplit/>
          <w:trHeight w:val="20"/>
        </w:trPr>
        <w:tc>
          <w:tcPr>
            <w:tcW w:w="1453" w:type="pct"/>
            <w:gridSpan w:val="2"/>
            <w:vAlign w:val="center"/>
          </w:tcPr>
          <w:p w14:paraId="1B25D76A" w14:textId="77777777" w:rsidR="00DB67E6" w:rsidRDefault="00DB67E6" w:rsidP="002178A9">
            <w:pPr>
              <w:keepNext/>
              <w:rPr>
                <w:rFonts w:ascii="Arial Narrow" w:hAnsi="Arial Narrow"/>
                <w:b/>
                <w:bCs/>
                <w:i/>
                <w:iCs/>
                <w:sz w:val="20"/>
                <w:szCs w:val="20"/>
              </w:rPr>
            </w:pPr>
            <w:r w:rsidRPr="00755DBE">
              <w:rPr>
                <w:rFonts w:ascii="Arial Narrow" w:hAnsi="Arial Narrow"/>
                <w:b/>
                <w:bCs/>
                <w:i/>
                <w:iCs/>
                <w:sz w:val="20"/>
                <w:szCs w:val="20"/>
              </w:rPr>
              <w:t>MEDICINAL PRODUCT</w:t>
            </w:r>
          </w:p>
          <w:p w14:paraId="286F4CC5" w14:textId="15C5AD17" w:rsidR="00DB67E6" w:rsidRPr="00755DBE" w:rsidRDefault="00DB67E6" w:rsidP="002178A9">
            <w:pPr>
              <w:keepNext/>
              <w:rPr>
                <w:rFonts w:ascii="Arial Narrow" w:hAnsi="Arial Narrow"/>
                <w:b/>
                <w:bCs/>
                <w:i/>
                <w:iCs/>
                <w:sz w:val="20"/>
                <w:szCs w:val="20"/>
              </w:rPr>
            </w:pPr>
            <w:r w:rsidRPr="00755DBE">
              <w:rPr>
                <w:rFonts w:ascii="Arial Narrow" w:hAnsi="Arial Narrow"/>
                <w:b/>
                <w:i/>
                <w:iCs/>
                <w:sz w:val="20"/>
                <w:szCs w:val="20"/>
              </w:rPr>
              <w:t>Form</w:t>
            </w:r>
          </w:p>
        </w:tc>
        <w:tc>
          <w:tcPr>
            <w:tcW w:w="1453" w:type="pct"/>
            <w:vAlign w:val="center"/>
          </w:tcPr>
          <w:p w14:paraId="0D30F3AC" w14:textId="6E8D7DA8" w:rsidR="00DB67E6" w:rsidRPr="00B36050" w:rsidRDefault="00DB67E6" w:rsidP="002178A9">
            <w:pPr>
              <w:keepNext/>
              <w:rPr>
                <w:rFonts w:ascii="Arial Narrow" w:hAnsi="Arial Narrow"/>
                <w:b/>
                <w:i/>
                <w:iCs/>
                <w:sz w:val="20"/>
                <w:szCs w:val="20"/>
              </w:rPr>
            </w:pPr>
            <w:r w:rsidRPr="00B36050">
              <w:rPr>
                <w:rFonts w:ascii="Arial Narrow" w:hAnsi="Arial Narrow"/>
                <w:b/>
                <w:i/>
                <w:iCs/>
                <w:sz w:val="20"/>
                <w:szCs w:val="20"/>
              </w:rPr>
              <w:t>Dispensed Price for Max Amount</w:t>
            </w:r>
          </w:p>
        </w:tc>
        <w:tc>
          <w:tcPr>
            <w:tcW w:w="786" w:type="pct"/>
            <w:vAlign w:val="center"/>
          </w:tcPr>
          <w:p w14:paraId="2A00C54F" w14:textId="77777777" w:rsidR="00DB67E6" w:rsidRPr="00755DBE" w:rsidRDefault="00DB67E6" w:rsidP="002178A9">
            <w:pPr>
              <w:keepNext/>
              <w:jc w:val="center"/>
              <w:rPr>
                <w:rFonts w:ascii="Arial Narrow" w:hAnsi="Arial Narrow"/>
                <w:b/>
                <w:i/>
                <w:iCs/>
                <w:sz w:val="20"/>
                <w:szCs w:val="20"/>
              </w:rPr>
            </w:pPr>
            <w:r w:rsidRPr="00755DBE">
              <w:rPr>
                <w:rFonts w:ascii="Arial Narrow" w:hAnsi="Arial Narrow"/>
                <w:b/>
                <w:i/>
                <w:iCs/>
                <w:sz w:val="20"/>
                <w:szCs w:val="20"/>
              </w:rPr>
              <w:t>PBS item code</w:t>
            </w:r>
          </w:p>
        </w:tc>
        <w:tc>
          <w:tcPr>
            <w:tcW w:w="707" w:type="pct"/>
            <w:vAlign w:val="center"/>
          </w:tcPr>
          <w:p w14:paraId="7A9E2789" w14:textId="77777777" w:rsidR="00DB67E6" w:rsidRPr="00755DBE" w:rsidRDefault="00DB67E6" w:rsidP="002178A9">
            <w:pPr>
              <w:keepNext/>
              <w:jc w:val="center"/>
              <w:rPr>
                <w:rFonts w:ascii="Arial Narrow" w:hAnsi="Arial Narrow"/>
                <w:b/>
                <w:i/>
                <w:iCs/>
                <w:sz w:val="20"/>
                <w:szCs w:val="20"/>
              </w:rPr>
            </w:pPr>
            <w:r w:rsidRPr="00755DBE">
              <w:rPr>
                <w:rFonts w:ascii="Arial Narrow" w:hAnsi="Arial Narrow"/>
                <w:b/>
                <w:i/>
                <w:iCs/>
                <w:sz w:val="20"/>
                <w:szCs w:val="20"/>
              </w:rPr>
              <w:t>Max. Amount</w:t>
            </w:r>
          </w:p>
        </w:tc>
        <w:tc>
          <w:tcPr>
            <w:tcW w:w="601" w:type="pct"/>
            <w:vAlign w:val="center"/>
          </w:tcPr>
          <w:p w14:paraId="205FA9AF" w14:textId="77777777" w:rsidR="00DB67E6" w:rsidRPr="00755DBE" w:rsidRDefault="00DB67E6" w:rsidP="002178A9">
            <w:pPr>
              <w:keepNext/>
              <w:jc w:val="center"/>
              <w:rPr>
                <w:rFonts w:ascii="Arial Narrow" w:hAnsi="Arial Narrow"/>
                <w:b/>
                <w:i/>
                <w:iCs/>
                <w:sz w:val="20"/>
                <w:szCs w:val="20"/>
              </w:rPr>
            </w:pPr>
            <w:r w:rsidRPr="00755DBE">
              <w:rPr>
                <w:rFonts w:ascii="Arial Narrow" w:hAnsi="Arial Narrow"/>
                <w:b/>
                <w:i/>
                <w:iCs/>
                <w:sz w:val="20"/>
                <w:szCs w:val="20"/>
              </w:rPr>
              <w:t>№.of Rpts</w:t>
            </w:r>
          </w:p>
        </w:tc>
      </w:tr>
      <w:tr w:rsidR="00DB67E6" w:rsidRPr="00755DBE" w14:paraId="284C0251" w14:textId="77777777" w:rsidTr="00DB67E6">
        <w:trPr>
          <w:cantSplit/>
          <w:trHeight w:val="20"/>
        </w:trPr>
        <w:tc>
          <w:tcPr>
            <w:tcW w:w="1453" w:type="pct"/>
            <w:gridSpan w:val="2"/>
            <w:vAlign w:val="center"/>
          </w:tcPr>
          <w:p w14:paraId="3F965614" w14:textId="77777777" w:rsidR="00DB67E6" w:rsidRPr="00755DBE" w:rsidRDefault="00DB67E6" w:rsidP="002178A9">
            <w:pPr>
              <w:keepNext/>
              <w:rPr>
                <w:rFonts w:ascii="Arial Narrow" w:hAnsi="Arial Narrow"/>
                <w:i/>
                <w:iCs/>
                <w:sz w:val="20"/>
                <w:szCs w:val="20"/>
              </w:rPr>
            </w:pPr>
            <w:r w:rsidRPr="00755DBE">
              <w:rPr>
                <w:rFonts w:ascii="Arial Narrow" w:hAnsi="Arial Narrow"/>
                <w:i/>
                <w:iCs/>
                <w:sz w:val="20"/>
                <w:szCs w:val="20"/>
              </w:rPr>
              <w:t>GLOFITAMAB</w:t>
            </w:r>
            <w:r w:rsidRPr="00755DBE">
              <w:rPr>
                <w:rFonts w:ascii="Arial Narrow" w:hAnsi="Arial Narrow"/>
                <w:i/>
                <w:iCs/>
                <w:sz w:val="20"/>
                <w:szCs w:val="20"/>
              </w:rPr>
              <w:br/>
            </w:r>
            <w:r w:rsidRPr="00755DBE">
              <w:rPr>
                <w:rFonts w:ascii="Arial Narrow" w:hAnsi="Arial Narrow" w:cs="Arial Narrow"/>
                <w:i/>
                <w:iCs/>
                <w:sz w:val="20"/>
                <w:szCs w:val="20"/>
              </w:rPr>
              <w:t>Injection</w:t>
            </w:r>
          </w:p>
        </w:tc>
        <w:tc>
          <w:tcPr>
            <w:tcW w:w="1453" w:type="pct"/>
            <w:vAlign w:val="center"/>
          </w:tcPr>
          <w:p w14:paraId="174ABA3A" w14:textId="77777777" w:rsidR="00B36050" w:rsidRPr="00B36050" w:rsidRDefault="00B36050" w:rsidP="00B36050">
            <w:pPr>
              <w:widowControl w:val="0"/>
              <w:jc w:val="left"/>
              <w:rPr>
                <w:rFonts w:ascii="Arial Narrow" w:eastAsiaTheme="majorEastAsia" w:hAnsi="Arial Narrow" w:cstheme="majorBidi"/>
                <w:bCs/>
                <w:i/>
                <w:iCs/>
                <w:sz w:val="20"/>
                <w:u w:val="single"/>
              </w:rPr>
            </w:pPr>
            <w:r w:rsidRPr="00B36050">
              <w:rPr>
                <w:rFonts w:ascii="Arial Narrow" w:eastAsiaTheme="majorEastAsia" w:hAnsi="Arial Narrow" w:cstheme="majorBidi"/>
                <w:bCs/>
                <w:i/>
                <w:iCs/>
                <w:sz w:val="20"/>
                <w:u w:val="single"/>
              </w:rPr>
              <w:t>Published</w:t>
            </w:r>
          </w:p>
          <w:p w14:paraId="28D6F054" w14:textId="77777777" w:rsidR="00B36050" w:rsidRPr="00B36050" w:rsidRDefault="00B36050" w:rsidP="00B36050">
            <w:pPr>
              <w:widowControl w:val="0"/>
              <w:jc w:val="left"/>
              <w:rPr>
                <w:rFonts w:ascii="Arial Narrow" w:eastAsiaTheme="majorEastAsia" w:hAnsi="Arial Narrow" w:cstheme="majorBidi"/>
                <w:bCs/>
                <w:i/>
                <w:iCs/>
                <w:sz w:val="20"/>
              </w:rPr>
            </w:pPr>
            <w:r w:rsidRPr="00B36050">
              <w:rPr>
                <w:rFonts w:ascii="Arial Narrow" w:eastAsiaTheme="majorEastAsia" w:hAnsi="Arial Narrow" w:cstheme="majorBidi"/>
                <w:bCs/>
                <w:i/>
                <w:iCs/>
                <w:sz w:val="20"/>
              </w:rPr>
              <w:t>Public: $5,356.23</w:t>
            </w:r>
          </w:p>
          <w:p w14:paraId="58CE9544" w14:textId="77777777" w:rsidR="00B36050" w:rsidRPr="00B36050" w:rsidRDefault="00B36050" w:rsidP="00B36050">
            <w:pPr>
              <w:widowControl w:val="0"/>
              <w:jc w:val="left"/>
              <w:rPr>
                <w:rFonts w:ascii="Arial Narrow" w:eastAsiaTheme="majorEastAsia" w:hAnsi="Arial Narrow" w:cstheme="majorBidi"/>
                <w:bCs/>
                <w:i/>
                <w:iCs/>
                <w:sz w:val="20"/>
              </w:rPr>
            </w:pPr>
            <w:r w:rsidRPr="00B36050">
              <w:rPr>
                <w:rFonts w:ascii="Arial Narrow" w:eastAsiaTheme="majorEastAsia" w:hAnsi="Arial Narrow" w:cstheme="majorBidi"/>
                <w:bCs/>
                <w:i/>
                <w:iCs/>
                <w:sz w:val="20"/>
              </w:rPr>
              <w:t>Private: $5,474.63</w:t>
            </w:r>
          </w:p>
          <w:p w14:paraId="084127E0" w14:textId="77777777" w:rsidR="00B36050" w:rsidRPr="00B36050" w:rsidRDefault="00B36050" w:rsidP="00B36050">
            <w:pPr>
              <w:widowControl w:val="0"/>
              <w:jc w:val="left"/>
              <w:rPr>
                <w:rFonts w:ascii="Arial Narrow" w:eastAsiaTheme="majorEastAsia" w:hAnsi="Arial Narrow" w:cstheme="majorBidi"/>
                <w:bCs/>
                <w:i/>
                <w:iCs/>
                <w:sz w:val="20"/>
                <w:u w:val="single"/>
              </w:rPr>
            </w:pPr>
            <w:r w:rsidRPr="00B36050">
              <w:rPr>
                <w:rFonts w:ascii="Arial Narrow" w:eastAsiaTheme="majorEastAsia" w:hAnsi="Arial Narrow" w:cstheme="majorBidi"/>
                <w:bCs/>
                <w:i/>
                <w:iCs/>
                <w:sz w:val="20"/>
                <w:u w:val="single"/>
              </w:rPr>
              <w:t>Effective</w:t>
            </w:r>
          </w:p>
          <w:p w14:paraId="46A36B81" w14:textId="002D9C63" w:rsidR="00B36050" w:rsidRPr="00B36050" w:rsidRDefault="00B36050" w:rsidP="00B36050">
            <w:pPr>
              <w:widowControl w:val="0"/>
              <w:jc w:val="left"/>
              <w:rPr>
                <w:rFonts w:ascii="Arial Narrow" w:eastAsiaTheme="majorEastAsia" w:hAnsi="Arial Narrow" w:cstheme="majorBidi"/>
                <w:bCs/>
                <w:i/>
                <w:iCs/>
                <w:sz w:val="20"/>
              </w:rPr>
            </w:pPr>
            <w:r w:rsidRPr="00B36050">
              <w:rPr>
                <w:rFonts w:ascii="Arial Narrow" w:eastAsiaTheme="majorEastAsia" w:hAnsi="Arial Narrow" w:cstheme="majorBidi"/>
                <w:bCs/>
                <w:i/>
                <w:iCs/>
                <w:sz w:val="20"/>
              </w:rPr>
              <w:t>Public: $</w:t>
            </w:r>
            <w:r w:rsidR="00BD6E95" w:rsidRPr="00BD6E95">
              <w:rPr>
                <w:rFonts w:ascii="Arial Narrow" w:eastAsiaTheme="majorEastAsia" w:hAnsi="Arial Narrow" w:cstheme="majorBidi"/>
                <w:bCs/>
                <w:i/>
                <w:iCs/>
                <w:color w:val="000000"/>
                <w:spacing w:val="53"/>
                <w:sz w:val="20"/>
                <w:shd w:val="solid" w:color="000000" w:fill="000000"/>
                <w:fitText w:val="330" w:id="-632054006"/>
                <w14:textFill>
                  <w14:solidFill>
                    <w14:srgbClr w14:val="000000">
                      <w14:alpha w14:val="100000"/>
                    </w14:srgbClr>
                  </w14:solidFill>
                </w14:textFill>
              </w:rPr>
              <w:t>|||</w:t>
            </w:r>
            <w:r w:rsidR="00BD6E95" w:rsidRPr="00BD6E95">
              <w:rPr>
                <w:rFonts w:ascii="Arial Narrow" w:eastAsiaTheme="majorEastAsia" w:hAnsi="Arial Narrow" w:cstheme="majorBidi"/>
                <w:bCs/>
                <w:i/>
                <w:iCs/>
                <w:color w:val="000000"/>
                <w:spacing w:val="1"/>
                <w:sz w:val="20"/>
                <w:shd w:val="solid" w:color="000000" w:fill="000000"/>
                <w:fitText w:val="330" w:id="-632054006"/>
                <w14:textFill>
                  <w14:solidFill>
                    <w14:srgbClr w14:val="000000">
                      <w14:alpha w14:val="100000"/>
                    </w14:srgbClr>
                  </w14:solidFill>
                </w14:textFill>
              </w:rPr>
              <w:t>|</w:t>
            </w:r>
          </w:p>
          <w:p w14:paraId="62C87CCE" w14:textId="7AB0701B" w:rsidR="00DB67E6" w:rsidRPr="00B36050" w:rsidRDefault="00B36050" w:rsidP="00B36050">
            <w:pPr>
              <w:keepNext/>
              <w:rPr>
                <w:rFonts w:ascii="Arial Narrow" w:hAnsi="Arial Narrow"/>
                <w:i/>
                <w:iCs/>
                <w:sz w:val="20"/>
                <w:szCs w:val="20"/>
              </w:rPr>
            </w:pPr>
            <w:r w:rsidRPr="00B36050">
              <w:rPr>
                <w:rFonts w:ascii="Arial Narrow" w:eastAsiaTheme="majorEastAsia" w:hAnsi="Arial Narrow" w:cstheme="majorBidi"/>
                <w:bCs/>
                <w:i/>
                <w:iCs/>
                <w:sz w:val="20"/>
              </w:rPr>
              <w:t>Private: $</w:t>
            </w:r>
            <w:r w:rsidR="00BD6E95" w:rsidRPr="00BD6E95">
              <w:rPr>
                <w:rFonts w:ascii="Arial Narrow" w:eastAsiaTheme="majorEastAsia" w:hAnsi="Arial Narrow" w:cstheme="majorBidi"/>
                <w:bCs/>
                <w:i/>
                <w:iCs/>
                <w:color w:val="000000"/>
                <w:spacing w:val="8"/>
                <w:sz w:val="20"/>
                <w:shd w:val="solid" w:color="000000" w:fill="000000"/>
                <w:fitText w:val="304" w:id="-632054005"/>
                <w14:textFill>
                  <w14:solidFill>
                    <w14:srgbClr w14:val="000000">
                      <w14:alpha w14:val="100000"/>
                    </w14:srgbClr>
                  </w14:solidFill>
                </w14:textFill>
              </w:rPr>
              <w:t>||  |</w:t>
            </w:r>
            <w:r w:rsidR="00BD6E95" w:rsidRPr="00BD6E95">
              <w:rPr>
                <w:rFonts w:ascii="Arial Narrow" w:eastAsiaTheme="majorEastAsia" w:hAnsi="Arial Narrow" w:cstheme="majorBidi"/>
                <w:bCs/>
                <w:i/>
                <w:iCs/>
                <w:color w:val="000000"/>
                <w:spacing w:val="3"/>
                <w:sz w:val="20"/>
                <w:shd w:val="solid" w:color="000000" w:fill="000000"/>
                <w:fitText w:val="304" w:id="-632054005"/>
                <w14:textFill>
                  <w14:solidFill>
                    <w14:srgbClr w14:val="000000">
                      <w14:alpha w14:val="100000"/>
                    </w14:srgbClr>
                  </w14:solidFill>
                </w14:textFill>
              </w:rPr>
              <w:t>|</w:t>
            </w:r>
          </w:p>
        </w:tc>
        <w:tc>
          <w:tcPr>
            <w:tcW w:w="786" w:type="pct"/>
            <w:vAlign w:val="center"/>
          </w:tcPr>
          <w:p w14:paraId="4068D336" w14:textId="77777777" w:rsidR="00DB67E6" w:rsidRPr="00755DBE" w:rsidRDefault="00DB67E6" w:rsidP="002178A9">
            <w:pPr>
              <w:keepNext/>
              <w:jc w:val="center"/>
              <w:rPr>
                <w:rFonts w:ascii="Arial Narrow" w:hAnsi="Arial Narrow"/>
                <w:i/>
                <w:iCs/>
                <w:sz w:val="20"/>
                <w:szCs w:val="20"/>
              </w:rPr>
            </w:pPr>
            <w:r w:rsidRPr="00755DBE">
              <w:rPr>
                <w:rFonts w:ascii="Arial Narrow" w:hAnsi="Arial Narrow"/>
                <w:i/>
                <w:iCs/>
                <w:sz w:val="20"/>
                <w:szCs w:val="20"/>
              </w:rPr>
              <w:t>NEW (Public)</w:t>
            </w:r>
            <w:r w:rsidRPr="00755DBE">
              <w:rPr>
                <w:rFonts w:ascii="Arial Narrow" w:hAnsi="Arial Narrow"/>
                <w:i/>
                <w:iCs/>
                <w:sz w:val="20"/>
                <w:szCs w:val="20"/>
              </w:rPr>
              <w:br/>
              <w:t>NEW (Private)</w:t>
            </w:r>
          </w:p>
        </w:tc>
        <w:tc>
          <w:tcPr>
            <w:tcW w:w="707" w:type="pct"/>
            <w:vAlign w:val="center"/>
          </w:tcPr>
          <w:p w14:paraId="107B996F" w14:textId="77777777" w:rsidR="00DB67E6" w:rsidRPr="00755DBE" w:rsidRDefault="00DB67E6" w:rsidP="002178A9">
            <w:pPr>
              <w:keepNext/>
              <w:jc w:val="center"/>
              <w:rPr>
                <w:rFonts w:ascii="Arial Narrow" w:hAnsi="Arial Narrow"/>
                <w:i/>
                <w:iCs/>
                <w:sz w:val="20"/>
                <w:szCs w:val="20"/>
              </w:rPr>
            </w:pPr>
            <w:r w:rsidRPr="00755DBE">
              <w:rPr>
                <w:rFonts w:ascii="Arial Narrow" w:hAnsi="Arial Narrow"/>
                <w:i/>
                <w:iCs/>
                <w:sz w:val="20"/>
                <w:szCs w:val="20"/>
              </w:rPr>
              <w:t>10 mg</w:t>
            </w:r>
          </w:p>
        </w:tc>
        <w:tc>
          <w:tcPr>
            <w:tcW w:w="601" w:type="pct"/>
            <w:vAlign w:val="center"/>
          </w:tcPr>
          <w:p w14:paraId="70B9F07E" w14:textId="77777777" w:rsidR="00DB67E6" w:rsidRPr="00755DBE" w:rsidRDefault="00DB67E6" w:rsidP="002178A9">
            <w:pPr>
              <w:keepNext/>
              <w:jc w:val="center"/>
              <w:rPr>
                <w:rFonts w:ascii="Arial Narrow" w:hAnsi="Arial Narrow"/>
                <w:i/>
                <w:iCs/>
                <w:sz w:val="20"/>
                <w:szCs w:val="20"/>
              </w:rPr>
            </w:pPr>
            <w:r w:rsidRPr="00755DBE">
              <w:rPr>
                <w:rFonts w:ascii="Arial Narrow" w:hAnsi="Arial Narrow"/>
                <w:i/>
                <w:iCs/>
                <w:sz w:val="20"/>
                <w:szCs w:val="20"/>
              </w:rPr>
              <w:t xml:space="preserve">0 </w:t>
            </w:r>
          </w:p>
        </w:tc>
      </w:tr>
      <w:tr w:rsidR="005A4BF3" w:rsidRPr="00755DBE" w14:paraId="66E388C1" w14:textId="77777777" w:rsidTr="002178A9">
        <w:trPr>
          <w:cantSplit/>
          <w:trHeight w:val="20"/>
        </w:trPr>
        <w:tc>
          <w:tcPr>
            <w:tcW w:w="5000" w:type="pct"/>
            <w:gridSpan w:val="6"/>
            <w:vAlign w:val="center"/>
          </w:tcPr>
          <w:p w14:paraId="0701B0AD" w14:textId="77777777" w:rsidR="005A4BF3" w:rsidRPr="00755DBE" w:rsidRDefault="005A4BF3" w:rsidP="002178A9">
            <w:pPr>
              <w:keepNext/>
              <w:rPr>
                <w:rFonts w:ascii="Arial Narrow" w:hAnsi="Arial Narrow"/>
                <w:b/>
                <w:i/>
                <w:iCs/>
                <w:sz w:val="20"/>
                <w:szCs w:val="20"/>
              </w:rPr>
            </w:pPr>
            <w:r w:rsidRPr="00755DBE">
              <w:rPr>
                <w:rFonts w:ascii="Arial Narrow" w:hAnsi="Arial Narrow"/>
                <w:b/>
                <w:i/>
                <w:iCs/>
                <w:sz w:val="20"/>
                <w:szCs w:val="20"/>
              </w:rPr>
              <w:t xml:space="preserve">Available brands </w:t>
            </w:r>
          </w:p>
        </w:tc>
      </w:tr>
      <w:tr w:rsidR="005A4BF3" w:rsidRPr="00755DBE" w14:paraId="6B335E15" w14:textId="77777777" w:rsidTr="002178A9">
        <w:trPr>
          <w:cantSplit/>
          <w:trHeight w:val="20"/>
        </w:trPr>
        <w:tc>
          <w:tcPr>
            <w:tcW w:w="5000" w:type="pct"/>
            <w:gridSpan w:val="6"/>
            <w:vAlign w:val="center"/>
          </w:tcPr>
          <w:p w14:paraId="42023EE3" w14:textId="77777777" w:rsidR="005A4BF3" w:rsidRPr="00755DBE" w:rsidRDefault="005A4BF3" w:rsidP="002178A9">
            <w:pPr>
              <w:keepNext/>
              <w:rPr>
                <w:rFonts w:ascii="Arial Narrow" w:hAnsi="Arial Narrow"/>
                <w:i/>
                <w:iCs/>
                <w:sz w:val="20"/>
                <w:szCs w:val="20"/>
              </w:rPr>
            </w:pPr>
            <w:r w:rsidRPr="00755DBE">
              <w:rPr>
                <w:rFonts w:ascii="Arial Narrow" w:hAnsi="Arial Narrow"/>
                <w:i/>
                <w:iCs/>
                <w:sz w:val="20"/>
                <w:szCs w:val="20"/>
              </w:rPr>
              <w:t xml:space="preserve">Columvi </w:t>
            </w:r>
            <w:r w:rsidRPr="00755DBE">
              <w:rPr>
                <w:rFonts w:ascii="Arial Narrow" w:hAnsi="Arial Narrow"/>
                <w:i/>
                <w:iCs/>
                <w:sz w:val="20"/>
                <w:szCs w:val="20"/>
              </w:rPr>
              <w:br/>
              <w:t>Glofitamab 10 mg injection, 1 vial</w:t>
            </w:r>
          </w:p>
        </w:tc>
      </w:tr>
      <w:tr w:rsidR="005A4BF3" w:rsidRPr="00755DBE" w14:paraId="0D998F45" w14:textId="77777777" w:rsidTr="002178A9">
        <w:trPr>
          <w:cantSplit/>
          <w:trHeight w:val="20"/>
        </w:trPr>
        <w:tc>
          <w:tcPr>
            <w:tcW w:w="5000" w:type="pct"/>
            <w:gridSpan w:val="6"/>
            <w:vAlign w:val="center"/>
          </w:tcPr>
          <w:p w14:paraId="2CAD40BE" w14:textId="77777777" w:rsidR="005A4BF3" w:rsidRPr="00755DBE" w:rsidRDefault="005A4BF3" w:rsidP="002178A9">
            <w:pPr>
              <w:rPr>
                <w:rFonts w:ascii="Arial Narrow" w:hAnsi="Arial Narrow"/>
                <w:i/>
                <w:iCs/>
                <w:sz w:val="20"/>
                <w:szCs w:val="20"/>
              </w:rPr>
            </w:pPr>
          </w:p>
        </w:tc>
      </w:tr>
      <w:tr w:rsidR="005A4BF3" w:rsidRPr="00755DBE" w14:paraId="1B852AA5" w14:textId="77777777" w:rsidTr="002178A9">
        <w:trPr>
          <w:cantSplit/>
          <w:trHeight w:val="20"/>
        </w:trPr>
        <w:tc>
          <w:tcPr>
            <w:tcW w:w="5000" w:type="pct"/>
            <w:gridSpan w:val="6"/>
            <w:vAlign w:val="center"/>
          </w:tcPr>
          <w:p w14:paraId="571A002A" w14:textId="77777777" w:rsidR="005A4BF3" w:rsidRPr="00755DBE" w:rsidRDefault="005A4BF3" w:rsidP="002178A9">
            <w:pPr>
              <w:keepNext/>
              <w:rPr>
                <w:rFonts w:ascii="Arial Narrow" w:hAnsi="Arial Narrow"/>
                <w:i/>
                <w:iCs/>
                <w:sz w:val="20"/>
                <w:szCs w:val="20"/>
              </w:rPr>
            </w:pPr>
            <w:r w:rsidRPr="00755DBE">
              <w:rPr>
                <w:rFonts w:ascii="Arial Narrow" w:hAnsi="Arial Narrow"/>
                <w:b/>
                <w:i/>
                <w:iCs/>
                <w:sz w:val="20"/>
                <w:szCs w:val="20"/>
              </w:rPr>
              <w:t xml:space="preserve">Restriction Summary [new3] / Treatment of Concept: [new3A] </w:t>
            </w:r>
          </w:p>
        </w:tc>
      </w:tr>
      <w:tr w:rsidR="005A4BF3" w:rsidRPr="00755DBE" w14:paraId="186CAC19"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tcPr>
          <w:p w14:paraId="5EC1B82F" w14:textId="77777777" w:rsidR="005A4BF3" w:rsidRPr="00755DBE" w:rsidRDefault="005A4BF3" w:rsidP="002178A9">
            <w:pPr>
              <w:keepNext/>
              <w:jc w:val="center"/>
              <w:rPr>
                <w:rFonts w:ascii="Arial Narrow" w:hAnsi="Arial Narrow"/>
                <w:b/>
                <w:i/>
                <w:iCs/>
                <w:sz w:val="20"/>
                <w:szCs w:val="20"/>
              </w:rPr>
            </w:pPr>
            <w:r w:rsidRPr="00755DBE">
              <w:rPr>
                <w:rFonts w:ascii="Arial Narrow" w:hAnsi="Arial Narrow"/>
                <w:b/>
                <w:i/>
                <w:iCs/>
                <w:sz w:val="20"/>
                <w:szCs w:val="20"/>
              </w:rPr>
              <w:t xml:space="preserve">Concept ID </w:t>
            </w:r>
            <w:r w:rsidRPr="00755DBE">
              <w:rPr>
                <w:rFonts w:ascii="Arial Narrow" w:hAnsi="Arial Narrow"/>
                <w:i/>
                <w:iCs/>
                <w:sz w:val="20"/>
                <w:szCs w:val="20"/>
              </w:rPr>
              <w:t>(for internal Dept. use)</w:t>
            </w:r>
          </w:p>
        </w:tc>
        <w:tc>
          <w:tcPr>
            <w:tcW w:w="4295" w:type="pct"/>
            <w:gridSpan w:val="5"/>
          </w:tcPr>
          <w:p w14:paraId="48C3BE69" w14:textId="77777777" w:rsidR="005A4BF3" w:rsidRPr="00755DBE" w:rsidRDefault="005A4BF3" w:rsidP="002178A9">
            <w:pPr>
              <w:keepNext/>
              <w:rPr>
                <w:rFonts w:ascii="Arial Narrow" w:hAnsi="Arial Narrow"/>
                <w:i/>
                <w:iCs/>
                <w:sz w:val="20"/>
                <w:szCs w:val="20"/>
              </w:rPr>
            </w:pPr>
            <w:r w:rsidRPr="00755DBE">
              <w:rPr>
                <w:rFonts w:ascii="Arial Narrow" w:hAnsi="Arial Narrow"/>
                <w:b/>
                <w:i/>
                <w:iCs/>
                <w:sz w:val="20"/>
                <w:szCs w:val="20"/>
              </w:rPr>
              <w:t xml:space="preserve">Category / Program: </w:t>
            </w:r>
            <w:r w:rsidRPr="00755DBE">
              <w:rPr>
                <w:rFonts w:ascii="Arial Narrow" w:hAnsi="Arial Narrow"/>
                <w:i/>
                <w:iCs/>
                <w:sz w:val="20"/>
                <w:szCs w:val="20"/>
              </w:rPr>
              <w:t>Section 100 – Efficient Funding of Chemotherapy Public/Private hospitals</w:t>
            </w:r>
          </w:p>
        </w:tc>
      </w:tr>
      <w:tr w:rsidR="005A4BF3" w:rsidRPr="00755DBE" w14:paraId="4FF4831E"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1C12E86B" w14:textId="77777777" w:rsidR="005A4BF3" w:rsidRPr="00755DBE" w:rsidRDefault="005A4BF3" w:rsidP="002178A9">
            <w:pPr>
              <w:keepNext/>
              <w:rPr>
                <w:rFonts w:ascii="Arial Narrow" w:hAnsi="Arial Narrow"/>
                <w:i/>
                <w:iCs/>
                <w:sz w:val="20"/>
                <w:szCs w:val="20"/>
              </w:rPr>
            </w:pPr>
          </w:p>
        </w:tc>
        <w:tc>
          <w:tcPr>
            <w:tcW w:w="4295" w:type="pct"/>
            <w:gridSpan w:val="5"/>
          </w:tcPr>
          <w:p w14:paraId="1C6B003A" w14:textId="77777777" w:rsidR="005A4BF3" w:rsidRPr="00755DBE" w:rsidRDefault="005A4BF3" w:rsidP="002178A9">
            <w:pPr>
              <w:keepNext/>
              <w:rPr>
                <w:rFonts w:ascii="Arial Narrow" w:hAnsi="Arial Narrow"/>
                <w:b/>
                <w:i/>
                <w:iCs/>
                <w:sz w:val="20"/>
                <w:szCs w:val="20"/>
              </w:rPr>
            </w:pPr>
            <w:r w:rsidRPr="00755DBE">
              <w:rPr>
                <w:rFonts w:ascii="Arial Narrow" w:hAnsi="Arial Narrow"/>
                <w:b/>
                <w:i/>
                <w:iCs/>
                <w:sz w:val="20"/>
                <w:szCs w:val="20"/>
              </w:rPr>
              <w:t xml:space="preserve">Prescriber type: </w:t>
            </w:r>
            <w:r w:rsidRPr="00755DBE">
              <w:rPr>
                <w:rFonts w:ascii="Arial Narrow" w:hAnsi="Arial Narrow"/>
                <w:i/>
                <w:iCs/>
                <w:sz w:val="20"/>
                <w:szCs w:val="20"/>
              </w:rPr>
              <w:fldChar w:fldCharType="begin" w:fldLock="1">
                <w:ffData>
                  <w:name w:val=""/>
                  <w:enabled/>
                  <w:calcOnExit w:val="0"/>
                  <w:checkBox>
                    <w:sizeAuto/>
                    <w:default w:val="1"/>
                  </w:checkBox>
                </w:ffData>
              </w:fldChar>
            </w:r>
            <w:r w:rsidRPr="00755DBE">
              <w:rPr>
                <w:rFonts w:ascii="Arial Narrow" w:hAnsi="Arial Narrow"/>
                <w:i/>
                <w:iCs/>
                <w:sz w:val="20"/>
                <w:szCs w:val="20"/>
              </w:rPr>
              <w:instrText xml:space="preserve"> FORMCHECKBOX </w:instrText>
            </w:r>
            <w:r w:rsidRPr="00755DBE">
              <w:rPr>
                <w:rFonts w:ascii="Arial Narrow" w:hAnsi="Arial Narrow"/>
                <w:i/>
                <w:iCs/>
                <w:sz w:val="20"/>
                <w:szCs w:val="20"/>
              </w:rPr>
            </w:r>
            <w:r w:rsidRPr="00755DBE">
              <w:rPr>
                <w:rFonts w:ascii="Arial Narrow" w:hAnsi="Arial Narrow"/>
                <w:i/>
                <w:iCs/>
                <w:sz w:val="20"/>
                <w:szCs w:val="20"/>
              </w:rPr>
              <w:fldChar w:fldCharType="separate"/>
            </w:r>
            <w:r w:rsidRPr="00755DBE">
              <w:rPr>
                <w:rFonts w:ascii="Arial Narrow" w:hAnsi="Arial Narrow"/>
                <w:i/>
                <w:iCs/>
                <w:sz w:val="20"/>
                <w:szCs w:val="20"/>
              </w:rPr>
              <w:fldChar w:fldCharType="end"/>
            </w:r>
            <w:r w:rsidRPr="00755DBE">
              <w:rPr>
                <w:rFonts w:ascii="Arial Narrow" w:hAnsi="Arial Narrow"/>
                <w:i/>
                <w:iCs/>
                <w:sz w:val="20"/>
                <w:szCs w:val="20"/>
              </w:rPr>
              <w:t xml:space="preserve">Medical Practitioners </w:t>
            </w:r>
          </w:p>
        </w:tc>
      </w:tr>
      <w:tr w:rsidR="005A4BF3" w:rsidRPr="00755DBE" w14:paraId="05846524"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7256EBC3" w14:textId="77777777" w:rsidR="005A4BF3" w:rsidRPr="00755DBE" w:rsidRDefault="005A4BF3" w:rsidP="002178A9">
            <w:pPr>
              <w:rPr>
                <w:rFonts w:ascii="Arial Narrow" w:hAnsi="Arial Narrow"/>
                <w:i/>
                <w:iCs/>
                <w:sz w:val="20"/>
                <w:szCs w:val="20"/>
              </w:rPr>
            </w:pPr>
          </w:p>
        </w:tc>
        <w:tc>
          <w:tcPr>
            <w:tcW w:w="4295" w:type="pct"/>
            <w:gridSpan w:val="5"/>
          </w:tcPr>
          <w:p w14:paraId="0B9F9E31" w14:textId="77777777" w:rsidR="005A4BF3" w:rsidRPr="00755DBE" w:rsidRDefault="005A4BF3" w:rsidP="002178A9">
            <w:pPr>
              <w:rPr>
                <w:rFonts w:ascii="Arial Narrow" w:eastAsia="Calibri" w:hAnsi="Arial Narrow"/>
                <w:i/>
                <w:iCs/>
                <w:sz w:val="20"/>
                <w:szCs w:val="20"/>
              </w:rPr>
            </w:pPr>
            <w:r w:rsidRPr="00755DBE">
              <w:rPr>
                <w:rFonts w:ascii="Arial Narrow" w:hAnsi="Arial Narrow"/>
                <w:b/>
                <w:i/>
                <w:iCs/>
                <w:sz w:val="20"/>
                <w:szCs w:val="20"/>
              </w:rPr>
              <w:t xml:space="preserve">Restriction type: </w:t>
            </w:r>
            <w:r w:rsidRPr="00755DBE">
              <w:rPr>
                <w:rFonts w:ascii="Arial Narrow" w:eastAsia="Calibri" w:hAnsi="Arial Narrow"/>
                <w:i/>
                <w:iCs/>
                <w:sz w:val="20"/>
                <w:szCs w:val="20"/>
              </w:rPr>
              <w:fldChar w:fldCharType="begin" w:fldLock="1">
                <w:ffData>
                  <w:name w:val="Check3"/>
                  <w:enabled/>
                  <w:calcOnExit w:val="0"/>
                  <w:checkBox>
                    <w:sizeAuto/>
                    <w:default w:val="1"/>
                  </w:checkBox>
                </w:ffData>
              </w:fldChar>
            </w:r>
            <w:r w:rsidRPr="00755DBE">
              <w:rPr>
                <w:rFonts w:ascii="Arial Narrow" w:eastAsia="Calibri" w:hAnsi="Arial Narrow"/>
                <w:i/>
                <w:iCs/>
                <w:sz w:val="20"/>
                <w:szCs w:val="20"/>
              </w:rPr>
              <w:instrText xml:space="preserve"> FORMCHECKBOX </w:instrText>
            </w:r>
            <w:r w:rsidRPr="00755DBE">
              <w:rPr>
                <w:rFonts w:ascii="Arial Narrow" w:eastAsia="Calibri" w:hAnsi="Arial Narrow"/>
                <w:i/>
                <w:iCs/>
                <w:sz w:val="20"/>
                <w:szCs w:val="20"/>
              </w:rPr>
            </w:r>
            <w:r w:rsidRPr="00755DBE">
              <w:rPr>
                <w:rFonts w:ascii="Arial Narrow" w:eastAsia="Calibri" w:hAnsi="Arial Narrow"/>
                <w:i/>
                <w:iCs/>
                <w:sz w:val="20"/>
                <w:szCs w:val="20"/>
              </w:rPr>
              <w:fldChar w:fldCharType="separate"/>
            </w:r>
            <w:r w:rsidRPr="00755DBE">
              <w:rPr>
                <w:rFonts w:ascii="Arial Narrow" w:eastAsia="Calibri" w:hAnsi="Arial Narrow"/>
                <w:i/>
                <w:iCs/>
                <w:sz w:val="20"/>
                <w:szCs w:val="20"/>
              </w:rPr>
              <w:fldChar w:fldCharType="end"/>
            </w:r>
            <w:r w:rsidRPr="00755DBE">
              <w:rPr>
                <w:rFonts w:ascii="Arial Narrow" w:eastAsia="Calibri" w:hAnsi="Arial Narrow"/>
                <w:i/>
                <w:iCs/>
                <w:sz w:val="20"/>
                <w:szCs w:val="20"/>
              </w:rPr>
              <w:t xml:space="preserve">Authority Required (telephone/online PBS Authorities system) </w:t>
            </w:r>
          </w:p>
        </w:tc>
      </w:tr>
      <w:tr w:rsidR="005A4BF3" w:rsidRPr="00755DBE" w14:paraId="057D2925"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vAlign w:val="center"/>
          </w:tcPr>
          <w:p w14:paraId="4328D76A" w14:textId="77777777" w:rsidR="005A4BF3" w:rsidRPr="00755DBE" w:rsidRDefault="005A4BF3" w:rsidP="002178A9">
            <w:pPr>
              <w:keepLines/>
              <w:jc w:val="center"/>
              <w:rPr>
                <w:rFonts w:ascii="Arial Narrow" w:hAnsi="Arial Narrow"/>
                <w:i/>
                <w:iCs/>
                <w:sz w:val="20"/>
                <w:szCs w:val="20"/>
              </w:rPr>
            </w:pPr>
          </w:p>
        </w:tc>
        <w:tc>
          <w:tcPr>
            <w:tcW w:w="4295" w:type="pct"/>
            <w:gridSpan w:val="5"/>
            <w:vAlign w:val="center"/>
          </w:tcPr>
          <w:p w14:paraId="10DCE656" w14:textId="77777777" w:rsidR="005A4BF3" w:rsidRPr="00755DBE" w:rsidRDefault="005A4BF3" w:rsidP="002178A9">
            <w:pPr>
              <w:keepLines/>
              <w:rPr>
                <w:rFonts w:ascii="Arial Narrow" w:hAnsi="Arial Narrow"/>
                <w:bCs/>
                <w:i/>
                <w:iCs/>
                <w:sz w:val="20"/>
                <w:szCs w:val="20"/>
              </w:rPr>
            </w:pPr>
            <w:proofErr w:type="spellStart"/>
            <w:r w:rsidRPr="00755DBE">
              <w:rPr>
                <w:rFonts w:ascii="Arial Narrow" w:hAnsi="Arial Narrow"/>
                <w:b/>
                <w:bCs/>
                <w:i/>
                <w:iCs/>
                <w:sz w:val="20"/>
                <w:szCs w:val="20"/>
              </w:rPr>
              <w:t>Episodicity</w:t>
            </w:r>
            <w:proofErr w:type="spellEnd"/>
            <w:r w:rsidRPr="00755DBE">
              <w:rPr>
                <w:rFonts w:ascii="Arial Narrow" w:hAnsi="Arial Narrow"/>
                <w:b/>
                <w:bCs/>
                <w:i/>
                <w:iCs/>
                <w:sz w:val="20"/>
                <w:szCs w:val="20"/>
              </w:rPr>
              <w:t>:</w:t>
            </w:r>
            <w:r w:rsidRPr="00755DBE">
              <w:rPr>
                <w:rFonts w:ascii="Arial Narrow" w:hAnsi="Arial Narrow"/>
                <w:bCs/>
                <w:i/>
                <w:iCs/>
                <w:sz w:val="20"/>
                <w:szCs w:val="20"/>
              </w:rPr>
              <w:t xml:space="preserve"> [blank]</w:t>
            </w:r>
          </w:p>
        </w:tc>
      </w:tr>
      <w:tr w:rsidR="005A4BF3" w:rsidRPr="00755DBE" w14:paraId="5C8D2F28"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2DA010E3" w14:textId="77777777" w:rsidR="005A4BF3" w:rsidRPr="00755DBE" w:rsidRDefault="005A4BF3" w:rsidP="002178A9">
            <w:pPr>
              <w:keepLines/>
              <w:jc w:val="center"/>
              <w:rPr>
                <w:rFonts w:ascii="Arial Narrow" w:hAnsi="Arial Narrow"/>
                <w:i/>
                <w:iCs/>
                <w:sz w:val="20"/>
                <w:szCs w:val="20"/>
              </w:rPr>
            </w:pPr>
          </w:p>
        </w:tc>
        <w:tc>
          <w:tcPr>
            <w:tcW w:w="4295" w:type="pct"/>
            <w:gridSpan w:val="5"/>
            <w:vAlign w:val="center"/>
          </w:tcPr>
          <w:p w14:paraId="70B4A0E4" w14:textId="77777777" w:rsidR="005A4BF3" w:rsidRPr="00755DBE" w:rsidRDefault="005A4BF3" w:rsidP="002178A9">
            <w:pPr>
              <w:keepLines/>
              <w:rPr>
                <w:rFonts w:ascii="Arial Narrow" w:hAnsi="Arial Narrow"/>
                <w:b/>
                <w:bCs/>
                <w:i/>
                <w:iCs/>
                <w:sz w:val="20"/>
                <w:szCs w:val="20"/>
              </w:rPr>
            </w:pPr>
            <w:r w:rsidRPr="00755DBE">
              <w:rPr>
                <w:rFonts w:ascii="Arial Narrow" w:hAnsi="Arial Narrow"/>
                <w:b/>
                <w:bCs/>
                <w:i/>
                <w:iCs/>
                <w:sz w:val="20"/>
                <w:szCs w:val="20"/>
              </w:rPr>
              <w:t xml:space="preserve">Severity: </w:t>
            </w:r>
            <w:r w:rsidRPr="00755DBE">
              <w:rPr>
                <w:rFonts w:ascii="Arial Narrow" w:hAnsi="Arial Narrow"/>
                <w:bCs/>
                <w:i/>
                <w:iCs/>
                <w:sz w:val="20"/>
                <w:szCs w:val="20"/>
              </w:rPr>
              <w:t>Relapsed or refractory</w:t>
            </w:r>
          </w:p>
        </w:tc>
      </w:tr>
      <w:tr w:rsidR="005A4BF3" w:rsidRPr="00755DBE" w14:paraId="6287D137"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2F56F3C3" w14:textId="77777777" w:rsidR="005A4BF3" w:rsidRPr="00755DBE" w:rsidRDefault="005A4BF3" w:rsidP="002178A9">
            <w:pPr>
              <w:keepLines/>
              <w:jc w:val="center"/>
              <w:rPr>
                <w:rFonts w:ascii="Arial Narrow" w:hAnsi="Arial Narrow"/>
                <w:i/>
                <w:iCs/>
                <w:sz w:val="20"/>
                <w:szCs w:val="20"/>
              </w:rPr>
            </w:pPr>
          </w:p>
        </w:tc>
        <w:tc>
          <w:tcPr>
            <w:tcW w:w="4295" w:type="pct"/>
            <w:gridSpan w:val="5"/>
            <w:vAlign w:val="center"/>
          </w:tcPr>
          <w:p w14:paraId="35D25EB3" w14:textId="77777777" w:rsidR="005A4BF3" w:rsidRPr="00755DBE" w:rsidRDefault="005A4BF3" w:rsidP="002178A9">
            <w:pPr>
              <w:keepLines/>
              <w:rPr>
                <w:rFonts w:ascii="Arial Narrow" w:hAnsi="Arial Narrow"/>
                <w:b/>
                <w:bCs/>
                <w:i/>
                <w:iCs/>
                <w:sz w:val="20"/>
                <w:szCs w:val="20"/>
              </w:rPr>
            </w:pPr>
            <w:r w:rsidRPr="00755DBE">
              <w:rPr>
                <w:rFonts w:ascii="Arial Narrow" w:hAnsi="Arial Narrow"/>
                <w:b/>
                <w:bCs/>
                <w:i/>
                <w:iCs/>
                <w:sz w:val="20"/>
                <w:szCs w:val="20"/>
              </w:rPr>
              <w:t xml:space="preserve">Condition: </w:t>
            </w:r>
            <w:r w:rsidRPr="00755DBE">
              <w:rPr>
                <w:rFonts w:ascii="Arial Narrow" w:hAnsi="Arial Narrow"/>
                <w:bCs/>
                <w:i/>
                <w:iCs/>
                <w:sz w:val="20"/>
                <w:szCs w:val="20"/>
              </w:rPr>
              <w:t>Diffuse large b-cell lymphoma (DLBCL)</w:t>
            </w:r>
          </w:p>
        </w:tc>
      </w:tr>
      <w:tr w:rsidR="005A4BF3" w:rsidRPr="00755DBE" w14:paraId="4BFCE57A"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0F72232B" w14:textId="75F68DCB" w:rsidR="005A4BF3" w:rsidRPr="00755DBE" w:rsidRDefault="005A4BF3" w:rsidP="002178A9">
            <w:pPr>
              <w:keepLines/>
              <w:jc w:val="center"/>
              <w:rPr>
                <w:rFonts w:ascii="Arial Narrow" w:hAnsi="Arial Narrow"/>
                <w:i/>
                <w:iCs/>
                <w:sz w:val="20"/>
                <w:szCs w:val="20"/>
              </w:rPr>
            </w:pPr>
          </w:p>
        </w:tc>
        <w:tc>
          <w:tcPr>
            <w:tcW w:w="4295" w:type="pct"/>
            <w:gridSpan w:val="5"/>
            <w:vAlign w:val="center"/>
            <w:hideMark/>
          </w:tcPr>
          <w:p w14:paraId="28BBE996" w14:textId="77777777" w:rsidR="005A4BF3" w:rsidRPr="00755DBE" w:rsidRDefault="005A4BF3" w:rsidP="002178A9">
            <w:pPr>
              <w:keepLines/>
              <w:rPr>
                <w:rFonts w:ascii="Arial Narrow" w:hAnsi="Arial Narrow"/>
                <w:i/>
                <w:iCs/>
                <w:sz w:val="20"/>
                <w:szCs w:val="20"/>
              </w:rPr>
            </w:pPr>
            <w:r w:rsidRPr="00755DBE">
              <w:rPr>
                <w:rFonts w:ascii="Arial Narrow" w:hAnsi="Arial Narrow"/>
                <w:b/>
                <w:bCs/>
                <w:i/>
                <w:iCs/>
                <w:sz w:val="20"/>
                <w:szCs w:val="20"/>
              </w:rPr>
              <w:t>Indication:</w:t>
            </w:r>
            <w:r w:rsidRPr="00755DBE">
              <w:rPr>
                <w:rFonts w:ascii="Arial Narrow" w:hAnsi="Arial Narrow"/>
                <w:i/>
                <w:iCs/>
                <w:sz w:val="20"/>
                <w:szCs w:val="20"/>
              </w:rPr>
              <w:t xml:space="preserve"> Relapsed or refractory Diffuse large b-cell lymphoma (DLBCL)</w:t>
            </w:r>
          </w:p>
        </w:tc>
      </w:tr>
      <w:tr w:rsidR="005A4BF3" w:rsidRPr="00755DBE" w14:paraId="07F87C88"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3FFC45D3" w14:textId="77777777" w:rsidR="005A4BF3" w:rsidRPr="00755DBE" w:rsidRDefault="005A4BF3" w:rsidP="002178A9">
            <w:pPr>
              <w:jc w:val="center"/>
              <w:rPr>
                <w:rFonts w:ascii="Arial Narrow" w:hAnsi="Arial Narrow"/>
                <w:i/>
                <w:iCs/>
                <w:sz w:val="20"/>
                <w:szCs w:val="20"/>
              </w:rPr>
            </w:pPr>
          </w:p>
        </w:tc>
        <w:tc>
          <w:tcPr>
            <w:tcW w:w="4295" w:type="pct"/>
            <w:gridSpan w:val="5"/>
            <w:vAlign w:val="center"/>
            <w:hideMark/>
          </w:tcPr>
          <w:p w14:paraId="4C0F7496" w14:textId="77777777" w:rsidR="005A4BF3" w:rsidRPr="00755DBE" w:rsidRDefault="005A4BF3" w:rsidP="002178A9">
            <w:pPr>
              <w:rPr>
                <w:rFonts w:ascii="Arial Narrow" w:hAnsi="Arial Narrow"/>
                <w:i/>
                <w:iCs/>
                <w:sz w:val="20"/>
                <w:szCs w:val="20"/>
              </w:rPr>
            </w:pPr>
            <w:r w:rsidRPr="00755DBE">
              <w:rPr>
                <w:rFonts w:ascii="Arial Narrow" w:hAnsi="Arial Narrow"/>
                <w:b/>
                <w:bCs/>
                <w:i/>
                <w:iCs/>
                <w:sz w:val="20"/>
                <w:szCs w:val="20"/>
              </w:rPr>
              <w:t>Treatment Phase:</w:t>
            </w:r>
            <w:r w:rsidRPr="00755DBE">
              <w:rPr>
                <w:rFonts w:ascii="Arial Narrow" w:hAnsi="Arial Narrow"/>
                <w:i/>
                <w:iCs/>
                <w:sz w:val="20"/>
                <w:szCs w:val="20"/>
              </w:rPr>
              <w:t xml:space="preserve"> Initial treatment (cycle 1 – day 15)</w:t>
            </w:r>
          </w:p>
        </w:tc>
      </w:tr>
      <w:tr w:rsidR="005A4BF3" w:rsidRPr="00755DBE" w14:paraId="7ECA889D"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62CE1F4F" w14:textId="77777777" w:rsidR="005A4BF3" w:rsidRPr="00755DBE" w:rsidRDefault="005A4BF3" w:rsidP="002178A9">
            <w:pPr>
              <w:jc w:val="center"/>
              <w:rPr>
                <w:rFonts w:ascii="Arial Narrow" w:hAnsi="Arial Narrow"/>
                <w:i/>
                <w:iCs/>
                <w:sz w:val="20"/>
                <w:szCs w:val="20"/>
              </w:rPr>
            </w:pPr>
          </w:p>
        </w:tc>
        <w:tc>
          <w:tcPr>
            <w:tcW w:w="4295" w:type="pct"/>
            <w:gridSpan w:val="5"/>
            <w:vAlign w:val="center"/>
            <w:hideMark/>
          </w:tcPr>
          <w:p w14:paraId="1893F27E" w14:textId="77777777" w:rsidR="005A4BF3" w:rsidRPr="00755DBE" w:rsidRDefault="005A4BF3" w:rsidP="002178A9">
            <w:pPr>
              <w:rPr>
                <w:rFonts w:ascii="Arial Narrow" w:hAnsi="Arial Narrow"/>
                <w:i/>
                <w:iCs/>
                <w:sz w:val="20"/>
                <w:szCs w:val="20"/>
              </w:rPr>
            </w:pPr>
            <w:r w:rsidRPr="00755DBE">
              <w:rPr>
                <w:rFonts w:ascii="Arial Narrow" w:hAnsi="Arial Narrow"/>
                <w:b/>
                <w:bCs/>
                <w:i/>
                <w:iCs/>
                <w:sz w:val="20"/>
                <w:szCs w:val="20"/>
              </w:rPr>
              <w:t xml:space="preserve">Clinical criteria: </w:t>
            </w:r>
          </w:p>
        </w:tc>
      </w:tr>
      <w:tr w:rsidR="005A4BF3" w:rsidRPr="00755DBE" w14:paraId="0191C112"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3AE7DBC2" w14:textId="77777777" w:rsidR="005A4BF3" w:rsidRPr="00755DBE" w:rsidRDefault="005A4BF3" w:rsidP="002178A9">
            <w:pPr>
              <w:jc w:val="center"/>
              <w:rPr>
                <w:rFonts w:ascii="Arial Narrow" w:hAnsi="Arial Narrow"/>
                <w:i/>
                <w:iCs/>
                <w:sz w:val="20"/>
                <w:szCs w:val="20"/>
              </w:rPr>
            </w:pPr>
          </w:p>
        </w:tc>
        <w:tc>
          <w:tcPr>
            <w:tcW w:w="4295" w:type="pct"/>
            <w:gridSpan w:val="5"/>
            <w:vAlign w:val="center"/>
          </w:tcPr>
          <w:p w14:paraId="6BE66A87" w14:textId="77777777" w:rsidR="005A4BF3" w:rsidRPr="00755DBE" w:rsidRDefault="005A4BF3" w:rsidP="002178A9">
            <w:pPr>
              <w:rPr>
                <w:rFonts w:ascii="Arial Narrow" w:hAnsi="Arial Narrow"/>
                <w:i/>
                <w:iCs/>
                <w:sz w:val="20"/>
                <w:szCs w:val="20"/>
              </w:rPr>
            </w:pPr>
            <w:r w:rsidRPr="00755DBE">
              <w:rPr>
                <w:rFonts w:ascii="Arial Narrow" w:hAnsi="Arial Narrow"/>
                <w:i/>
                <w:iCs/>
                <w:sz w:val="20"/>
                <w:szCs w:val="20"/>
              </w:rPr>
              <w:t>Patient must have previously received PBS-subsidised treatment with this drug for this condition.</w:t>
            </w:r>
          </w:p>
        </w:tc>
      </w:tr>
      <w:tr w:rsidR="005A4BF3" w:rsidRPr="00755DBE" w14:paraId="2D8CFF6B"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4FA8851D" w14:textId="77777777" w:rsidR="005A4BF3" w:rsidRPr="00755DBE" w:rsidRDefault="005A4BF3" w:rsidP="002178A9">
            <w:pPr>
              <w:jc w:val="center"/>
              <w:rPr>
                <w:rFonts w:ascii="Arial Narrow" w:hAnsi="Arial Narrow"/>
                <w:i/>
                <w:iCs/>
                <w:sz w:val="20"/>
                <w:szCs w:val="20"/>
              </w:rPr>
            </w:pPr>
          </w:p>
        </w:tc>
        <w:tc>
          <w:tcPr>
            <w:tcW w:w="4295" w:type="pct"/>
            <w:gridSpan w:val="5"/>
            <w:vAlign w:val="center"/>
          </w:tcPr>
          <w:p w14:paraId="0F077E82" w14:textId="77777777" w:rsidR="005A4BF3" w:rsidRPr="00755DBE" w:rsidRDefault="005A4BF3" w:rsidP="002178A9">
            <w:pPr>
              <w:rPr>
                <w:rFonts w:ascii="Arial Narrow" w:hAnsi="Arial Narrow"/>
                <w:i/>
                <w:iCs/>
                <w:sz w:val="20"/>
                <w:szCs w:val="20"/>
              </w:rPr>
            </w:pPr>
            <w:r w:rsidRPr="00755DBE">
              <w:rPr>
                <w:rFonts w:ascii="Arial Narrow" w:hAnsi="Arial Narrow"/>
                <w:b/>
                <w:bCs/>
                <w:i/>
                <w:iCs/>
                <w:sz w:val="20"/>
                <w:szCs w:val="20"/>
              </w:rPr>
              <w:t>AND</w:t>
            </w:r>
          </w:p>
        </w:tc>
      </w:tr>
      <w:tr w:rsidR="005A4BF3" w:rsidRPr="00755DBE" w14:paraId="5117701C"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152F7C92" w14:textId="77777777" w:rsidR="005A4BF3" w:rsidRPr="00755DBE" w:rsidRDefault="005A4BF3" w:rsidP="002178A9">
            <w:pPr>
              <w:jc w:val="center"/>
              <w:rPr>
                <w:rFonts w:ascii="Arial Narrow" w:hAnsi="Arial Narrow"/>
                <w:i/>
                <w:iCs/>
                <w:sz w:val="20"/>
                <w:szCs w:val="20"/>
              </w:rPr>
            </w:pPr>
          </w:p>
        </w:tc>
        <w:tc>
          <w:tcPr>
            <w:tcW w:w="4295" w:type="pct"/>
            <w:gridSpan w:val="5"/>
            <w:vAlign w:val="center"/>
          </w:tcPr>
          <w:p w14:paraId="59CAB891"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Clinical criteria:</w:t>
            </w:r>
          </w:p>
        </w:tc>
      </w:tr>
      <w:tr w:rsidR="005A4BF3" w:rsidRPr="00755DBE" w14:paraId="778483E8"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0B34CF6C" w14:textId="77777777" w:rsidR="005A4BF3" w:rsidRPr="00755DBE" w:rsidRDefault="005A4BF3" w:rsidP="002178A9">
            <w:pPr>
              <w:jc w:val="center"/>
              <w:rPr>
                <w:rFonts w:ascii="Arial Narrow" w:hAnsi="Arial Narrow"/>
                <w:i/>
                <w:iCs/>
                <w:sz w:val="20"/>
                <w:szCs w:val="20"/>
              </w:rPr>
            </w:pPr>
          </w:p>
        </w:tc>
        <w:tc>
          <w:tcPr>
            <w:tcW w:w="4295" w:type="pct"/>
            <w:gridSpan w:val="5"/>
            <w:vAlign w:val="center"/>
          </w:tcPr>
          <w:p w14:paraId="04060F45" w14:textId="77777777" w:rsidR="005A4BF3" w:rsidRPr="00755DBE" w:rsidRDefault="005A4BF3" w:rsidP="002178A9">
            <w:pPr>
              <w:rPr>
                <w:rFonts w:ascii="Arial Narrow" w:hAnsi="Arial Narrow"/>
                <w:i/>
                <w:iCs/>
                <w:sz w:val="20"/>
                <w:szCs w:val="20"/>
              </w:rPr>
            </w:pPr>
            <w:r w:rsidRPr="00755DBE">
              <w:rPr>
                <w:rFonts w:ascii="Arial Narrow" w:hAnsi="Arial Narrow"/>
                <w:i/>
                <w:iCs/>
                <w:sz w:val="20"/>
                <w:szCs w:val="20"/>
              </w:rPr>
              <w:t>The treatment is intended to be given in combination with gemcitabine and oxaliplatin for the first 8 cycles.</w:t>
            </w:r>
          </w:p>
        </w:tc>
      </w:tr>
      <w:tr w:rsidR="005A4BF3" w:rsidRPr="00755DBE" w14:paraId="228FA696"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31C5642D" w14:textId="77777777" w:rsidR="005A4BF3" w:rsidRPr="00755DBE" w:rsidRDefault="005A4BF3" w:rsidP="002178A9">
            <w:pPr>
              <w:jc w:val="center"/>
              <w:rPr>
                <w:rFonts w:ascii="Arial Narrow" w:hAnsi="Arial Narrow"/>
                <w:i/>
                <w:iCs/>
                <w:sz w:val="20"/>
                <w:szCs w:val="20"/>
              </w:rPr>
            </w:pPr>
          </w:p>
        </w:tc>
        <w:tc>
          <w:tcPr>
            <w:tcW w:w="4295" w:type="pct"/>
            <w:gridSpan w:val="5"/>
            <w:vAlign w:val="center"/>
          </w:tcPr>
          <w:p w14:paraId="7CA0E6CA"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Prescribing Instructions: </w:t>
            </w:r>
          </w:p>
          <w:p w14:paraId="43C2C86C" w14:textId="77777777" w:rsidR="005A4BF3" w:rsidRPr="00755DBE" w:rsidRDefault="005A4BF3" w:rsidP="002178A9">
            <w:pPr>
              <w:rPr>
                <w:rFonts w:ascii="Arial Narrow" w:hAnsi="Arial Narrow"/>
                <w:b/>
                <w:bCs/>
                <w:i/>
                <w:iCs/>
                <w:sz w:val="20"/>
                <w:szCs w:val="20"/>
              </w:rPr>
            </w:pPr>
            <w:r w:rsidRPr="00755DBE">
              <w:rPr>
                <w:rFonts w:ascii="Arial Narrow" w:hAnsi="Arial Narrow"/>
                <w:i/>
                <w:iCs/>
                <w:sz w:val="20"/>
                <w:szCs w:val="20"/>
              </w:rPr>
              <w:t>Glofitamab should be administered as an intravenous infusion according to the dose step-up schedule in cycle 1 (2.5 mg on Day 8 and 10 mg on Day 15) leading to the recommended dosage of 30 mg on Day 1 of cycles 2-12. Refer to the TGA approved Product information.</w:t>
            </w:r>
          </w:p>
        </w:tc>
      </w:tr>
      <w:tr w:rsidR="005A4BF3" w:rsidRPr="00755DBE" w14:paraId="7BCF9C6B"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7BF689AD" w14:textId="0EAAAE2B" w:rsidR="005A4BF3" w:rsidRPr="00755DBE" w:rsidRDefault="005A4BF3" w:rsidP="002178A9">
            <w:pPr>
              <w:jc w:val="center"/>
              <w:rPr>
                <w:rFonts w:ascii="Arial Narrow" w:hAnsi="Arial Narrow"/>
                <w:i/>
                <w:iCs/>
                <w:sz w:val="20"/>
                <w:szCs w:val="20"/>
              </w:rPr>
            </w:pPr>
          </w:p>
        </w:tc>
        <w:tc>
          <w:tcPr>
            <w:tcW w:w="4295" w:type="pct"/>
            <w:gridSpan w:val="5"/>
            <w:vAlign w:val="center"/>
          </w:tcPr>
          <w:p w14:paraId="3C0CB319" w14:textId="77777777" w:rsidR="005A4BF3" w:rsidRPr="00755DBE" w:rsidRDefault="005A4BF3" w:rsidP="002178A9">
            <w:pPr>
              <w:keepLines/>
              <w:contextualSpacing/>
              <w:rPr>
                <w:rFonts w:ascii="Arial Narrow" w:hAnsi="Arial Narrow"/>
                <w:i/>
                <w:iCs/>
                <w:sz w:val="20"/>
                <w:szCs w:val="20"/>
              </w:rPr>
            </w:pPr>
            <w:r w:rsidRPr="00755DBE">
              <w:rPr>
                <w:rFonts w:ascii="Arial Narrow" w:hAnsi="Arial Narrow"/>
                <w:b/>
                <w:bCs/>
                <w:i/>
                <w:iCs/>
                <w:sz w:val="20"/>
                <w:szCs w:val="20"/>
              </w:rPr>
              <w:t>Administrative Advice:</w:t>
            </w:r>
          </w:p>
          <w:p w14:paraId="4E3FACA9" w14:textId="77777777" w:rsidR="005A4BF3" w:rsidRPr="00755DBE" w:rsidRDefault="005A4BF3" w:rsidP="002178A9">
            <w:pPr>
              <w:rPr>
                <w:rFonts w:ascii="Arial Narrow" w:hAnsi="Arial Narrow"/>
                <w:b/>
                <w:bCs/>
                <w:i/>
                <w:iCs/>
                <w:sz w:val="20"/>
                <w:szCs w:val="20"/>
              </w:rPr>
            </w:pPr>
            <w:r w:rsidRPr="00755DBE">
              <w:rPr>
                <w:rFonts w:ascii="Arial Narrow" w:hAnsi="Arial Narrow"/>
                <w:i/>
                <w:iCs/>
                <w:sz w:val="20"/>
                <w:szCs w:val="20"/>
              </w:rPr>
              <w:t>No increase in the maximum amount or number of units may be authorised.</w:t>
            </w:r>
          </w:p>
        </w:tc>
      </w:tr>
      <w:tr w:rsidR="005A4BF3" w:rsidRPr="00755DBE" w14:paraId="15EFB6F9"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tcPr>
          <w:p w14:paraId="66B0AA95" w14:textId="44E86031" w:rsidR="005A4BF3" w:rsidRPr="00755DBE" w:rsidRDefault="005A4BF3" w:rsidP="002178A9">
            <w:pPr>
              <w:jc w:val="center"/>
              <w:rPr>
                <w:rFonts w:ascii="Arial Narrow" w:hAnsi="Arial Narrow"/>
                <w:i/>
                <w:iCs/>
                <w:sz w:val="20"/>
                <w:szCs w:val="20"/>
              </w:rPr>
            </w:pPr>
          </w:p>
        </w:tc>
        <w:tc>
          <w:tcPr>
            <w:tcW w:w="4295" w:type="pct"/>
            <w:gridSpan w:val="5"/>
            <w:tcBorders>
              <w:top w:val="single" w:sz="4" w:space="0" w:color="auto"/>
              <w:left w:val="single" w:sz="4" w:space="0" w:color="auto"/>
              <w:bottom w:val="single" w:sz="4" w:space="0" w:color="auto"/>
              <w:right w:val="single" w:sz="4" w:space="0" w:color="auto"/>
            </w:tcBorders>
          </w:tcPr>
          <w:p w14:paraId="228CFDC2"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i/>
                <w:iCs/>
                <w:sz w:val="20"/>
                <w:szCs w:val="20"/>
              </w:rPr>
              <w:t>No increase in the maximum number of repeats may be authorised.</w:t>
            </w:r>
          </w:p>
        </w:tc>
      </w:tr>
      <w:tr w:rsidR="005A4BF3" w:rsidRPr="00755DBE" w14:paraId="088BCC11"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tcPr>
          <w:p w14:paraId="284B2A7A" w14:textId="21BF16F6" w:rsidR="005A4BF3" w:rsidRPr="00755DBE" w:rsidRDefault="005A4BF3" w:rsidP="002178A9">
            <w:pPr>
              <w:jc w:val="center"/>
              <w:rPr>
                <w:rFonts w:ascii="Arial Narrow" w:hAnsi="Arial Narrow"/>
                <w:i/>
                <w:iCs/>
                <w:sz w:val="20"/>
                <w:szCs w:val="20"/>
              </w:rPr>
            </w:pPr>
          </w:p>
        </w:tc>
        <w:tc>
          <w:tcPr>
            <w:tcW w:w="4295" w:type="pct"/>
            <w:gridSpan w:val="5"/>
            <w:tcBorders>
              <w:top w:val="single" w:sz="4" w:space="0" w:color="auto"/>
              <w:left w:val="single" w:sz="4" w:space="0" w:color="auto"/>
              <w:bottom w:val="single" w:sz="4" w:space="0" w:color="auto"/>
              <w:right w:val="single" w:sz="4" w:space="0" w:color="auto"/>
            </w:tcBorders>
          </w:tcPr>
          <w:p w14:paraId="66A950C0"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i/>
                <w:iCs/>
                <w:sz w:val="20"/>
                <w:szCs w:val="20"/>
              </w:rPr>
              <w:t>Special Pricing Arrangements apply.</w:t>
            </w:r>
          </w:p>
        </w:tc>
      </w:tr>
      <w:tr w:rsidR="005A4BF3" w:rsidRPr="00755DBE" w14:paraId="54D1AEAD"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76205461" w14:textId="3AE0A912" w:rsidR="005A4BF3" w:rsidRPr="00755DBE" w:rsidRDefault="005A4BF3" w:rsidP="002178A9">
            <w:pPr>
              <w:jc w:val="center"/>
              <w:rPr>
                <w:rFonts w:ascii="Arial Narrow" w:hAnsi="Arial Narrow"/>
                <w:i/>
                <w:iCs/>
                <w:sz w:val="20"/>
                <w:szCs w:val="20"/>
              </w:rPr>
            </w:pPr>
          </w:p>
        </w:tc>
        <w:tc>
          <w:tcPr>
            <w:tcW w:w="4295" w:type="pct"/>
            <w:gridSpan w:val="5"/>
            <w:tcBorders>
              <w:top w:val="single" w:sz="4" w:space="0" w:color="auto"/>
              <w:left w:val="single" w:sz="4" w:space="0" w:color="auto"/>
              <w:bottom w:val="single" w:sz="4" w:space="0" w:color="auto"/>
              <w:right w:val="single" w:sz="4" w:space="0" w:color="auto"/>
            </w:tcBorders>
            <w:vAlign w:val="center"/>
          </w:tcPr>
          <w:p w14:paraId="515213E2"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14FAB418" w14:textId="77777777" w:rsidR="005A4BF3" w:rsidRPr="00755DBE" w:rsidRDefault="005A4BF3" w:rsidP="005A4BF3"/>
    <w:p w14:paraId="70DBB836" w14:textId="77777777" w:rsidR="005A4BF3" w:rsidRPr="00D61004" w:rsidRDefault="005A4BF3" w:rsidP="005A4BF3">
      <w:pPr>
        <w:rPr>
          <w:b/>
        </w:rPr>
      </w:pPr>
      <w:r w:rsidRPr="00D61004">
        <w:rPr>
          <w:b/>
        </w:rPr>
        <w:t>Continuing (cycles 2-8)</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348"/>
        <w:gridCol w:w="2624"/>
        <w:gridCol w:w="1416"/>
        <w:gridCol w:w="1137"/>
        <w:gridCol w:w="1222"/>
      </w:tblGrid>
      <w:tr w:rsidR="005A3AC5" w:rsidRPr="00755DBE" w14:paraId="0AB70507" w14:textId="77777777" w:rsidTr="005A3AC5">
        <w:trPr>
          <w:cantSplit/>
          <w:trHeight w:val="20"/>
        </w:trPr>
        <w:tc>
          <w:tcPr>
            <w:tcW w:w="1454" w:type="pct"/>
            <w:gridSpan w:val="2"/>
            <w:vAlign w:val="center"/>
          </w:tcPr>
          <w:p w14:paraId="7FA41202" w14:textId="77777777" w:rsidR="005A3AC5" w:rsidRDefault="005A3AC5" w:rsidP="002178A9">
            <w:pPr>
              <w:keepNext/>
              <w:rPr>
                <w:rFonts w:ascii="Arial Narrow" w:hAnsi="Arial Narrow"/>
                <w:b/>
                <w:bCs/>
                <w:sz w:val="20"/>
                <w:szCs w:val="20"/>
              </w:rPr>
            </w:pPr>
            <w:r w:rsidRPr="00755DBE">
              <w:rPr>
                <w:rFonts w:ascii="Arial Narrow" w:hAnsi="Arial Narrow"/>
                <w:b/>
                <w:bCs/>
                <w:sz w:val="20"/>
                <w:szCs w:val="20"/>
              </w:rPr>
              <w:t>MEDICINAL PRODUCT</w:t>
            </w:r>
          </w:p>
          <w:p w14:paraId="1D3EA113" w14:textId="5453C0C0" w:rsidR="005A3AC5" w:rsidRPr="00755DBE" w:rsidRDefault="005A3AC5" w:rsidP="002178A9">
            <w:pPr>
              <w:keepNext/>
              <w:rPr>
                <w:rFonts w:ascii="Arial Narrow" w:hAnsi="Arial Narrow"/>
                <w:b/>
                <w:bCs/>
                <w:sz w:val="20"/>
                <w:szCs w:val="20"/>
              </w:rPr>
            </w:pPr>
            <w:r w:rsidRPr="00755DBE">
              <w:rPr>
                <w:rFonts w:ascii="Arial Narrow" w:hAnsi="Arial Narrow"/>
                <w:b/>
                <w:sz w:val="20"/>
                <w:szCs w:val="20"/>
              </w:rPr>
              <w:t>Form</w:t>
            </w:r>
          </w:p>
        </w:tc>
        <w:tc>
          <w:tcPr>
            <w:tcW w:w="1454" w:type="pct"/>
            <w:vAlign w:val="center"/>
          </w:tcPr>
          <w:p w14:paraId="2A231082" w14:textId="3DBC56DC" w:rsidR="005A3AC5" w:rsidRPr="005A3AC5" w:rsidRDefault="005A3AC5" w:rsidP="002178A9">
            <w:pPr>
              <w:keepNext/>
              <w:rPr>
                <w:rFonts w:ascii="Arial Narrow" w:hAnsi="Arial Narrow"/>
                <w:b/>
                <w:sz w:val="20"/>
                <w:szCs w:val="20"/>
              </w:rPr>
            </w:pPr>
            <w:r w:rsidRPr="005A3AC5">
              <w:rPr>
                <w:rFonts w:ascii="Arial Narrow" w:hAnsi="Arial Narrow"/>
                <w:b/>
                <w:sz w:val="20"/>
                <w:szCs w:val="20"/>
              </w:rPr>
              <w:t>Dispensed Price for Max Amount</w:t>
            </w:r>
          </w:p>
        </w:tc>
        <w:tc>
          <w:tcPr>
            <w:tcW w:w="785" w:type="pct"/>
            <w:vAlign w:val="center"/>
          </w:tcPr>
          <w:p w14:paraId="1E3D2225" w14:textId="77777777" w:rsidR="005A3AC5" w:rsidRPr="00755DBE" w:rsidRDefault="005A3AC5" w:rsidP="002178A9">
            <w:pPr>
              <w:keepNext/>
              <w:jc w:val="center"/>
              <w:rPr>
                <w:rFonts w:ascii="Arial Narrow" w:hAnsi="Arial Narrow"/>
                <w:b/>
                <w:sz w:val="20"/>
                <w:szCs w:val="20"/>
              </w:rPr>
            </w:pPr>
            <w:r w:rsidRPr="00755DBE">
              <w:rPr>
                <w:rFonts w:ascii="Arial Narrow" w:hAnsi="Arial Narrow"/>
                <w:b/>
                <w:sz w:val="20"/>
                <w:szCs w:val="20"/>
              </w:rPr>
              <w:t>PBS item code</w:t>
            </w:r>
          </w:p>
        </w:tc>
        <w:tc>
          <w:tcPr>
            <w:tcW w:w="630" w:type="pct"/>
            <w:vAlign w:val="center"/>
          </w:tcPr>
          <w:p w14:paraId="2A53B3E5" w14:textId="77777777" w:rsidR="005A3AC5" w:rsidRPr="00755DBE" w:rsidRDefault="005A3AC5" w:rsidP="002178A9">
            <w:pPr>
              <w:keepNext/>
              <w:jc w:val="center"/>
              <w:rPr>
                <w:rFonts w:ascii="Arial Narrow" w:hAnsi="Arial Narrow"/>
                <w:b/>
                <w:sz w:val="20"/>
                <w:szCs w:val="20"/>
              </w:rPr>
            </w:pPr>
            <w:r w:rsidRPr="00755DBE">
              <w:rPr>
                <w:rFonts w:ascii="Arial Narrow" w:hAnsi="Arial Narrow"/>
                <w:b/>
                <w:sz w:val="20"/>
                <w:szCs w:val="20"/>
              </w:rPr>
              <w:t>Max. Amount</w:t>
            </w:r>
          </w:p>
        </w:tc>
        <w:tc>
          <w:tcPr>
            <w:tcW w:w="677" w:type="pct"/>
            <w:vAlign w:val="center"/>
          </w:tcPr>
          <w:p w14:paraId="6829127C" w14:textId="77777777" w:rsidR="005A3AC5" w:rsidRPr="00755DBE" w:rsidRDefault="005A3AC5" w:rsidP="002178A9">
            <w:pPr>
              <w:keepNext/>
              <w:jc w:val="center"/>
              <w:rPr>
                <w:rFonts w:ascii="Arial Narrow" w:hAnsi="Arial Narrow"/>
                <w:b/>
                <w:sz w:val="20"/>
                <w:szCs w:val="20"/>
              </w:rPr>
            </w:pPr>
            <w:r w:rsidRPr="00755DBE">
              <w:rPr>
                <w:rFonts w:ascii="Arial Narrow" w:hAnsi="Arial Narrow"/>
                <w:b/>
                <w:sz w:val="20"/>
                <w:szCs w:val="20"/>
              </w:rPr>
              <w:t>№.of Rpts</w:t>
            </w:r>
          </w:p>
        </w:tc>
      </w:tr>
      <w:tr w:rsidR="005A3AC5" w:rsidRPr="00755DBE" w14:paraId="45876A00" w14:textId="77777777" w:rsidTr="005A3AC5">
        <w:trPr>
          <w:cantSplit/>
          <w:trHeight w:val="20"/>
        </w:trPr>
        <w:tc>
          <w:tcPr>
            <w:tcW w:w="1454" w:type="pct"/>
            <w:gridSpan w:val="2"/>
            <w:vAlign w:val="center"/>
          </w:tcPr>
          <w:p w14:paraId="6D65600C" w14:textId="77777777" w:rsidR="005A3AC5" w:rsidRPr="00755DBE" w:rsidRDefault="005A3AC5" w:rsidP="002178A9">
            <w:pPr>
              <w:keepNext/>
              <w:rPr>
                <w:rFonts w:ascii="Arial Narrow" w:hAnsi="Arial Narrow"/>
                <w:sz w:val="20"/>
                <w:szCs w:val="20"/>
              </w:rPr>
            </w:pPr>
            <w:r w:rsidRPr="00755DBE">
              <w:rPr>
                <w:rFonts w:ascii="Arial Narrow" w:hAnsi="Arial Narrow"/>
                <w:sz w:val="20"/>
                <w:szCs w:val="20"/>
              </w:rPr>
              <w:t>GLOFITAMAB</w:t>
            </w:r>
            <w:r w:rsidRPr="00755DBE">
              <w:rPr>
                <w:rFonts w:ascii="Arial Narrow" w:hAnsi="Arial Narrow"/>
                <w:sz w:val="20"/>
                <w:szCs w:val="20"/>
              </w:rPr>
              <w:br/>
            </w:r>
            <w:r w:rsidRPr="00755DBE">
              <w:rPr>
                <w:rFonts w:ascii="Arial Narrow" w:hAnsi="Arial Narrow" w:cs="Arial Narrow"/>
                <w:sz w:val="20"/>
                <w:szCs w:val="20"/>
              </w:rPr>
              <w:t>Injection</w:t>
            </w:r>
          </w:p>
        </w:tc>
        <w:tc>
          <w:tcPr>
            <w:tcW w:w="1454" w:type="pct"/>
            <w:vAlign w:val="center"/>
          </w:tcPr>
          <w:p w14:paraId="76166537" w14:textId="77777777" w:rsidR="005A3AC5" w:rsidRPr="005A3AC5" w:rsidRDefault="005A3AC5" w:rsidP="005A3AC5">
            <w:pPr>
              <w:jc w:val="left"/>
              <w:rPr>
                <w:rFonts w:ascii="Arial Narrow" w:eastAsiaTheme="majorEastAsia" w:hAnsi="Arial Narrow" w:cstheme="majorBidi"/>
                <w:bCs/>
                <w:sz w:val="20"/>
                <w:u w:val="single"/>
              </w:rPr>
            </w:pPr>
            <w:r w:rsidRPr="005A3AC5">
              <w:rPr>
                <w:rFonts w:ascii="Arial Narrow" w:eastAsiaTheme="majorEastAsia" w:hAnsi="Arial Narrow" w:cstheme="majorBidi"/>
                <w:bCs/>
                <w:sz w:val="20"/>
                <w:u w:val="single"/>
              </w:rPr>
              <w:t>Published</w:t>
            </w:r>
          </w:p>
          <w:p w14:paraId="5435F8FF" w14:textId="77777777" w:rsidR="005A3AC5" w:rsidRPr="005A3AC5" w:rsidRDefault="005A3AC5" w:rsidP="005A3AC5">
            <w:pPr>
              <w:jc w:val="left"/>
              <w:rPr>
                <w:rFonts w:ascii="Arial Narrow" w:eastAsiaTheme="majorEastAsia" w:hAnsi="Arial Narrow" w:cstheme="majorBidi"/>
                <w:bCs/>
                <w:sz w:val="20"/>
              </w:rPr>
            </w:pPr>
            <w:r w:rsidRPr="005A3AC5">
              <w:rPr>
                <w:rFonts w:ascii="Arial Narrow" w:eastAsiaTheme="majorEastAsia" w:hAnsi="Arial Narrow" w:cstheme="majorBidi"/>
                <w:bCs/>
                <w:sz w:val="20"/>
              </w:rPr>
              <w:t>Public: $15,888.43</w:t>
            </w:r>
          </w:p>
          <w:p w14:paraId="359E3EF5" w14:textId="77777777" w:rsidR="005A3AC5" w:rsidRPr="005A3AC5" w:rsidRDefault="005A3AC5" w:rsidP="005A3AC5">
            <w:pPr>
              <w:jc w:val="left"/>
              <w:rPr>
                <w:rFonts w:ascii="Arial Narrow" w:eastAsiaTheme="majorEastAsia" w:hAnsi="Arial Narrow" w:cstheme="majorBidi"/>
                <w:bCs/>
                <w:sz w:val="20"/>
              </w:rPr>
            </w:pPr>
            <w:r w:rsidRPr="005A3AC5">
              <w:rPr>
                <w:rFonts w:ascii="Arial Narrow" w:eastAsiaTheme="majorEastAsia" w:hAnsi="Arial Narrow" w:cstheme="majorBidi"/>
                <w:bCs/>
                <w:sz w:val="20"/>
              </w:rPr>
              <w:t>Private: $16,154.28</w:t>
            </w:r>
          </w:p>
          <w:p w14:paraId="12E1FB33" w14:textId="77777777" w:rsidR="005A3AC5" w:rsidRPr="005A3AC5" w:rsidRDefault="005A3AC5" w:rsidP="005A3AC5">
            <w:pPr>
              <w:jc w:val="left"/>
              <w:rPr>
                <w:rFonts w:ascii="Arial Narrow" w:eastAsiaTheme="majorEastAsia" w:hAnsi="Arial Narrow" w:cstheme="majorBidi"/>
                <w:bCs/>
                <w:sz w:val="20"/>
                <w:u w:val="single"/>
              </w:rPr>
            </w:pPr>
            <w:r w:rsidRPr="005A3AC5">
              <w:rPr>
                <w:rFonts w:ascii="Arial Narrow" w:eastAsiaTheme="majorEastAsia" w:hAnsi="Arial Narrow" w:cstheme="majorBidi"/>
                <w:bCs/>
                <w:sz w:val="20"/>
                <w:u w:val="single"/>
              </w:rPr>
              <w:t>Effective</w:t>
            </w:r>
          </w:p>
          <w:p w14:paraId="026E7DDE" w14:textId="5E169204" w:rsidR="005A3AC5" w:rsidRPr="005A3AC5" w:rsidRDefault="005A3AC5" w:rsidP="005A3AC5">
            <w:pPr>
              <w:jc w:val="left"/>
              <w:rPr>
                <w:rFonts w:ascii="Arial Narrow" w:eastAsiaTheme="majorEastAsia" w:hAnsi="Arial Narrow" w:cstheme="majorBidi"/>
                <w:bCs/>
                <w:sz w:val="20"/>
              </w:rPr>
            </w:pPr>
            <w:r w:rsidRPr="005A3AC5">
              <w:rPr>
                <w:rFonts w:ascii="Arial Narrow" w:eastAsiaTheme="majorEastAsia" w:hAnsi="Arial Narrow" w:cstheme="majorBidi"/>
                <w:bCs/>
                <w:sz w:val="20"/>
              </w:rPr>
              <w:t>Public: $</w:t>
            </w:r>
            <w:r w:rsidR="00BD6E95" w:rsidRPr="00BD6E95">
              <w:rPr>
                <w:rFonts w:ascii="Arial Narrow" w:eastAsiaTheme="majorEastAsia" w:hAnsi="Arial Narrow" w:cstheme="majorBidi"/>
                <w:bCs/>
                <w:color w:val="000000"/>
                <w:spacing w:val="53"/>
                <w:sz w:val="20"/>
                <w:shd w:val="solid" w:color="000000" w:fill="000000"/>
                <w:fitText w:val="330" w:id="-632054004"/>
                <w14:textFill>
                  <w14:solidFill>
                    <w14:srgbClr w14:val="000000">
                      <w14:alpha w14:val="100000"/>
                    </w14:srgbClr>
                  </w14:solidFill>
                </w14:textFill>
              </w:rPr>
              <w:t>|||</w:t>
            </w:r>
            <w:r w:rsidR="00BD6E95" w:rsidRPr="00BD6E95">
              <w:rPr>
                <w:rFonts w:ascii="Arial Narrow" w:eastAsiaTheme="majorEastAsia" w:hAnsi="Arial Narrow" w:cstheme="majorBidi"/>
                <w:bCs/>
                <w:color w:val="000000"/>
                <w:spacing w:val="1"/>
                <w:sz w:val="20"/>
                <w:shd w:val="solid" w:color="000000" w:fill="000000"/>
                <w:fitText w:val="330" w:id="-632054004"/>
                <w14:textFill>
                  <w14:solidFill>
                    <w14:srgbClr w14:val="000000">
                      <w14:alpha w14:val="100000"/>
                    </w14:srgbClr>
                  </w14:solidFill>
                </w14:textFill>
              </w:rPr>
              <w:t>|</w:t>
            </w:r>
          </w:p>
          <w:p w14:paraId="2A489930" w14:textId="2D7DE490" w:rsidR="005A3AC5" w:rsidRPr="005A3AC5" w:rsidRDefault="005A3AC5" w:rsidP="005A3AC5">
            <w:pPr>
              <w:keepNext/>
              <w:rPr>
                <w:rFonts w:ascii="Arial Narrow" w:hAnsi="Arial Narrow"/>
                <w:sz w:val="20"/>
                <w:szCs w:val="20"/>
              </w:rPr>
            </w:pPr>
            <w:r w:rsidRPr="005A3AC5">
              <w:rPr>
                <w:rFonts w:ascii="Arial Narrow" w:eastAsiaTheme="majorEastAsia" w:hAnsi="Arial Narrow" w:cstheme="majorBidi"/>
                <w:bCs/>
                <w:sz w:val="20"/>
              </w:rPr>
              <w:t>Private: $</w:t>
            </w:r>
            <w:r w:rsidR="00BD6E95" w:rsidRPr="00BD6E95">
              <w:rPr>
                <w:rFonts w:ascii="Arial Narrow" w:eastAsiaTheme="majorEastAsia" w:hAnsi="Arial Narrow" w:cstheme="majorBidi"/>
                <w:bCs/>
                <w:color w:val="000000"/>
                <w:spacing w:val="8"/>
                <w:sz w:val="20"/>
                <w:shd w:val="solid" w:color="000000" w:fill="000000"/>
                <w:fitText w:val="304" w:id="-632054003"/>
                <w14:textFill>
                  <w14:solidFill>
                    <w14:srgbClr w14:val="000000">
                      <w14:alpha w14:val="100000"/>
                    </w14:srgbClr>
                  </w14:solidFill>
                </w14:textFill>
              </w:rPr>
              <w:t>||  |</w:t>
            </w:r>
            <w:r w:rsidR="00BD6E95" w:rsidRPr="00BD6E95">
              <w:rPr>
                <w:rFonts w:ascii="Arial Narrow" w:eastAsiaTheme="majorEastAsia" w:hAnsi="Arial Narrow" w:cstheme="majorBidi"/>
                <w:bCs/>
                <w:color w:val="000000"/>
                <w:spacing w:val="3"/>
                <w:sz w:val="20"/>
                <w:shd w:val="solid" w:color="000000" w:fill="000000"/>
                <w:fitText w:val="304" w:id="-632054003"/>
                <w14:textFill>
                  <w14:solidFill>
                    <w14:srgbClr w14:val="000000">
                      <w14:alpha w14:val="100000"/>
                    </w14:srgbClr>
                  </w14:solidFill>
                </w14:textFill>
              </w:rPr>
              <w:t>|</w:t>
            </w:r>
          </w:p>
        </w:tc>
        <w:tc>
          <w:tcPr>
            <w:tcW w:w="785" w:type="pct"/>
            <w:vAlign w:val="center"/>
          </w:tcPr>
          <w:p w14:paraId="3E299064" w14:textId="77777777" w:rsidR="005A3AC5" w:rsidRPr="00755DBE" w:rsidRDefault="005A3AC5" w:rsidP="002178A9">
            <w:pPr>
              <w:keepNext/>
              <w:jc w:val="center"/>
              <w:rPr>
                <w:rFonts w:ascii="Arial Narrow" w:hAnsi="Arial Narrow"/>
                <w:sz w:val="20"/>
                <w:szCs w:val="20"/>
              </w:rPr>
            </w:pPr>
            <w:r w:rsidRPr="00755DBE">
              <w:rPr>
                <w:rFonts w:ascii="Arial Narrow" w:hAnsi="Arial Narrow"/>
                <w:sz w:val="20"/>
                <w:szCs w:val="20"/>
              </w:rPr>
              <w:t>NEW (Public)</w:t>
            </w:r>
            <w:r w:rsidRPr="00755DBE">
              <w:rPr>
                <w:rFonts w:ascii="Arial Narrow" w:hAnsi="Arial Narrow"/>
                <w:sz w:val="20"/>
                <w:szCs w:val="20"/>
              </w:rPr>
              <w:br/>
              <w:t>NEW (Private)</w:t>
            </w:r>
          </w:p>
        </w:tc>
        <w:tc>
          <w:tcPr>
            <w:tcW w:w="630" w:type="pct"/>
            <w:vAlign w:val="center"/>
          </w:tcPr>
          <w:p w14:paraId="5B9530E1" w14:textId="77777777" w:rsidR="005A3AC5" w:rsidRPr="00755DBE" w:rsidRDefault="005A3AC5" w:rsidP="002178A9">
            <w:pPr>
              <w:keepNext/>
              <w:jc w:val="center"/>
              <w:rPr>
                <w:rFonts w:ascii="Arial Narrow" w:hAnsi="Arial Narrow"/>
                <w:sz w:val="20"/>
                <w:szCs w:val="20"/>
              </w:rPr>
            </w:pPr>
            <w:r w:rsidRPr="00755DBE">
              <w:rPr>
                <w:rFonts w:ascii="Arial Narrow" w:hAnsi="Arial Narrow"/>
                <w:sz w:val="20"/>
                <w:szCs w:val="20"/>
              </w:rPr>
              <w:t>30 mg</w:t>
            </w:r>
          </w:p>
        </w:tc>
        <w:tc>
          <w:tcPr>
            <w:tcW w:w="677" w:type="pct"/>
            <w:vAlign w:val="center"/>
          </w:tcPr>
          <w:p w14:paraId="05811ECE" w14:textId="77777777" w:rsidR="005A3AC5" w:rsidRPr="00755DBE" w:rsidRDefault="005A3AC5" w:rsidP="002178A9">
            <w:pPr>
              <w:keepNext/>
              <w:jc w:val="center"/>
              <w:rPr>
                <w:rFonts w:ascii="Arial Narrow" w:hAnsi="Arial Narrow"/>
                <w:sz w:val="20"/>
                <w:szCs w:val="20"/>
              </w:rPr>
            </w:pPr>
            <w:r w:rsidRPr="00755DBE">
              <w:rPr>
                <w:rFonts w:ascii="Arial Narrow" w:hAnsi="Arial Narrow"/>
                <w:strike/>
                <w:sz w:val="20"/>
                <w:szCs w:val="20"/>
              </w:rPr>
              <w:t xml:space="preserve">5 </w:t>
            </w:r>
            <w:r w:rsidRPr="00755DBE">
              <w:rPr>
                <w:rFonts w:ascii="Arial Narrow" w:hAnsi="Arial Narrow"/>
                <w:i/>
                <w:iCs/>
                <w:sz w:val="20"/>
                <w:szCs w:val="20"/>
              </w:rPr>
              <w:t>6</w:t>
            </w:r>
          </w:p>
        </w:tc>
      </w:tr>
      <w:tr w:rsidR="005A4BF3" w:rsidRPr="00755DBE" w14:paraId="7E2C1291" w14:textId="77777777" w:rsidTr="002178A9">
        <w:trPr>
          <w:cantSplit/>
          <w:trHeight w:val="20"/>
        </w:trPr>
        <w:tc>
          <w:tcPr>
            <w:tcW w:w="5000" w:type="pct"/>
            <w:gridSpan w:val="6"/>
            <w:vAlign w:val="center"/>
          </w:tcPr>
          <w:p w14:paraId="76FA5F6F" w14:textId="77777777" w:rsidR="005A4BF3" w:rsidRPr="00755DBE" w:rsidRDefault="005A4BF3" w:rsidP="002178A9">
            <w:pPr>
              <w:keepNext/>
              <w:rPr>
                <w:rFonts w:ascii="Arial Narrow" w:hAnsi="Arial Narrow"/>
                <w:b/>
                <w:sz w:val="20"/>
                <w:szCs w:val="20"/>
              </w:rPr>
            </w:pPr>
            <w:r w:rsidRPr="00755DBE">
              <w:rPr>
                <w:rFonts w:ascii="Arial Narrow" w:hAnsi="Arial Narrow"/>
                <w:b/>
                <w:sz w:val="20"/>
                <w:szCs w:val="20"/>
              </w:rPr>
              <w:t xml:space="preserve">Available brands </w:t>
            </w:r>
          </w:p>
        </w:tc>
      </w:tr>
      <w:tr w:rsidR="005A4BF3" w:rsidRPr="00755DBE" w14:paraId="255AC85A" w14:textId="77777777" w:rsidTr="002178A9">
        <w:trPr>
          <w:cantSplit/>
          <w:trHeight w:val="20"/>
        </w:trPr>
        <w:tc>
          <w:tcPr>
            <w:tcW w:w="5000" w:type="pct"/>
            <w:gridSpan w:val="6"/>
            <w:vAlign w:val="center"/>
          </w:tcPr>
          <w:p w14:paraId="7BD13E95" w14:textId="77777777" w:rsidR="005A4BF3" w:rsidRPr="00755DBE" w:rsidRDefault="005A4BF3" w:rsidP="002178A9">
            <w:pPr>
              <w:keepNext/>
              <w:rPr>
                <w:rFonts w:ascii="Arial Narrow" w:hAnsi="Arial Narrow"/>
                <w:sz w:val="20"/>
                <w:szCs w:val="20"/>
              </w:rPr>
            </w:pPr>
            <w:r w:rsidRPr="00755DBE">
              <w:rPr>
                <w:rFonts w:ascii="Arial Narrow" w:hAnsi="Arial Narrow"/>
                <w:sz w:val="20"/>
                <w:szCs w:val="20"/>
              </w:rPr>
              <w:t xml:space="preserve">Columvi </w:t>
            </w:r>
            <w:r w:rsidRPr="00755DBE">
              <w:rPr>
                <w:rFonts w:ascii="Arial Narrow" w:hAnsi="Arial Narrow"/>
                <w:sz w:val="20"/>
                <w:szCs w:val="20"/>
              </w:rPr>
              <w:br/>
              <w:t>Glofitamab 10 mg injection, 1 vial</w:t>
            </w:r>
          </w:p>
        </w:tc>
      </w:tr>
      <w:tr w:rsidR="005A4BF3" w:rsidRPr="00755DBE" w14:paraId="69C554B9" w14:textId="77777777" w:rsidTr="002178A9">
        <w:trPr>
          <w:cantSplit/>
          <w:trHeight w:val="20"/>
        </w:trPr>
        <w:tc>
          <w:tcPr>
            <w:tcW w:w="5000" w:type="pct"/>
            <w:gridSpan w:val="6"/>
            <w:vAlign w:val="center"/>
          </w:tcPr>
          <w:p w14:paraId="26C4DFAA" w14:textId="77777777" w:rsidR="005A4BF3" w:rsidRPr="00755DBE" w:rsidRDefault="005A4BF3" w:rsidP="002178A9">
            <w:pPr>
              <w:rPr>
                <w:rFonts w:ascii="Arial Narrow" w:hAnsi="Arial Narrow"/>
                <w:sz w:val="20"/>
                <w:szCs w:val="20"/>
              </w:rPr>
            </w:pPr>
          </w:p>
        </w:tc>
      </w:tr>
      <w:tr w:rsidR="005A4BF3" w:rsidRPr="00755DBE" w14:paraId="4C569F85" w14:textId="77777777" w:rsidTr="002178A9">
        <w:tblPrEx>
          <w:tblCellMar>
            <w:top w:w="15" w:type="dxa"/>
            <w:bottom w:w="15" w:type="dxa"/>
          </w:tblCellMar>
          <w:tblLook w:val="04A0" w:firstRow="1" w:lastRow="0" w:firstColumn="1" w:lastColumn="0" w:noHBand="0" w:noVBand="1"/>
        </w:tblPrEx>
        <w:trPr>
          <w:cantSplit/>
          <w:trHeight w:val="20"/>
        </w:trPr>
        <w:tc>
          <w:tcPr>
            <w:tcW w:w="707" w:type="pct"/>
            <w:vMerge w:val="restart"/>
          </w:tcPr>
          <w:p w14:paraId="5250207C" w14:textId="77777777" w:rsidR="005A4BF3" w:rsidRPr="00755DBE" w:rsidRDefault="005A4BF3" w:rsidP="002178A9">
            <w:pPr>
              <w:keepNext/>
              <w:jc w:val="center"/>
              <w:rPr>
                <w:rFonts w:ascii="Arial Narrow" w:hAnsi="Arial Narrow"/>
                <w:b/>
                <w:sz w:val="20"/>
                <w:szCs w:val="20"/>
              </w:rPr>
            </w:pPr>
            <w:r w:rsidRPr="00755DBE">
              <w:rPr>
                <w:rFonts w:ascii="Arial Narrow" w:hAnsi="Arial Narrow"/>
                <w:b/>
                <w:sz w:val="20"/>
                <w:szCs w:val="20"/>
              </w:rPr>
              <w:t xml:space="preserve">Concept ID </w:t>
            </w:r>
            <w:r w:rsidRPr="00755DBE">
              <w:rPr>
                <w:rFonts w:ascii="Arial Narrow" w:hAnsi="Arial Narrow"/>
                <w:sz w:val="20"/>
                <w:szCs w:val="20"/>
              </w:rPr>
              <w:t>(for internal Dept. use)</w:t>
            </w:r>
          </w:p>
        </w:tc>
        <w:tc>
          <w:tcPr>
            <w:tcW w:w="4293" w:type="pct"/>
            <w:gridSpan w:val="5"/>
          </w:tcPr>
          <w:p w14:paraId="66FB28BC" w14:textId="77777777" w:rsidR="005A4BF3" w:rsidRPr="00755DBE" w:rsidRDefault="005A4BF3" w:rsidP="002178A9">
            <w:pPr>
              <w:keepNext/>
              <w:rPr>
                <w:rFonts w:ascii="Arial Narrow" w:hAnsi="Arial Narrow"/>
                <w:sz w:val="20"/>
                <w:szCs w:val="20"/>
              </w:rPr>
            </w:pPr>
            <w:r w:rsidRPr="00755DBE">
              <w:rPr>
                <w:rFonts w:ascii="Arial Narrow" w:hAnsi="Arial Narrow"/>
                <w:b/>
                <w:sz w:val="20"/>
                <w:szCs w:val="20"/>
              </w:rPr>
              <w:t xml:space="preserve">Category / Program: </w:t>
            </w:r>
            <w:r w:rsidRPr="00755DBE">
              <w:rPr>
                <w:rFonts w:ascii="Arial Narrow" w:hAnsi="Arial Narrow"/>
                <w:sz w:val="20"/>
                <w:szCs w:val="20"/>
              </w:rPr>
              <w:t>Section 100 – Efficient Funding of Chemotherapy Public/Private hospitals</w:t>
            </w:r>
          </w:p>
        </w:tc>
      </w:tr>
      <w:tr w:rsidR="005A4BF3" w:rsidRPr="00755DBE" w14:paraId="3AEB0954" w14:textId="77777777" w:rsidTr="002178A9">
        <w:tblPrEx>
          <w:tblCellMar>
            <w:top w:w="15" w:type="dxa"/>
            <w:bottom w:w="15" w:type="dxa"/>
          </w:tblCellMar>
          <w:tblLook w:val="04A0" w:firstRow="1" w:lastRow="0" w:firstColumn="1" w:lastColumn="0" w:noHBand="0" w:noVBand="1"/>
        </w:tblPrEx>
        <w:trPr>
          <w:cantSplit/>
          <w:trHeight w:val="20"/>
        </w:trPr>
        <w:tc>
          <w:tcPr>
            <w:tcW w:w="707" w:type="pct"/>
            <w:vMerge/>
          </w:tcPr>
          <w:p w14:paraId="32328862" w14:textId="77777777" w:rsidR="005A4BF3" w:rsidRPr="00755DBE" w:rsidRDefault="005A4BF3" w:rsidP="002178A9">
            <w:pPr>
              <w:keepNext/>
              <w:rPr>
                <w:rFonts w:ascii="Arial Narrow" w:hAnsi="Arial Narrow"/>
                <w:sz w:val="20"/>
                <w:szCs w:val="20"/>
              </w:rPr>
            </w:pPr>
          </w:p>
        </w:tc>
        <w:tc>
          <w:tcPr>
            <w:tcW w:w="4293" w:type="pct"/>
            <w:gridSpan w:val="5"/>
          </w:tcPr>
          <w:p w14:paraId="57A6F3FD" w14:textId="77777777" w:rsidR="005A4BF3" w:rsidRPr="00755DBE" w:rsidRDefault="005A4BF3" w:rsidP="002178A9">
            <w:pPr>
              <w:keepNext/>
              <w:rPr>
                <w:rFonts w:ascii="Arial Narrow" w:hAnsi="Arial Narrow"/>
                <w:b/>
                <w:sz w:val="20"/>
                <w:szCs w:val="20"/>
              </w:rPr>
            </w:pPr>
            <w:r w:rsidRPr="00755DBE">
              <w:rPr>
                <w:rFonts w:ascii="Arial Narrow" w:hAnsi="Arial Narrow"/>
                <w:b/>
                <w:sz w:val="20"/>
                <w:szCs w:val="20"/>
              </w:rPr>
              <w:t xml:space="preserve">Prescriber type: </w:t>
            </w:r>
            <w:r w:rsidRPr="00755DBE">
              <w:rPr>
                <w:rFonts w:ascii="Arial Narrow" w:hAnsi="Arial Narrow"/>
                <w:sz w:val="20"/>
                <w:szCs w:val="20"/>
              </w:rPr>
              <w:fldChar w:fldCharType="begin" w:fldLock="1">
                <w:ffData>
                  <w:name w:val=""/>
                  <w:enabled/>
                  <w:calcOnExit w:val="0"/>
                  <w:checkBox>
                    <w:sizeAuto/>
                    <w:default w:val="1"/>
                  </w:checkBox>
                </w:ffData>
              </w:fldChar>
            </w:r>
            <w:r w:rsidRPr="00755DBE">
              <w:rPr>
                <w:rFonts w:ascii="Arial Narrow" w:hAnsi="Arial Narrow"/>
                <w:sz w:val="20"/>
                <w:szCs w:val="20"/>
              </w:rPr>
              <w:instrText xml:space="preserve"> FORMCHECKBOX </w:instrText>
            </w:r>
            <w:r w:rsidRPr="00755DBE">
              <w:rPr>
                <w:rFonts w:ascii="Arial Narrow" w:hAnsi="Arial Narrow"/>
                <w:sz w:val="20"/>
                <w:szCs w:val="20"/>
              </w:rPr>
            </w:r>
            <w:r w:rsidRPr="00755DBE">
              <w:rPr>
                <w:rFonts w:ascii="Arial Narrow" w:hAnsi="Arial Narrow"/>
                <w:sz w:val="20"/>
                <w:szCs w:val="20"/>
              </w:rPr>
              <w:fldChar w:fldCharType="separate"/>
            </w:r>
            <w:r w:rsidRPr="00755DBE">
              <w:rPr>
                <w:rFonts w:ascii="Arial Narrow" w:hAnsi="Arial Narrow"/>
                <w:sz w:val="20"/>
                <w:szCs w:val="20"/>
              </w:rPr>
              <w:fldChar w:fldCharType="end"/>
            </w:r>
            <w:r w:rsidRPr="00755DBE">
              <w:rPr>
                <w:rFonts w:ascii="Arial Narrow" w:hAnsi="Arial Narrow"/>
                <w:sz w:val="20"/>
                <w:szCs w:val="20"/>
              </w:rPr>
              <w:t xml:space="preserve">Medical Practitioners </w:t>
            </w:r>
          </w:p>
        </w:tc>
      </w:tr>
      <w:tr w:rsidR="005A4BF3" w:rsidRPr="00755DBE" w14:paraId="3AC07D80" w14:textId="77777777" w:rsidTr="002178A9">
        <w:tblPrEx>
          <w:tblCellMar>
            <w:top w:w="15" w:type="dxa"/>
            <w:bottom w:w="15" w:type="dxa"/>
          </w:tblCellMar>
          <w:tblLook w:val="04A0" w:firstRow="1" w:lastRow="0" w:firstColumn="1" w:lastColumn="0" w:noHBand="0" w:noVBand="1"/>
        </w:tblPrEx>
        <w:trPr>
          <w:cantSplit/>
          <w:trHeight w:val="20"/>
        </w:trPr>
        <w:tc>
          <w:tcPr>
            <w:tcW w:w="707" w:type="pct"/>
            <w:vMerge/>
          </w:tcPr>
          <w:p w14:paraId="65D19BE1" w14:textId="77777777" w:rsidR="005A4BF3" w:rsidRPr="00755DBE" w:rsidRDefault="005A4BF3" w:rsidP="002178A9">
            <w:pPr>
              <w:rPr>
                <w:rFonts w:ascii="Arial Narrow" w:hAnsi="Arial Narrow"/>
                <w:sz w:val="20"/>
                <w:szCs w:val="20"/>
              </w:rPr>
            </w:pPr>
          </w:p>
        </w:tc>
        <w:tc>
          <w:tcPr>
            <w:tcW w:w="4293" w:type="pct"/>
            <w:gridSpan w:val="5"/>
          </w:tcPr>
          <w:p w14:paraId="3555E1B4" w14:textId="77777777" w:rsidR="005A4BF3" w:rsidRPr="00755DBE" w:rsidRDefault="005A4BF3" w:rsidP="002178A9">
            <w:pPr>
              <w:rPr>
                <w:rFonts w:ascii="Arial Narrow" w:eastAsia="Calibri" w:hAnsi="Arial Narrow"/>
                <w:sz w:val="20"/>
                <w:szCs w:val="20"/>
              </w:rPr>
            </w:pPr>
            <w:r w:rsidRPr="00755DBE">
              <w:rPr>
                <w:rFonts w:ascii="Arial Narrow" w:hAnsi="Arial Narrow"/>
                <w:b/>
                <w:sz w:val="20"/>
                <w:szCs w:val="20"/>
              </w:rPr>
              <w:t xml:space="preserve">Restriction type: </w:t>
            </w:r>
            <w:r w:rsidRPr="00755DBE">
              <w:rPr>
                <w:rFonts w:ascii="Arial Narrow" w:eastAsia="Calibri" w:hAnsi="Arial Narrow"/>
                <w:sz w:val="20"/>
                <w:szCs w:val="20"/>
              </w:rPr>
              <w:fldChar w:fldCharType="begin" w:fldLock="1">
                <w:ffData>
                  <w:name w:val="Check3"/>
                  <w:enabled/>
                  <w:calcOnExit w:val="0"/>
                  <w:checkBox>
                    <w:sizeAuto/>
                    <w:default w:val="1"/>
                  </w:checkBox>
                </w:ffData>
              </w:fldChar>
            </w:r>
            <w:r w:rsidRPr="00755DBE">
              <w:rPr>
                <w:rFonts w:ascii="Arial Narrow" w:eastAsia="Calibri" w:hAnsi="Arial Narrow"/>
                <w:sz w:val="20"/>
                <w:szCs w:val="20"/>
              </w:rPr>
              <w:instrText xml:space="preserve"> FORMCHECKBOX </w:instrText>
            </w:r>
            <w:r w:rsidRPr="00755DBE">
              <w:rPr>
                <w:rFonts w:ascii="Arial Narrow" w:eastAsia="Calibri" w:hAnsi="Arial Narrow"/>
                <w:sz w:val="20"/>
                <w:szCs w:val="20"/>
              </w:rPr>
            </w:r>
            <w:r w:rsidRPr="00755DBE">
              <w:rPr>
                <w:rFonts w:ascii="Arial Narrow" w:eastAsia="Calibri" w:hAnsi="Arial Narrow"/>
                <w:sz w:val="20"/>
                <w:szCs w:val="20"/>
              </w:rPr>
              <w:fldChar w:fldCharType="separate"/>
            </w:r>
            <w:r w:rsidRPr="00755DBE">
              <w:rPr>
                <w:rFonts w:ascii="Arial Narrow" w:eastAsia="Calibri" w:hAnsi="Arial Narrow"/>
                <w:sz w:val="20"/>
                <w:szCs w:val="20"/>
              </w:rPr>
              <w:fldChar w:fldCharType="end"/>
            </w:r>
            <w:r w:rsidRPr="00755DBE">
              <w:rPr>
                <w:rFonts w:ascii="Arial Narrow" w:eastAsia="Calibri" w:hAnsi="Arial Narrow"/>
                <w:sz w:val="20"/>
                <w:szCs w:val="20"/>
              </w:rPr>
              <w:t xml:space="preserve">Authority Required (telephone/online PBS Authorities system) </w:t>
            </w:r>
          </w:p>
        </w:tc>
      </w:tr>
      <w:tr w:rsidR="005A4BF3" w:rsidRPr="00755DBE" w14:paraId="58B8D20F" w14:textId="77777777" w:rsidTr="002178A9">
        <w:tblPrEx>
          <w:tblCellMar>
            <w:top w:w="15" w:type="dxa"/>
            <w:bottom w:w="15" w:type="dxa"/>
          </w:tblCellMar>
          <w:tblLook w:val="04A0" w:firstRow="1" w:lastRow="0" w:firstColumn="1" w:lastColumn="0" w:noHBand="0" w:noVBand="1"/>
        </w:tblPrEx>
        <w:trPr>
          <w:cantSplit/>
          <w:trHeight w:val="20"/>
        </w:trPr>
        <w:tc>
          <w:tcPr>
            <w:tcW w:w="707" w:type="pct"/>
            <w:vMerge w:val="restart"/>
            <w:vAlign w:val="center"/>
          </w:tcPr>
          <w:p w14:paraId="059B5971" w14:textId="77777777" w:rsidR="005A4BF3" w:rsidRPr="00755DBE" w:rsidRDefault="005A4BF3" w:rsidP="002178A9">
            <w:pPr>
              <w:keepLines/>
              <w:jc w:val="center"/>
              <w:rPr>
                <w:rFonts w:ascii="Arial Narrow" w:hAnsi="Arial Narrow"/>
                <w:sz w:val="20"/>
                <w:szCs w:val="20"/>
              </w:rPr>
            </w:pPr>
          </w:p>
        </w:tc>
        <w:tc>
          <w:tcPr>
            <w:tcW w:w="4293" w:type="pct"/>
            <w:gridSpan w:val="5"/>
            <w:vAlign w:val="center"/>
          </w:tcPr>
          <w:p w14:paraId="33C2F189" w14:textId="77777777" w:rsidR="005A4BF3" w:rsidRPr="00755DBE" w:rsidRDefault="005A4BF3" w:rsidP="002178A9">
            <w:pPr>
              <w:keepLines/>
              <w:rPr>
                <w:rFonts w:ascii="Arial Narrow" w:hAnsi="Arial Narrow"/>
                <w:bCs/>
                <w:sz w:val="20"/>
                <w:szCs w:val="20"/>
              </w:rPr>
            </w:pPr>
            <w:proofErr w:type="spellStart"/>
            <w:r w:rsidRPr="00755DBE">
              <w:rPr>
                <w:rFonts w:ascii="Arial Narrow" w:hAnsi="Arial Narrow"/>
                <w:b/>
                <w:bCs/>
                <w:sz w:val="20"/>
                <w:szCs w:val="20"/>
              </w:rPr>
              <w:t>Episodicity</w:t>
            </w:r>
            <w:proofErr w:type="spellEnd"/>
            <w:r w:rsidRPr="00755DBE">
              <w:rPr>
                <w:rFonts w:ascii="Arial Narrow" w:hAnsi="Arial Narrow"/>
                <w:b/>
                <w:bCs/>
                <w:sz w:val="20"/>
                <w:szCs w:val="20"/>
              </w:rPr>
              <w:t>:</w:t>
            </w:r>
            <w:r w:rsidRPr="00755DBE">
              <w:rPr>
                <w:rFonts w:ascii="Arial Narrow" w:hAnsi="Arial Narrow"/>
                <w:bCs/>
                <w:sz w:val="20"/>
                <w:szCs w:val="20"/>
              </w:rPr>
              <w:t xml:space="preserve"> [blank]</w:t>
            </w:r>
          </w:p>
        </w:tc>
      </w:tr>
      <w:tr w:rsidR="005A4BF3" w:rsidRPr="00755DBE" w14:paraId="1E346765" w14:textId="77777777" w:rsidTr="002178A9">
        <w:tblPrEx>
          <w:tblCellMar>
            <w:top w:w="15" w:type="dxa"/>
            <w:bottom w:w="15" w:type="dxa"/>
          </w:tblCellMar>
          <w:tblLook w:val="04A0" w:firstRow="1" w:lastRow="0" w:firstColumn="1" w:lastColumn="0" w:noHBand="0" w:noVBand="1"/>
        </w:tblPrEx>
        <w:trPr>
          <w:cantSplit/>
          <w:trHeight w:val="20"/>
        </w:trPr>
        <w:tc>
          <w:tcPr>
            <w:tcW w:w="707" w:type="pct"/>
            <w:vMerge/>
            <w:vAlign w:val="center"/>
          </w:tcPr>
          <w:p w14:paraId="455F799E" w14:textId="77777777" w:rsidR="005A4BF3" w:rsidRPr="00755DBE" w:rsidRDefault="005A4BF3" w:rsidP="002178A9">
            <w:pPr>
              <w:keepLines/>
              <w:jc w:val="center"/>
              <w:rPr>
                <w:rFonts w:ascii="Arial Narrow" w:hAnsi="Arial Narrow"/>
                <w:sz w:val="20"/>
                <w:szCs w:val="20"/>
              </w:rPr>
            </w:pPr>
          </w:p>
        </w:tc>
        <w:tc>
          <w:tcPr>
            <w:tcW w:w="4293" w:type="pct"/>
            <w:gridSpan w:val="5"/>
            <w:vAlign w:val="center"/>
          </w:tcPr>
          <w:p w14:paraId="7AC97903" w14:textId="77777777" w:rsidR="005A4BF3" w:rsidRPr="00755DBE" w:rsidRDefault="005A4BF3" w:rsidP="002178A9">
            <w:pPr>
              <w:keepLines/>
              <w:rPr>
                <w:rFonts w:ascii="Arial Narrow" w:hAnsi="Arial Narrow"/>
                <w:b/>
                <w:bCs/>
                <w:sz w:val="20"/>
                <w:szCs w:val="20"/>
              </w:rPr>
            </w:pPr>
            <w:r w:rsidRPr="00755DBE">
              <w:rPr>
                <w:rFonts w:ascii="Arial Narrow" w:hAnsi="Arial Narrow"/>
                <w:b/>
                <w:bCs/>
                <w:sz w:val="20"/>
                <w:szCs w:val="20"/>
              </w:rPr>
              <w:t xml:space="preserve">Severity: </w:t>
            </w:r>
            <w:r w:rsidRPr="00755DBE">
              <w:rPr>
                <w:rFonts w:ascii="Arial Narrow" w:hAnsi="Arial Narrow"/>
                <w:bCs/>
                <w:sz w:val="20"/>
                <w:szCs w:val="20"/>
              </w:rPr>
              <w:t>Relapsed or refractory</w:t>
            </w:r>
          </w:p>
        </w:tc>
      </w:tr>
      <w:tr w:rsidR="005A4BF3" w:rsidRPr="00755DBE" w14:paraId="1F318486" w14:textId="77777777" w:rsidTr="002178A9">
        <w:tblPrEx>
          <w:tblCellMar>
            <w:top w:w="15" w:type="dxa"/>
            <w:bottom w:w="15" w:type="dxa"/>
          </w:tblCellMar>
          <w:tblLook w:val="04A0" w:firstRow="1" w:lastRow="0" w:firstColumn="1" w:lastColumn="0" w:noHBand="0" w:noVBand="1"/>
        </w:tblPrEx>
        <w:trPr>
          <w:cantSplit/>
          <w:trHeight w:val="20"/>
        </w:trPr>
        <w:tc>
          <w:tcPr>
            <w:tcW w:w="707" w:type="pct"/>
            <w:vMerge/>
            <w:vAlign w:val="center"/>
          </w:tcPr>
          <w:p w14:paraId="5B6F588B" w14:textId="77777777" w:rsidR="005A4BF3" w:rsidRPr="00755DBE" w:rsidRDefault="005A4BF3" w:rsidP="002178A9">
            <w:pPr>
              <w:keepLines/>
              <w:jc w:val="center"/>
              <w:rPr>
                <w:rFonts w:ascii="Arial Narrow" w:hAnsi="Arial Narrow"/>
                <w:sz w:val="20"/>
                <w:szCs w:val="20"/>
              </w:rPr>
            </w:pPr>
          </w:p>
        </w:tc>
        <w:tc>
          <w:tcPr>
            <w:tcW w:w="4293" w:type="pct"/>
            <w:gridSpan w:val="5"/>
            <w:vAlign w:val="center"/>
          </w:tcPr>
          <w:p w14:paraId="59A4B7F1" w14:textId="77777777" w:rsidR="005A4BF3" w:rsidRPr="00755DBE" w:rsidRDefault="005A4BF3" w:rsidP="002178A9">
            <w:pPr>
              <w:keepLines/>
              <w:rPr>
                <w:rFonts w:ascii="Arial Narrow" w:hAnsi="Arial Narrow"/>
                <w:b/>
                <w:bCs/>
                <w:sz w:val="20"/>
                <w:szCs w:val="20"/>
              </w:rPr>
            </w:pPr>
            <w:r w:rsidRPr="00755DBE">
              <w:rPr>
                <w:rFonts w:ascii="Arial Narrow" w:hAnsi="Arial Narrow"/>
                <w:b/>
                <w:bCs/>
                <w:sz w:val="20"/>
                <w:szCs w:val="20"/>
              </w:rPr>
              <w:t xml:space="preserve">Condition: </w:t>
            </w:r>
            <w:r w:rsidRPr="00755DBE">
              <w:rPr>
                <w:rFonts w:ascii="Arial Narrow" w:hAnsi="Arial Narrow"/>
                <w:bCs/>
                <w:sz w:val="20"/>
                <w:szCs w:val="20"/>
              </w:rPr>
              <w:t>Diffuse large b-cell lymphoma (DLBCL)</w:t>
            </w:r>
          </w:p>
        </w:tc>
      </w:tr>
      <w:tr w:rsidR="005A4BF3" w:rsidRPr="00755DBE" w14:paraId="60474AEE" w14:textId="77777777" w:rsidTr="002178A9">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9B5D8B4" w14:textId="77777777" w:rsidR="005A4BF3" w:rsidRPr="00755DBE" w:rsidRDefault="005A4BF3" w:rsidP="002178A9">
            <w:pPr>
              <w:keepLines/>
              <w:rPr>
                <w:rFonts w:ascii="Arial Narrow" w:hAnsi="Arial Narrow"/>
                <w:sz w:val="20"/>
                <w:szCs w:val="20"/>
              </w:rPr>
            </w:pPr>
            <w:r w:rsidRPr="00755DBE">
              <w:rPr>
                <w:rFonts w:ascii="Arial Narrow" w:hAnsi="Arial Narrow"/>
                <w:b/>
                <w:sz w:val="20"/>
                <w:szCs w:val="20"/>
              </w:rPr>
              <w:t>Restriction Summary [new4] / Treatment of Concept: [new4A]</w:t>
            </w:r>
          </w:p>
        </w:tc>
      </w:tr>
      <w:tr w:rsidR="005A4BF3" w:rsidRPr="00755DBE" w14:paraId="22C78AF2"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tcPr>
          <w:p w14:paraId="2A1268A0" w14:textId="57C2D8E0" w:rsidR="005A4BF3" w:rsidRPr="00755DBE" w:rsidRDefault="005A4BF3" w:rsidP="002178A9">
            <w:pPr>
              <w:keepLines/>
              <w:jc w:val="center"/>
              <w:rPr>
                <w:rFonts w:ascii="Arial Narrow" w:hAnsi="Arial Narrow"/>
                <w:sz w:val="20"/>
                <w:szCs w:val="20"/>
              </w:rPr>
            </w:pPr>
          </w:p>
        </w:tc>
        <w:tc>
          <w:tcPr>
            <w:tcW w:w="4293" w:type="pct"/>
            <w:gridSpan w:val="5"/>
            <w:vAlign w:val="center"/>
          </w:tcPr>
          <w:p w14:paraId="1F4485A3" w14:textId="77777777" w:rsidR="005A4BF3" w:rsidRPr="00755DBE" w:rsidRDefault="005A4BF3" w:rsidP="002178A9">
            <w:pPr>
              <w:keepLines/>
              <w:rPr>
                <w:rFonts w:ascii="Arial Narrow" w:hAnsi="Arial Narrow"/>
                <w:b/>
                <w:bCs/>
                <w:sz w:val="20"/>
                <w:szCs w:val="20"/>
              </w:rPr>
            </w:pPr>
            <w:r w:rsidRPr="00755DBE">
              <w:rPr>
                <w:rFonts w:ascii="Arial Narrow" w:hAnsi="Arial Narrow"/>
                <w:b/>
                <w:bCs/>
                <w:sz w:val="20"/>
                <w:szCs w:val="20"/>
              </w:rPr>
              <w:t>Indication:</w:t>
            </w:r>
            <w:r w:rsidRPr="00755DBE">
              <w:rPr>
                <w:rFonts w:ascii="Arial Narrow" w:hAnsi="Arial Narrow"/>
                <w:sz w:val="20"/>
                <w:szCs w:val="20"/>
              </w:rPr>
              <w:t xml:space="preserve"> Relapsed or refractory Diffuse large b-cell lymphoma (DLBCL)</w:t>
            </w:r>
          </w:p>
        </w:tc>
      </w:tr>
      <w:tr w:rsidR="005A4BF3" w:rsidRPr="00755DBE" w14:paraId="2D3D5064"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hideMark/>
          </w:tcPr>
          <w:p w14:paraId="5C2A1963" w14:textId="77777777" w:rsidR="005A4BF3" w:rsidRPr="00755DBE" w:rsidRDefault="005A4BF3" w:rsidP="002178A9">
            <w:pPr>
              <w:jc w:val="center"/>
              <w:rPr>
                <w:rFonts w:ascii="Arial Narrow" w:hAnsi="Arial Narrow"/>
                <w:sz w:val="20"/>
                <w:szCs w:val="20"/>
              </w:rPr>
            </w:pPr>
          </w:p>
        </w:tc>
        <w:tc>
          <w:tcPr>
            <w:tcW w:w="4293" w:type="pct"/>
            <w:gridSpan w:val="5"/>
            <w:vAlign w:val="center"/>
            <w:hideMark/>
          </w:tcPr>
          <w:p w14:paraId="561CE300" w14:textId="77777777" w:rsidR="005A4BF3" w:rsidRPr="00755DBE" w:rsidRDefault="005A4BF3" w:rsidP="002178A9">
            <w:pPr>
              <w:rPr>
                <w:rFonts w:ascii="Arial Narrow" w:hAnsi="Arial Narrow"/>
                <w:sz w:val="20"/>
                <w:szCs w:val="20"/>
              </w:rPr>
            </w:pPr>
            <w:r w:rsidRPr="00755DBE">
              <w:rPr>
                <w:rFonts w:ascii="Arial Narrow" w:hAnsi="Arial Narrow"/>
                <w:b/>
                <w:bCs/>
                <w:sz w:val="20"/>
                <w:szCs w:val="20"/>
              </w:rPr>
              <w:t>Treatment Phase:</w:t>
            </w:r>
            <w:r w:rsidRPr="00755DBE">
              <w:rPr>
                <w:rFonts w:ascii="Arial Narrow" w:hAnsi="Arial Narrow"/>
                <w:sz w:val="20"/>
                <w:szCs w:val="20"/>
              </w:rPr>
              <w:t xml:space="preserve"> Continuing treatment </w:t>
            </w:r>
            <w:r w:rsidRPr="00755DBE">
              <w:rPr>
                <w:rFonts w:ascii="Arial Narrow" w:hAnsi="Arial Narrow"/>
                <w:i/>
                <w:iCs/>
                <w:spacing w:val="-2"/>
                <w:sz w:val="20"/>
                <w:szCs w:val="20"/>
              </w:rPr>
              <w:t>(cycles 2-8)</w:t>
            </w:r>
          </w:p>
        </w:tc>
      </w:tr>
      <w:tr w:rsidR="005A4BF3" w:rsidRPr="00755DBE" w14:paraId="40F2E695"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hideMark/>
          </w:tcPr>
          <w:p w14:paraId="2441DA8E" w14:textId="77777777" w:rsidR="005A4BF3" w:rsidRPr="00755DBE" w:rsidRDefault="005A4BF3" w:rsidP="002178A9">
            <w:pPr>
              <w:jc w:val="center"/>
              <w:rPr>
                <w:rFonts w:ascii="Arial Narrow" w:hAnsi="Arial Narrow"/>
                <w:sz w:val="20"/>
                <w:szCs w:val="20"/>
              </w:rPr>
            </w:pPr>
          </w:p>
        </w:tc>
        <w:tc>
          <w:tcPr>
            <w:tcW w:w="4293" w:type="pct"/>
            <w:gridSpan w:val="5"/>
            <w:vAlign w:val="center"/>
            <w:hideMark/>
          </w:tcPr>
          <w:p w14:paraId="0D6A4558" w14:textId="77777777" w:rsidR="005A4BF3" w:rsidRPr="00755DBE" w:rsidRDefault="005A4BF3" w:rsidP="002178A9">
            <w:pPr>
              <w:rPr>
                <w:rFonts w:ascii="Arial Narrow" w:hAnsi="Arial Narrow"/>
                <w:sz w:val="20"/>
                <w:szCs w:val="20"/>
              </w:rPr>
            </w:pPr>
            <w:r w:rsidRPr="00755DBE">
              <w:rPr>
                <w:rFonts w:ascii="Arial Narrow" w:hAnsi="Arial Narrow"/>
                <w:b/>
                <w:bCs/>
                <w:sz w:val="20"/>
                <w:szCs w:val="20"/>
              </w:rPr>
              <w:t xml:space="preserve">Clinical criteria: </w:t>
            </w:r>
          </w:p>
        </w:tc>
      </w:tr>
      <w:tr w:rsidR="005A4BF3" w:rsidRPr="00755DBE" w14:paraId="59B51C50"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tcPr>
          <w:p w14:paraId="4184C303" w14:textId="77777777" w:rsidR="005A4BF3" w:rsidRPr="00755DBE" w:rsidRDefault="005A4BF3" w:rsidP="002178A9">
            <w:pPr>
              <w:jc w:val="center"/>
              <w:rPr>
                <w:rFonts w:ascii="Arial Narrow" w:hAnsi="Arial Narrow"/>
                <w:sz w:val="20"/>
                <w:szCs w:val="20"/>
              </w:rPr>
            </w:pPr>
          </w:p>
        </w:tc>
        <w:tc>
          <w:tcPr>
            <w:tcW w:w="4293" w:type="pct"/>
            <w:gridSpan w:val="5"/>
            <w:vAlign w:val="center"/>
          </w:tcPr>
          <w:p w14:paraId="1D3A1E9D" w14:textId="77777777" w:rsidR="005A4BF3" w:rsidRPr="00755DBE" w:rsidRDefault="005A4BF3" w:rsidP="002178A9">
            <w:pPr>
              <w:rPr>
                <w:rFonts w:ascii="Arial Narrow" w:hAnsi="Arial Narrow"/>
                <w:sz w:val="20"/>
                <w:szCs w:val="20"/>
              </w:rPr>
            </w:pPr>
            <w:r w:rsidRPr="00755DBE">
              <w:rPr>
                <w:rFonts w:ascii="Arial Narrow" w:hAnsi="Arial Narrow"/>
                <w:sz w:val="20"/>
                <w:szCs w:val="20"/>
              </w:rPr>
              <w:t>Patient must have previously received PBS-subsidised treatment with this drug for this condition.</w:t>
            </w:r>
          </w:p>
        </w:tc>
      </w:tr>
      <w:tr w:rsidR="005A4BF3" w:rsidRPr="00755DBE" w14:paraId="4F64AACE"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tcPr>
          <w:p w14:paraId="140C1A82" w14:textId="77777777" w:rsidR="005A4BF3" w:rsidRPr="00755DBE" w:rsidRDefault="005A4BF3" w:rsidP="002178A9">
            <w:pPr>
              <w:jc w:val="center"/>
              <w:rPr>
                <w:rFonts w:ascii="Arial Narrow" w:hAnsi="Arial Narrow"/>
                <w:sz w:val="20"/>
                <w:szCs w:val="20"/>
              </w:rPr>
            </w:pPr>
          </w:p>
        </w:tc>
        <w:tc>
          <w:tcPr>
            <w:tcW w:w="4293" w:type="pct"/>
            <w:gridSpan w:val="5"/>
            <w:vAlign w:val="center"/>
          </w:tcPr>
          <w:p w14:paraId="2F61A0DA" w14:textId="77777777" w:rsidR="005A4BF3" w:rsidRPr="00755DBE" w:rsidRDefault="005A4BF3" w:rsidP="002178A9">
            <w:pPr>
              <w:rPr>
                <w:rFonts w:ascii="Arial Narrow" w:hAnsi="Arial Narrow"/>
                <w:sz w:val="20"/>
                <w:szCs w:val="20"/>
              </w:rPr>
            </w:pPr>
            <w:r w:rsidRPr="00755DBE">
              <w:rPr>
                <w:rFonts w:ascii="Arial Narrow" w:hAnsi="Arial Narrow"/>
                <w:b/>
                <w:bCs/>
                <w:sz w:val="20"/>
                <w:szCs w:val="20"/>
              </w:rPr>
              <w:t>AND</w:t>
            </w:r>
          </w:p>
        </w:tc>
      </w:tr>
      <w:tr w:rsidR="005A4BF3" w:rsidRPr="00755DBE" w14:paraId="74729C63"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tcPr>
          <w:p w14:paraId="63F971FB" w14:textId="77777777" w:rsidR="005A4BF3" w:rsidRPr="00755DBE" w:rsidRDefault="005A4BF3" w:rsidP="002178A9">
            <w:pPr>
              <w:jc w:val="center"/>
              <w:rPr>
                <w:rFonts w:ascii="Arial Narrow" w:hAnsi="Arial Narrow"/>
                <w:sz w:val="20"/>
                <w:szCs w:val="20"/>
              </w:rPr>
            </w:pPr>
          </w:p>
        </w:tc>
        <w:tc>
          <w:tcPr>
            <w:tcW w:w="4293" w:type="pct"/>
            <w:gridSpan w:val="5"/>
            <w:vAlign w:val="center"/>
          </w:tcPr>
          <w:p w14:paraId="73969F85" w14:textId="77777777" w:rsidR="005A4BF3" w:rsidRPr="00755DBE" w:rsidRDefault="005A4BF3" w:rsidP="002178A9">
            <w:pPr>
              <w:rPr>
                <w:rFonts w:ascii="Arial Narrow" w:hAnsi="Arial Narrow"/>
                <w:b/>
                <w:bCs/>
                <w:sz w:val="20"/>
                <w:szCs w:val="20"/>
              </w:rPr>
            </w:pPr>
            <w:r w:rsidRPr="00755DBE">
              <w:rPr>
                <w:rFonts w:ascii="Arial Narrow" w:hAnsi="Arial Narrow"/>
                <w:b/>
                <w:bCs/>
                <w:strike/>
                <w:sz w:val="20"/>
                <w:szCs w:val="20"/>
              </w:rPr>
              <w:t>Treatment</w:t>
            </w:r>
            <w:r w:rsidRPr="00755DBE">
              <w:rPr>
                <w:rFonts w:ascii="Arial Narrow" w:hAnsi="Arial Narrow"/>
                <w:b/>
                <w:bCs/>
                <w:sz w:val="20"/>
                <w:szCs w:val="20"/>
              </w:rPr>
              <w:t xml:space="preserve"> </w:t>
            </w:r>
            <w:r w:rsidRPr="00755DBE">
              <w:rPr>
                <w:rFonts w:ascii="Arial Narrow" w:hAnsi="Arial Narrow"/>
                <w:b/>
                <w:bCs/>
                <w:i/>
                <w:iCs/>
                <w:sz w:val="20"/>
                <w:szCs w:val="20"/>
              </w:rPr>
              <w:t>Clinical</w:t>
            </w:r>
            <w:r w:rsidRPr="00755DBE">
              <w:rPr>
                <w:rFonts w:ascii="Arial Narrow" w:hAnsi="Arial Narrow"/>
                <w:b/>
                <w:bCs/>
                <w:sz w:val="20"/>
                <w:szCs w:val="20"/>
              </w:rPr>
              <w:t xml:space="preserve"> criteria:</w:t>
            </w:r>
          </w:p>
        </w:tc>
      </w:tr>
      <w:tr w:rsidR="005A4BF3" w:rsidRPr="00755DBE" w14:paraId="0FF28BDB"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tcPr>
          <w:p w14:paraId="6BE67188" w14:textId="77777777" w:rsidR="005A4BF3" w:rsidRPr="00755DBE" w:rsidRDefault="005A4BF3" w:rsidP="002178A9">
            <w:pPr>
              <w:jc w:val="center"/>
              <w:rPr>
                <w:rFonts w:ascii="Arial Narrow" w:hAnsi="Arial Narrow"/>
                <w:sz w:val="20"/>
                <w:szCs w:val="20"/>
              </w:rPr>
            </w:pPr>
          </w:p>
        </w:tc>
        <w:tc>
          <w:tcPr>
            <w:tcW w:w="4293" w:type="pct"/>
            <w:gridSpan w:val="5"/>
            <w:vAlign w:val="center"/>
          </w:tcPr>
          <w:p w14:paraId="029E5A15" w14:textId="77777777" w:rsidR="005A4BF3" w:rsidRPr="00755DBE" w:rsidRDefault="005A4BF3" w:rsidP="002178A9">
            <w:pPr>
              <w:rPr>
                <w:rFonts w:ascii="Arial Narrow" w:hAnsi="Arial Narrow"/>
                <w:sz w:val="20"/>
                <w:szCs w:val="20"/>
              </w:rPr>
            </w:pPr>
            <w:r w:rsidRPr="00755DBE">
              <w:rPr>
                <w:rFonts w:ascii="Arial Narrow" w:hAnsi="Arial Narrow"/>
                <w:sz w:val="20"/>
                <w:szCs w:val="20"/>
              </w:rPr>
              <w:t>T</w:t>
            </w:r>
            <w:r w:rsidRPr="00755DBE">
              <w:rPr>
                <w:rFonts w:ascii="Arial Narrow" w:hAnsi="Arial Narrow"/>
                <w:i/>
                <w:iCs/>
                <w:sz w:val="20"/>
                <w:szCs w:val="20"/>
              </w:rPr>
              <w:t>he t</w:t>
            </w:r>
            <w:r w:rsidRPr="00755DBE">
              <w:rPr>
                <w:rFonts w:ascii="Arial Narrow" w:hAnsi="Arial Narrow"/>
                <w:sz w:val="20"/>
                <w:szCs w:val="20"/>
              </w:rPr>
              <w:t xml:space="preserve">reatment </w:t>
            </w:r>
            <w:r w:rsidRPr="00755DBE">
              <w:rPr>
                <w:rFonts w:ascii="Arial Narrow" w:hAnsi="Arial Narrow"/>
                <w:i/>
                <w:iCs/>
                <w:sz w:val="20"/>
                <w:szCs w:val="20"/>
              </w:rPr>
              <w:t>must be</w:t>
            </w:r>
            <w:r w:rsidRPr="00755DBE">
              <w:rPr>
                <w:rFonts w:ascii="Arial Narrow" w:hAnsi="Arial Narrow"/>
                <w:sz w:val="20"/>
                <w:szCs w:val="20"/>
              </w:rPr>
              <w:t xml:space="preserve"> </w:t>
            </w:r>
            <w:r w:rsidRPr="00755DBE">
              <w:rPr>
                <w:rFonts w:ascii="Arial Narrow" w:hAnsi="Arial Narrow"/>
                <w:strike/>
                <w:sz w:val="20"/>
                <w:szCs w:val="20"/>
              </w:rPr>
              <w:t xml:space="preserve">is intended to be given </w:t>
            </w:r>
            <w:r w:rsidRPr="00755DBE">
              <w:rPr>
                <w:rFonts w:ascii="Arial Narrow" w:hAnsi="Arial Narrow"/>
                <w:sz w:val="20"/>
                <w:szCs w:val="20"/>
              </w:rPr>
              <w:t xml:space="preserve">in combination with </w:t>
            </w:r>
            <w:proofErr w:type="spellStart"/>
            <w:r w:rsidRPr="00755DBE">
              <w:rPr>
                <w:rFonts w:ascii="Arial Narrow" w:hAnsi="Arial Narrow"/>
                <w:strike/>
                <w:sz w:val="20"/>
                <w:szCs w:val="20"/>
              </w:rPr>
              <w:t>GemOx</w:t>
            </w:r>
            <w:proofErr w:type="spellEnd"/>
            <w:r w:rsidRPr="00755DBE">
              <w:rPr>
                <w:rFonts w:ascii="Arial Narrow" w:hAnsi="Arial Narrow"/>
                <w:sz w:val="20"/>
                <w:szCs w:val="20"/>
              </w:rPr>
              <w:t xml:space="preserve"> </w:t>
            </w:r>
            <w:r w:rsidRPr="00755DBE">
              <w:rPr>
                <w:rFonts w:ascii="Arial Narrow" w:hAnsi="Arial Narrow"/>
                <w:i/>
                <w:iCs/>
                <w:sz w:val="20"/>
                <w:szCs w:val="20"/>
              </w:rPr>
              <w:t>gemcitabine and oxaliplatin</w:t>
            </w:r>
            <w:r w:rsidRPr="00755DBE">
              <w:rPr>
                <w:rFonts w:ascii="Arial Narrow" w:hAnsi="Arial Narrow"/>
                <w:sz w:val="20"/>
                <w:szCs w:val="20"/>
              </w:rPr>
              <w:t xml:space="preserve"> </w:t>
            </w:r>
            <w:r w:rsidRPr="00755DBE">
              <w:rPr>
                <w:rFonts w:ascii="Arial Narrow" w:hAnsi="Arial Narrow"/>
                <w:strike/>
                <w:sz w:val="20"/>
                <w:szCs w:val="20"/>
              </w:rPr>
              <w:t>for the first 8 cycles.</w:t>
            </w:r>
          </w:p>
        </w:tc>
      </w:tr>
      <w:tr w:rsidR="005A4BF3" w:rsidRPr="00755DBE" w14:paraId="3245A574" w14:textId="77777777" w:rsidTr="002178A9">
        <w:tblPrEx>
          <w:tblCellMar>
            <w:top w:w="15" w:type="dxa"/>
            <w:bottom w:w="15" w:type="dxa"/>
          </w:tblCellMar>
          <w:tblLook w:val="04A0" w:firstRow="1" w:lastRow="0" w:firstColumn="1" w:lastColumn="0" w:noHBand="0" w:noVBand="1"/>
        </w:tblPrEx>
        <w:trPr>
          <w:cantSplit/>
          <w:trHeight w:val="20"/>
        </w:trPr>
        <w:tc>
          <w:tcPr>
            <w:tcW w:w="707" w:type="pct"/>
          </w:tcPr>
          <w:p w14:paraId="66EC1B30" w14:textId="77777777" w:rsidR="005A4BF3" w:rsidRPr="00755DBE" w:rsidRDefault="005A4BF3" w:rsidP="002178A9">
            <w:pPr>
              <w:jc w:val="center"/>
              <w:rPr>
                <w:rFonts w:ascii="Arial Narrow" w:hAnsi="Arial Narrow"/>
                <w:i/>
                <w:iCs/>
                <w:sz w:val="20"/>
                <w:szCs w:val="20"/>
              </w:rPr>
            </w:pPr>
          </w:p>
        </w:tc>
        <w:tc>
          <w:tcPr>
            <w:tcW w:w="4293" w:type="pct"/>
            <w:gridSpan w:val="5"/>
          </w:tcPr>
          <w:p w14:paraId="0ADBEDFC"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pacing w:val="-2"/>
                <w:sz w:val="20"/>
                <w:szCs w:val="20"/>
              </w:rPr>
              <w:t>AND</w:t>
            </w:r>
          </w:p>
        </w:tc>
      </w:tr>
      <w:tr w:rsidR="005A4BF3" w:rsidRPr="00755DBE" w14:paraId="564155B5" w14:textId="77777777" w:rsidTr="002178A9">
        <w:tblPrEx>
          <w:tblCellMar>
            <w:top w:w="15" w:type="dxa"/>
            <w:bottom w:w="15" w:type="dxa"/>
          </w:tblCellMar>
          <w:tblLook w:val="04A0" w:firstRow="1" w:lastRow="0" w:firstColumn="1" w:lastColumn="0" w:noHBand="0" w:noVBand="1"/>
        </w:tblPrEx>
        <w:trPr>
          <w:cantSplit/>
          <w:trHeight w:val="20"/>
        </w:trPr>
        <w:tc>
          <w:tcPr>
            <w:tcW w:w="707" w:type="pct"/>
          </w:tcPr>
          <w:p w14:paraId="34E922DE" w14:textId="77777777" w:rsidR="005A4BF3" w:rsidRPr="00755DBE" w:rsidRDefault="005A4BF3" w:rsidP="002178A9">
            <w:pPr>
              <w:jc w:val="center"/>
              <w:rPr>
                <w:rFonts w:ascii="Arial Narrow" w:hAnsi="Arial Narrow"/>
                <w:i/>
                <w:iCs/>
                <w:sz w:val="20"/>
                <w:szCs w:val="20"/>
              </w:rPr>
            </w:pPr>
          </w:p>
        </w:tc>
        <w:tc>
          <w:tcPr>
            <w:tcW w:w="4293" w:type="pct"/>
            <w:gridSpan w:val="5"/>
          </w:tcPr>
          <w:p w14:paraId="6EEB5C50"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Clinical</w:t>
            </w:r>
            <w:r w:rsidRPr="00755DBE">
              <w:rPr>
                <w:rFonts w:ascii="Arial Narrow" w:hAnsi="Arial Narrow"/>
                <w:b/>
                <w:bCs/>
                <w:i/>
                <w:iCs/>
                <w:spacing w:val="-4"/>
                <w:sz w:val="20"/>
                <w:szCs w:val="20"/>
              </w:rPr>
              <w:t xml:space="preserve"> </w:t>
            </w:r>
            <w:r w:rsidRPr="00755DBE">
              <w:rPr>
                <w:rFonts w:ascii="Arial Narrow" w:hAnsi="Arial Narrow"/>
                <w:b/>
                <w:bCs/>
                <w:i/>
                <w:iCs/>
                <w:spacing w:val="-2"/>
                <w:sz w:val="20"/>
                <w:szCs w:val="20"/>
              </w:rPr>
              <w:t>criteria:</w:t>
            </w:r>
          </w:p>
        </w:tc>
      </w:tr>
      <w:tr w:rsidR="005A4BF3" w:rsidRPr="00755DBE" w14:paraId="127C78CA"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tcPr>
          <w:p w14:paraId="2381E948" w14:textId="6906F233" w:rsidR="005A4BF3" w:rsidRPr="00755DBE" w:rsidRDefault="005A4BF3" w:rsidP="002178A9">
            <w:pPr>
              <w:jc w:val="center"/>
              <w:rPr>
                <w:rFonts w:ascii="Arial Narrow" w:hAnsi="Arial Narrow"/>
                <w:i/>
                <w:iCs/>
                <w:sz w:val="20"/>
                <w:szCs w:val="20"/>
              </w:rPr>
            </w:pPr>
          </w:p>
        </w:tc>
        <w:tc>
          <w:tcPr>
            <w:tcW w:w="4293" w:type="pct"/>
            <w:gridSpan w:val="5"/>
            <w:vAlign w:val="center"/>
          </w:tcPr>
          <w:p w14:paraId="49DF318B" w14:textId="77777777" w:rsidR="005A4BF3" w:rsidRPr="00755DBE" w:rsidRDefault="005A4BF3" w:rsidP="002178A9">
            <w:pPr>
              <w:rPr>
                <w:rFonts w:ascii="Arial Narrow" w:hAnsi="Arial Narrow"/>
                <w:b/>
                <w:bCs/>
                <w:i/>
                <w:iCs/>
                <w:sz w:val="20"/>
                <w:szCs w:val="20"/>
              </w:rPr>
            </w:pPr>
            <w:r w:rsidRPr="00755DBE">
              <w:rPr>
                <w:rFonts w:ascii="Arial Narrow" w:hAnsi="Arial Narrow"/>
                <w:i/>
                <w:iCs/>
                <w:sz w:val="20"/>
                <w:szCs w:val="20"/>
              </w:rPr>
              <w:t>Patient must not have developed disease progression while being treated with this drug for this condition.</w:t>
            </w:r>
          </w:p>
        </w:tc>
      </w:tr>
      <w:tr w:rsidR="005A4BF3" w:rsidRPr="00755DBE" w14:paraId="32B62D63"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tcPr>
          <w:p w14:paraId="4C32A850" w14:textId="77777777" w:rsidR="005A4BF3" w:rsidRPr="00755DBE" w:rsidRDefault="005A4BF3" w:rsidP="002178A9">
            <w:pPr>
              <w:jc w:val="center"/>
              <w:rPr>
                <w:rFonts w:ascii="Arial Narrow" w:hAnsi="Arial Narrow"/>
                <w:sz w:val="20"/>
                <w:szCs w:val="20"/>
              </w:rPr>
            </w:pPr>
          </w:p>
        </w:tc>
        <w:tc>
          <w:tcPr>
            <w:tcW w:w="4293" w:type="pct"/>
            <w:gridSpan w:val="5"/>
            <w:vAlign w:val="center"/>
          </w:tcPr>
          <w:p w14:paraId="4E6FD11D" w14:textId="77777777" w:rsidR="005A4BF3" w:rsidRPr="00755DBE" w:rsidRDefault="005A4BF3" w:rsidP="002178A9">
            <w:pPr>
              <w:rPr>
                <w:rFonts w:ascii="Arial Narrow" w:hAnsi="Arial Narrow"/>
                <w:b/>
                <w:bCs/>
                <w:sz w:val="20"/>
                <w:szCs w:val="20"/>
              </w:rPr>
            </w:pPr>
            <w:r w:rsidRPr="00755DBE">
              <w:rPr>
                <w:rFonts w:ascii="Arial Narrow" w:hAnsi="Arial Narrow"/>
                <w:b/>
                <w:bCs/>
                <w:strike/>
                <w:sz w:val="20"/>
                <w:szCs w:val="20"/>
              </w:rPr>
              <w:t>Treatment</w:t>
            </w:r>
            <w:r w:rsidRPr="00755DBE">
              <w:rPr>
                <w:rFonts w:ascii="Arial Narrow" w:hAnsi="Arial Narrow"/>
                <w:b/>
                <w:bCs/>
                <w:sz w:val="20"/>
                <w:szCs w:val="20"/>
              </w:rPr>
              <w:t xml:space="preserve"> </w:t>
            </w:r>
            <w:r w:rsidRPr="00755DBE">
              <w:rPr>
                <w:rFonts w:ascii="Arial Narrow" w:hAnsi="Arial Narrow"/>
                <w:b/>
                <w:bCs/>
                <w:i/>
                <w:iCs/>
                <w:sz w:val="20"/>
                <w:szCs w:val="20"/>
              </w:rPr>
              <w:t>Clinical</w:t>
            </w:r>
            <w:r w:rsidRPr="00755DBE">
              <w:rPr>
                <w:rFonts w:ascii="Arial Narrow" w:hAnsi="Arial Narrow"/>
                <w:b/>
                <w:bCs/>
                <w:sz w:val="20"/>
                <w:szCs w:val="20"/>
              </w:rPr>
              <w:t xml:space="preserve"> criteria:</w:t>
            </w:r>
          </w:p>
        </w:tc>
      </w:tr>
      <w:tr w:rsidR="005A4BF3" w:rsidRPr="00755DBE" w14:paraId="611D6E64"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tcPr>
          <w:p w14:paraId="11F7FF5E" w14:textId="77777777" w:rsidR="005A4BF3" w:rsidRPr="00755DBE" w:rsidRDefault="005A4BF3" w:rsidP="002178A9">
            <w:pPr>
              <w:jc w:val="center"/>
              <w:rPr>
                <w:rFonts w:ascii="Arial Narrow" w:hAnsi="Arial Narrow"/>
                <w:sz w:val="20"/>
                <w:szCs w:val="20"/>
              </w:rPr>
            </w:pPr>
          </w:p>
        </w:tc>
        <w:tc>
          <w:tcPr>
            <w:tcW w:w="4293" w:type="pct"/>
            <w:gridSpan w:val="5"/>
            <w:vAlign w:val="center"/>
          </w:tcPr>
          <w:p w14:paraId="720C68CD" w14:textId="77777777" w:rsidR="005A4BF3" w:rsidRPr="00755DBE" w:rsidRDefault="005A4BF3" w:rsidP="002178A9">
            <w:pPr>
              <w:rPr>
                <w:rFonts w:ascii="Arial Narrow" w:hAnsi="Arial Narrow"/>
                <w:sz w:val="20"/>
                <w:szCs w:val="20"/>
              </w:rPr>
            </w:pPr>
            <w:r w:rsidRPr="00755DBE">
              <w:rPr>
                <w:rFonts w:ascii="Arial Narrow" w:hAnsi="Arial Narrow"/>
                <w:sz w:val="20"/>
                <w:szCs w:val="20"/>
              </w:rPr>
              <w:t>The treatment must not exceed a total of 12 cycles</w:t>
            </w:r>
            <w:r w:rsidRPr="00755DBE">
              <w:rPr>
                <w:rFonts w:ascii="Arial Narrow" w:hAnsi="Arial Narrow"/>
                <w:i/>
                <w:iCs/>
                <w:sz w:val="20"/>
                <w:szCs w:val="20"/>
              </w:rPr>
              <w:t xml:space="preserve"> </w:t>
            </w:r>
            <w:r w:rsidRPr="00755DBE">
              <w:rPr>
                <w:rFonts w:ascii="Arial Narrow" w:hAnsi="Arial Narrow"/>
                <w:sz w:val="20"/>
                <w:szCs w:val="20"/>
              </w:rPr>
              <w:t xml:space="preserve">of </w:t>
            </w:r>
            <w:r w:rsidRPr="00755DBE">
              <w:rPr>
                <w:rFonts w:ascii="Arial Narrow" w:hAnsi="Arial Narrow"/>
                <w:i/>
                <w:iCs/>
                <w:sz w:val="20"/>
                <w:szCs w:val="20"/>
              </w:rPr>
              <w:t>this drug for this indication, regardless of whether treatment was non-PBS or</w:t>
            </w:r>
            <w:r w:rsidRPr="00755DBE">
              <w:rPr>
                <w:rFonts w:ascii="Arial Narrow" w:hAnsi="Arial Narrow"/>
                <w:sz w:val="20"/>
                <w:szCs w:val="20"/>
              </w:rPr>
              <w:t xml:space="preserve"> PBS-subsidised </w:t>
            </w:r>
            <w:r w:rsidRPr="00755DBE">
              <w:rPr>
                <w:rFonts w:ascii="Arial Narrow" w:hAnsi="Arial Narrow"/>
                <w:strike/>
                <w:sz w:val="20"/>
                <w:szCs w:val="20"/>
              </w:rPr>
              <w:t>treatment under this restriction</w:t>
            </w:r>
            <w:r w:rsidRPr="00EE2F69">
              <w:rPr>
                <w:rFonts w:ascii="Arial Narrow" w:hAnsi="Arial Narrow"/>
                <w:sz w:val="20"/>
                <w:szCs w:val="20"/>
              </w:rPr>
              <w:t>.</w:t>
            </w:r>
          </w:p>
        </w:tc>
      </w:tr>
      <w:tr w:rsidR="005A4BF3" w:rsidRPr="00755DBE" w14:paraId="1E4F011B"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tcPr>
          <w:p w14:paraId="4120DE26" w14:textId="77777777" w:rsidR="005A4BF3" w:rsidRPr="00755DBE" w:rsidRDefault="005A4BF3" w:rsidP="002178A9">
            <w:pPr>
              <w:jc w:val="center"/>
              <w:rPr>
                <w:rFonts w:ascii="Arial Narrow" w:hAnsi="Arial Narrow"/>
                <w:strike/>
                <w:sz w:val="20"/>
                <w:szCs w:val="20"/>
              </w:rPr>
            </w:pPr>
          </w:p>
        </w:tc>
        <w:tc>
          <w:tcPr>
            <w:tcW w:w="4293" w:type="pct"/>
            <w:gridSpan w:val="5"/>
            <w:vAlign w:val="center"/>
          </w:tcPr>
          <w:p w14:paraId="24F74042" w14:textId="77777777" w:rsidR="005A4BF3" w:rsidRPr="00755DBE" w:rsidRDefault="005A4BF3" w:rsidP="002178A9">
            <w:pPr>
              <w:keepLines/>
              <w:contextualSpacing/>
              <w:rPr>
                <w:rFonts w:ascii="Arial Narrow" w:hAnsi="Arial Narrow"/>
                <w:i/>
                <w:iCs/>
                <w:strike/>
                <w:sz w:val="20"/>
                <w:szCs w:val="20"/>
              </w:rPr>
            </w:pPr>
            <w:r w:rsidRPr="00755DBE">
              <w:rPr>
                <w:rFonts w:ascii="Arial Narrow" w:hAnsi="Arial Narrow"/>
                <w:b/>
                <w:bCs/>
                <w:strike/>
                <w:sz w:val="20"/>
                <w:szCs w:val="20"/>
              </w:rPr>
              <w:t>Prescribing Instructions:</w:t>
            </w:r>
            <w:r w:rsidRPr="00755DBE">
              <w:rPr>
                <w:rFonts w:ascii="Arial Narrow" w:hAnsi="Arial Narrow"/>
                <w:b/>
                <w:bCs/>
                <w:i/>
                <w:iCs/>
                <w:strike/>
                <w:sz w:val="20"/>
                <w:szCs w:val="20"/>
              </w:rPr>
              <w:t xml:space="preserve"> </w:t>
            </w:r>
          </w:p>
          <w:p w14:paraId="3C68DF65" w14:textId="77777777" w:rsidR="005A4BF3" w:rsidRPr="00755DBE" w:rsidRDefault="005A4BF3" w:rsidP="002178A9">
            <w:pPr>
              <w:rPr>
                <w:rFonts w:ascii="Arial Narrow" w:hAnsi="Arial Narrow"/>
                <w:strike/>
                <w:sz w:val="20"/>
                <w:szCs w:val="20"/>
              </w:rPr>
            </w:pPr>
            <w:r w:rsidRPr="00755DBE">
              <w:rPr>
                <w:rFonts w:ascii="Arial Narrow" w:hAnsi="Arial Narrow"/>
                <w:strike/>
                <w:sz w:val="20"/>
                <w:szCs w:val="20"/>
              </w:rPr>
              <w:t>Patients will require two prescriptions of this Item to meet their intended treatment duration of 12 cycles.</w:t>
            </w:r>
          </w:p>
        </w:tc>
      </w:tr>
      <w:tr w:rsidR="005A4BF3" w:rsidRPr="00755DBE" w14:paraId="27D44F7B" w14:textId="77777777" w:rsidTr="002178A9">
        <w:tblPrEx>
          <w:tblCellMar>
            <w:top w:w="15" w:type="dxa"/>
            <w:bottom w:w="15" w:type="dxa"/>
          </w:tblCellMar>
          <w:tblLook w:val="04A0" w:firstRow="1" w:lastRow="0" w:firstColumn="1" w:lastColumn="0" w:noHBand="0" w:noVBand="1"/>
        </w:tblPrEx>
        <w:trPr>
          <w:cantSplit/>
          <w:trHeight w:val="20"/>
        </w:trPr>
        <w:tc>
          <w:tcPr>
            <w:tcW w:w="707" w:type="pct"/>
            <w:vAlign w:val="center"/>
          </w:tcPr>
          <w:p w14:paraId="57EA335C" w14:textId="4A866CC9" w:rsidR="005A4BF3" w:rsidRPr="00755DBE" w:rsidRDefault="005A4BF3" w:rsidP="002178A9">
            <w:pPr>
              <w:jc w:val="center"/>
              <w:rPr>
                <w:rFonts w:ascii="Arial Narrow" w:hAnsi="Arial Narrow"/>
                <w:sz w:val="20"/>
                <w:szCs w:val="20"/>
              </w:rPr>
            </w:pPr>
          </w:p>
        </w:tc>
        <w:tc>
          <w:tcPr>
            <w:tcW w:w="4293" w:type="pct"/>
            <w:gridSpan w:val="5"/>
            <w:vAlign w:val="center"/>
          </w:tcPr>
          <w:p w14:paraId="4EC1465C" w14:textId="77777777" w:rsidR="005A4BF3" w:rsidRPr="00755DBE" w:rsidRDefault="005A4BF3" w:rsidP="002178A9">
            <w:pPr>
              <w:keepLines/>
              <w:contextualSpacing/>
              <w:rPr>
                <w:rFonts w:ascii="Arial Narrow" w:hAnsi="Arial Narrow"/>
                <w:i/>
                <w:iCs/>
                <w:sz w:val="20"/>
                <w:szCs w:val="20"/>
              </w:rPr>
            </w:pPr>
            <w:r w:rsidRPr="00755DBE">
              <w:rPr>
                <w:rFonts w:ascii="Arial Narrow" w:hAnsi="Arial Narrow"/>
                <w:b/>
                <w:bCs/>
                <w:i/>
                <w:iCs/>
                <w:sz w:val="20"/>
                <w:szCs w:val="20"/>
              </w:rPr>
              <w:t>Administrative Advice:</w:t>
            </w:r>
          </w:p>
          <w:p w14:paraId="67B50D83" w14:textId="77777777" w:rsidR="005A4BF3" w:rsidRPr="00755DBE" w:rsidRDefault="005A4BF3" w:rsidP="002178A9">
            <w:pPr>
              <w:rPr>
                <w:rFonts w:ascii="Arial Narrow" w:hAnsi="Arial Narrow"/>
                <w:b/>
                <w:bCs/>
                <w:sz w:val="20"/>
                <w:szCs w:val="20"/>
              </w:rPr>
            </w:pPr>
            <w:r w:rsidRPr="00755DBE">
              <w:rPr>
                <w:rFonts w:ascii="Arial Narrow" w:hAnsi="Arial Narrow"/>
                <w:i/>
                <w:iCs/>
                <w:sz w:val="20"/>
                <w:szCs w:val="20"/>
              </w:rPr>
              <w:t>No increase in the maximum amount or number of units may be authorised.</w:t>
            </w:r>
          </w:p>
        </w:tc>
      </w:tr>
      <w:tr w:rsidR="005A4BF3" w:rsidRPr="00755DBE" w14:paraId="6B8F4AF2"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7" w:type="pct"/>
            <w:tcBorders>
              <w:top w:val="single" w:sz="4" w:space="0" w:color="auto"/>
              <w:left w:val="single" w:sz="4" w:space="0" w:color="auto"/>
              <w:bottom w:val="single" w:sz="4" w:space="0" w:color="auto"/>
              <w:right w:val="single" w:sz="4" w:space="0" w:color="auto"/>
            </w:tcBorders>
          </w:tcPr>
          <w:p w14:paraId="16F9E2F3" w14:textId="22084831" w:rsidR="005A4BF3" w:rsidRPr="00755DBE" w:rsidRDefault="005A4BF3" w:rsidP="002178A9">
            <w:pPr>
              <w:jc w:val="center"/>
              <w:rPr>
                <w:rFonts w:ascii="Arial Narrow" w:hAnsi="Arial Narrow"/>
                <w:sz w:val="20"/>
                <w:szCs w:val="20"/>
              </w:rPr>
            </w:pPr>
          </w:p>
        </w:tc>
        <w:tc>
          <w:tcPr>
            <w:tcW w:w="4293" w:type="pct"/>
            <w:gridSpan w:val="5"/>
            <w:tcBorders>
              <w:top w:val="single" w:sz="4" w:space="0" w:color="auto"/>
              <w:left w:val="single" w:sz="4" w:space="0" w:color="auto"/>
              <w:bottom w:val="single" w:sz="4" w:space="0" w:color="auto"/>
              <w:right w:val="single" w:sz="4" w:space="0" w:color="auto"/>
            </w:tcBorders>
          </w:tcPr>
          <w:p w14:paraId="0B843FC6"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 xml:space="preserve">Administrative Advice: </w:t>
            </w:r>
            <w:r w:rsidRPr="00755DBE">
              <w:rPr>
                <w:rFonts w:ascii="Arial Narrow" w:hAnsi="Arial Narrow"/>
                <w:sz w:val="20"/>
                <w:szCs w:val="20"/>
              </w:rPr>
              <w:t>No increase in the maximum number of repeats may be authorised.</w:t>
            </w:r>
          </w:p>
        </w:tc>
      </w:tr>
      <w:tr w:rsidR="005A4BF3" w:rsidRPr="00755DBE" w14:paraId="6F8E7ED2"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7" w:type="pct"/>
            <w:tcBorders>
              <w:top w:val="single" w:sz="4" w:space="0" w:color="auto"/>
              <w:left w:val="single" w:sz="4" w:space="0" w:color="auto"/>
              <w:bottom w:val="single" w:sz="4" w:space="0" w:color="auto"/>
              <w:right w:val="single" w:sz="4" w:space="0" w:color="auto"/>
            </w:tcBorders>
          </w:tcPr>
          <w:p w14:paraId="733B12B5" w14:textId="32C64C3B" w:rsidR="005A4BF3" w:rsidRPr="00755DBE" w:rsidRDefault="005A4BF3" w:rsidP="002178A9">
            <w:pPr>
              <w:jc w:val="center"/>
              <w:rPr>
                <w:rFonts w:ascii="Arial Narrow" w:hAnsi="Arial Narrow"/>
                <w:sz w:val="20"/>
                <w:szCs w:val="20"/>
              </w:rPr>
            </w:pPr>
          </w:p>
        </w:tc>
        <w:tc>
          <w:tcPr>
            <w:tcW w:w="4293" w:type="pct"/>
            <w:gridSpan w:val="5"/>
            <w:tcBorders>
              <w:top w:val="single" w:sz="4" w:space="0" w:color="auto"/>
              <w:left w:val="single" w:sz="4" w:space="0" w:color="auto"/>
              <w:bottom w:val="single" w:sz="4" w:space="0" w:color="auto"/>
              <w:right w:val="single" w:sz="4" w:space="0" w:color="auto"/>
            </w:tcBorders>
          </w:tcPr>
          <w:p w14:paraId="3C49A011"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 xml:space="preserve">Administrative Advice: </w:t>
            </w:r>
            <w:r w:rsidRPr="00755DBE">
              <w:rPr>
                <w:rFonts w:ascii="Arial Narrow" w:hAnsi="Arial Narrow"/>
                <w:sz w:val="20"/>
                <w:szCs w:val="20"/>
              </w:rPr>
              <w:t>Special Pricing Arrangements apply.</w:t>
            </w:r>
          </w:p>
        </w:tc>
      </w:tr>
      <w:tr w:rsidR="005A4BF3" w:rsidRPr="00755DBE" w14:paraId="455CA5F4"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7" w:type="pct"/>
            <w:tcBorders>
              <w:top w:val="single" w:sz="4" w:space="0" w:color="auto"/>
              <w:left w:val="single" w:sz="4" w:space="0" w:color="auto"/>
              <w:bottom w:val="single" w:sz="4" w:space="0" w:color="auto"/>
              <w:right w:val="single" w:sz="4" w:space="0" w:color="auto"/>
            </w:tcBorders>
            <w:vAlign w:val="center"/>
          </w:tcPr>
          <w:p w14:paraId="48A4258A" w14:textId="7C673165" w:rsidR="005A4BF3" w:rsidRPr="00755DBE" w:rsidRDefault="005A4BF3" w:rsidP="002178A9">
            <w:pPr>
              <w:jc w:val="center"/>
              <w:rPr>
                <w:rFonts w:ascii="Arial Narrow" w:hAnsi="Arial Narrow"/>
                <w:sz w:val="20"/>
                <w:szCs w:val="20"/>
              </w:rPr>
            </w:pPr>
          </w:p>
        </w:tc>
        <w:tc>
          <w:tcPr>
            <w:tcW w:w="4293" w:type="pct"/>
            <w:gridSpan w:val="5"/>
            <w:tcBorders>
              <w:top w:val="single" w:sz="4" w:space="0" w:color="auto"/>
              <w:left w:val="single" w:sz="4" w:space="0" w:color="auto"/>
              <w:bottom w:val="single" w:sz="4" w:space="0" w:color="auto"/>
              <w:right w:val="single" w:sz="4" w:space="0" w:color="auto"/>
            </w:tcBorders>
            <w:vAlign w:val="center"/>
          </w:tcPr>
          <w:p w14:paraId="5C4104A9" w14:textId="77777777" w:rsidR="005A4BF3" w:rsidRPr="00755DBE" w:rsidRDefault="005A4BF3" w:rsidP="002178A9">
            <w:pPr>
              <w:rPr>
                <w:rFonts w:ascii="Arial Narrow" w:hAnsi="Arial Narrow"/>
                <w:b/>
                <w:bCs/>
                <w:sz w:val="20"/>
                <w:szCs w:val="20"/>
              </w:rPr>
            </w:pPr>
            <w:r w:rsidRPr="00755DBE">
              <w:rPr>
                <w:rFonts w:ascii="Arial Narrow" w:hAnsi="Arial Narrow"/>
                <w:b/>
                <w:bCs/>
                <w:i/>
                <w:iCs/>
                <w:sz w:val="20"/>
                <w:szCs w:val="20"/>
              </w:rPr>
              <w:t xml:space="preserve">Administrative Advice: </w:t>
            </w:r>
            <w:r w:rsidRPr="00755DBE">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0CE814EF" w14:textId="77777777" w:rsidR="005A4BF3" w:rsidRPr="00755DBE" w:rsidRDefault="005A4BF3" w:rsidP="005A4BF3"/>
    <w:p w14:paraId="3E77C0A8" w14:textId="77777777" w:rsidR="005A4BF3" w:rsidRPr="008F17BE" w:rsidRDefault="005A4BF3" w:rsidP="005A4BF3">
      <w:pPr>
        <w:rPr>
          <w:b/>
        </w:rPr>
      </w:pPr>
      <w:r w:rsidRPr="008F17BE">
        <w:rPr>
          <w:b/>
        </w:rPr>
        <w:t>Continuing (cycles 9-12)</w:t>
      </w:r>
    </w:p>
    <w:tbl>
      <w:tblPr>
        <w:tblW w:w="5004"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1"/>
        <w:gridCol w:w="1200"/>
        <w:gridCol w:w="2482"/>
        <w:gridCol w:w="1559"/>
        <w:gridCol w:w="1278"/>
        <w:gridCol w:w="1224"/>
      </w:tblGrid>
      <w:tr w:rsidR="00DD4F63" w:rsidRPr="00755DBE" w14:paraId="7A009802" w14:textId="77777777" w:rsidTr="00DD4F63">
        <w:trPr>
          <w:cantSplit/>
          <w:trHeight w:val="20"/>
        </w:trPr>
        <w:tc>
          <w:tcPr>
            <w:tcW w:w="1375" w:type="pct"/>
            <w:gridSpan w:val="2"/>
            <w:vAlign w:val="center"/>
          </w:tcPr>
          <w:p w14:paraId="70648A37" w14:textId="77777777" w:rsidR="00DD4F63" w:rsidRDefault="00DD4F63" w:rsidP="002178A9">
            <w:pPr>
              <w:keepNext/>
              <w:rPr>
                <w:rFonts w:ascii="Arial Narrow" w:hAnsi="Arial Narrow"/>
                <w:b/>
                <w:bCs/>
                <w:i/>
                <w:iCs/>
                <w:sz w:val="20"/>
                <w:szCs w:val="20"/>
              </w:rPr>
            </w:pPr>
            <w:r w:rsidRPr="00755DBE">
              <w:rPr>
                <w:rFonts w:ascii="Arial Narrow" w:hAnsi="Arial Narrow"/>
                <w:b/>
                <w:bCs/>
                <w:i/>
                <w:iCs/>
                <w:sz w:val="20"/>
                <w:szCs w:val="20"/>
              </w:rPr>
              <w:t>MEDICINAL PRODUCT</w:t>
            </w:r>
          </w:p>
          <w:p w14:paraId="05C74942" w14:textId="5C174608" w:rsidR="00DD4F63" w:rsidRPr="00755DBE" w:rsidRDefault="00DD4F63" w:rsidP="002178A9">
            <w:pPr>
              <w:keepNext/>
              <w:rPr>
                <w:rFonts w:ascii="Arial Narrow" w:hAnsi="Arial Narrow"/>
                <w:b/>
                <w:bCs/>
                <w:i/>
                <w:iCs/>
                <w:sz w:val="20"/>
                <w:szCs w:val="20"/>
              </w:rPr>
            </w:pPr>
            <w:r w:rsidRPr="00755DBE">
              <w:rPr>
                <w:rFonts w:ascii="Arial Narrow" w:hAnsi="Arial Narrow"/>
                <w:b/>
                <w:i/>
                <w:iCs/>
                <w:sz w:val="20"/>
                <w:szCs w:val="20"/>
              </w:rPr>
              <w:t>Form</w:t>
            </w:r>
          </w:p>
        </w:tc>
        <w:tc>
          <w:tcPr>
            <w:tcW w:w="1375" w:type="pct"/>
            <w:vAlign w:val="center"/>
          </w:tcPr>
          <w:p w14:paraId="5326797B" w14:textId="62F49C8A" w:rsidR="00DD4F63" w:rsidRPr="00755DBE" w:rsidRDefault="00276D77" w:rsidP="002178A9">
            <w:pPr>
              <w:keepNext/>
              <w:rPr>
                <w:rFonts w:ascii="Arial Narrow" w:hAnsi="Arial Narrow"/>
                <w:b/>
                <w:i/>
                <w:iCs/>
                <w:sz w:val="20"/>
                <w:szCs w:val="20"/>
              </w:rPr>
            </w:pPr>
            <w:r>
              <w:rPr>
                <w:rFonts w:ascii="Arial Narrow" w:hAnsi="Arial Narrow"/>
                <w:b/>
                <w:i/>
                <w:iCs/>
                <w:sz w:val="20"/>
                <w:szCs w:val="20"/>
              </w:rPr>
              <w:t>Dispensed Price for Max Amount</w:t>
            </w:r>
          </w:p>
        </w:tc>
        <w:tc>
          <w:tcPr>
            <w:tcW w:w="864" w:type="pct"/>
            <w:vAlign w:val="center"/>
          </w:tcPr>
          <w:p w14:paraId="060F586D" w14:textId="77777777" w:rsidR="00DD4F63" w:rsidRPr="00755DBE" w:rsidRDefault="00DD4F63" w:rsidP="002178A9">
            <w:pPr>
              <w:keepNext/>
              <w:jc w:val="center"/>
              <w:rPr>
                <w:rFonts w:ascii="Arial Narrow" w:hAnsi="Arial Narrow"/>
                <w:b/>
                <w:i/>
                <w:iCs/>
                <w:sz w:val="20"/>
                <w:szCs w:val="20"/>
              </w:rPr>
            </w:pPr>
            <w:r w:rsidRPr="00755DBE">
              <w:rPr>
                <w:rFonts w:ascii="Arial Narrow" w:hAnsi="Arial Narrow"/>
                <w:b/>
                <w:i/>
                <w:iCs/>
                <w:sz w:val="20"/>
                <w:szCs w:val="20"/>
              </w:rPr>
              <w:t>PBS item code</w:t>
            </w:r>
          </w:p>
        </w:tc>
        <w:tc>
          <w:tcPr>
            <w:tcW w:w="708" w:type="pct"/>
            <w:vAlign w:val="center"/>
          </w:tcPr>
          <w:p w14:paraId="15C000ED" w14:textId="77777777" w:rsidR="00DD4F63" w:rsidRPr="00755DBE" w:rsidRDefault="00DD4F63" w:rsidP="002178A9">
            <w:pPr>
              <w:keepNext/>
              <w:jc w:val="center"/>
              <w:rPr>
                <w:rFonts w:ascii="Arial Narrow" w:hAnsi="Arial Narrow"/>
                <w:b/>
                <w:i/>
                <w:iCs/>
                <w:sz w:val="20"/>
                <w:szCs w:val="20"/>
              </w:rPr>
            </w:pPr>
            <w:r w:rsidRPr="00755DBE">
              <w:rPr>
                <w:rFonts w:ascii="Arial Narrow" w:hAnsi="Arial Narrow"/>
                <w:b/>
                <w:i/>
                <w:iCs/>
                <w:sz w:val="20"/>
                <w:szCs w:val="20"/>
              </w:rPr>
              <w:t>Max. Amount</w:t>
            </w:r>
          </w:p>
        </w:tc>
        <w:tc>
          <w:tcPr>
            <w:tcW w:w="678" w:type="pct"/>
            <w:vAlign w:val="center"/>
          </w:tcPr>
          <w:p w14:paraId="01F047D6" w14:textId="77777777" w:rsidR="00DD4F63" w:rsidRPr="00755DBE" w:rsidRDefault="00DD4F63" w:rsidP="002178A9">
            <w:pPr>
              <w:keepNext/>
              <w:jc w:val="center"/>
              <w:rPr>
                <w:rFonts w:ascii="Arial Narrow" w:hAnsi="Arial Narrow"/>
                <w:b/>
                <w:i/>
                <w:iCs/>
                <w:sz w:val="20"/>
                <w:szCs w:val="20"/>
              </w:rPr>
            </w:pPr>
            <w:r w:rsidRPr="00755DBE">
              <w:rPr>
                <w:rFonts w:ascii="Arial Narrow" w:hAnsi="Arial Narrow"/>
                <w:b/>
                <w:i/>
                <w:iCs/>
                <w:sz w:val="20"/>
                <w:szCs w:val="20"/>
              </w:rPr>
              <w:t>№.of Rpts</w:t>
            </w:r>
          </w:p>
        </w:tc>
      </w:tr>
      <w:tr w:rsidR="00DD4F63" w:rsidRPr="00755DBE" w14:paraId="59364592" w14:textId="77777777" w:rsidTr="00DD4F63">
        <w:trPr>
          <w:cantSplit/>
          <w:trHeight w:val="20"/>
        </w:trPr>
        <w:tc>
          <w:tcPr>
            <w:tcW w:w="1375" w:type="pct"/>
            <w:gridSpan w:val="2"/>
            <w:vAlign w:val="center"/>
          </w:tcPr>
          <w:p w14:paraId="29230A99" w14:textId="77777777" w:rsidR="00DD4F63" w:rsidRPr="00755DBE" w:rsidRDefault="00DD4F63" w:rsidP="002178A9">
            <w:pPr>
              <w:keepNext/>
              <w:rPr>
                <w:rFonts w:ascii="Arial Narrow" w:hAnsi="Arial Narrow"/>
                <w:i/>
                <w:iCs/>
                <w:sz w:val="20"/>
                <w:szCs w:val="20"/>
              </w:rPr>
            </w:pPr>
            <w:r w:rsidRPr="00755DBE">
              <w:rPr>
                <w:rFonts w:ascii="Arial Narrow" w:hAnsi="Arial Narrow"/>
                <w:i/>
                <w:iCs/>
                <w:sz w:val="20"/>
                <w:szCs w:val="20"/>
              </w:rPr>
              <w:t>GLOFITAMAB</w:t>
            </w:r>
            <w:r w:rsidRPr="00755DBE">
              <w:rPr>
                <w:rFonts w:ascii="Arial Narrow" w:hAnsi="Arial Narrow"/>
                <w:i/>
                <w:iCs/>
                <w:sz w:val="20"/>
                <w:szCs w:val="20"/>
              </w:rPr>
              <w:br/>
            </w:r>
            <w:r w:rsidRPr="00755DBE">
              <w:rPr>
                <w:rFonts w:ascii="Arial Narrow" w:hAnsi="Arial Narrow" w:cs="Arial Narrow"/>
                <w:i/>
                <w:iCs/>
                <w:sz w:val="20"/>
                <w:szCs w:val="20"/>
              </w:rPr>
              <w:t>Injection</w:t>
            </w:r>
          </w:p>
        </w:tc>
        <w:tc>
          <w:tcPr>
            <w:tcW w:w="1375" w:type="pct"/>
            <w:vAlign w:val="center"/>
          </w:tcPr>
          <w:p w14:paraId="12CBCB82" w14:textId="77777777" w:rsidR="004736C3" w:rsidRPr="004736C3" w:rsidRDefault="004736C3" w:rsidP="004736C3">
            <w:pPr>
              <w:jc w:val="left"/>
              <w:rPr>
                <w:rFonts w:ascii="Arial Narrow" w:eastAsiaTheme="majorEastAsia" w:hAnsi="Arial Narrow" w:cstheme="majorBidi"/>
                <w:bCs/>
                <w:i/>
                <w:iCs/>
                <w:sz w:val="20"/>
                <w:u w:val="single"/>
              </w:rPr>
            </w:pPr>
            <w:r w:rsidRPr="004736C3">
              <w:rPr>
                <w:rFonts w:ascii="Arial Narrow" w:eastAsiaTheme="majorEastAsia" w:hAnsi="Arial Narrow" w:cstheme="majorBidi"/>
                <w:bCs/>
                <w:i/>
                <w:iCs/>
                <w:sz w:val="20"/>
                <w:u w:val="single"/>
              </w:rPr>
              <w:t>Published</w:t>
            </w:r>
          </w:p>
          <w:p w14:paraId="2F4AEEAD" w14:textId="77777777" w:rsidR="004736C3" w:rsidRPr="004736C3" w:rsidRDefault="004736C3" w:rsidP="004736C3">
            <w:pPr>
              <w:jc w:val="left"/>
              <w:rPr>
                <w:rFonts w:ascii="Arial Narrow" w:eastAsiaTheme="majorEastAsia" w:hAnsi="Arial Narrow" w:cstheme="majorBidi"/>
                <w:bCs/>
                <w:i/>
                <w:iCs/>
                <w:sz w:val="20"/>
              </w:rPr>
            </w:pPr>
            <w:r w:rsidRPr="004736C3">
              <w:rPr>
                <w:rFonts w:ascii="Arial Narrow" w:eastAsiaTheme="majorEastAsia" w:hAnsi="Arial Narrow" w:cstheme="majorBidi"/>
                <w:bCs/>
                <w:i/>
                <w:iCs/>
                <w:sz w:val="20"/>
              </w:rPr>
              <w:t>Public: $15,888.43</w:t>
            </w:r>
          </w:p>
          <w:p w14:paraId="68B34261" w14:textId="77777777" w:rsidR="004736C3" w:rsidRPr="004736C3" w:rsidRDefault="004736C3" w:rsidP="004736C3">
            <w:pPr>
              <w:jc w:val="left"/>
              <w:rPr>
                <w:rFonts w:ascii="Arial Narrow" w:eastAsiaTheme="majorEastAsia" w:hAnsi="Arial Narrow" w:cstheme="majorBidi"/>
                <w:bCs/>
                <w:i/>
                <w:iCs/>
                <w:sz w:val="20"/>
              </w:rPr>
            </w:pPr>
            <w:r w:rsidRPr="004736C3">
              <w:rPr>
                <w:rFonts w:ascii="Arial Narrow" w:eastAsiaTheme="majorEastAsia" w:hAnsi="Arial Narrow" w:cstheme="majorBidi"/>
                <w:bCs/>
                <w:i/>
                <w:iCs/>
                <w:sz w:val="20"/>
              </w:rPr>
              <w:t>Private: $16,154.28</w:t>
            </w:r>
          </w:p>
          <w:p w14:paraId="400673C8" w14:textId="77777777" w:rsidR="004736C3" w:rsidRPr="004736C3" w:rsidRDefault="004736C3" w:rsidP="004736C3">
            <w:pPr>
              <w:jc w:val="left"/>
              <w:rPr>
                <w:rFonts w:ascii="Arial Narrow" w:eastAsiaTheme="majorEastAsia" w:hAnsi="Arial Narrow" w:cstheme="majorBidi"/>
                <w:bCs/>
                <w:i/>
                <w:iCs/>
                <w:sz w:val="20"/>
                <w:u w:val="single"/>
              </w:rPr>
            </w:pPr>
            <w:r w:rsidRPr="004736C3">
              <w:rPr>
                <w:rFonts w:ascii="Arial Narrow" w:eastAsiaTheme="majorEastAsia" w:hAnsi="Arial Narrow" w:cstheme="majorBidi"/>
                <w:bCs/>
                <w:i/>
                <w:iCs/>
                <w:sz w:val="20"/>
                <w:u w:val="single"/>
              </w:rPr>
              <w:t>Effective</w:t>
            </w:r>
          </w:p>
          <w:p w14:paraId="529492C0" w14:textId="76E9C01F" w:rsidR="004736C3" w:rsidRPr="004736C3" w:rsidRDefault="004736C3" w:rsidP="004736C3">
            <w:pPr>
              <w:jc w:val="left"/>
              <w:rPr>
                <w:rFonts w:ascii="Arial Narrow" w:eastAsiaTheme="majorEastAsia" w:hAnsi="Arial Narrow" w:cstheme="majorBidi"/>
                <w:bCs/>
                <w:i/>
                <w:iCs/>
                <w:sz w:val="20"/>
              </w:rPr>
            </w:pPr>
            <w:r w:rsidRPr="004736C3">
              <w:rPr>
                <w:rFonts w:ascii="Arial Narrow" w:eastAsiaTheme="majorEastAsia" w:hAnsi="Arial Narrow" w:cstheme="majorBidi"/>
                <w:bCs/>
                <w:i/>
                <w:iCs/>
                <w:sz w:val="20"/>
              </w:rPr>
              <w:t>Public: $</w:t>
            </w:r>
            <w:r w:rsidR="00BD6E95" w:rsidRPr="00BD6E95">
              <w:rPr>
                <w:rFonts w:ascii="Arial Narrow" w:eastAsiaTheme="majorEastAsia" w:hAnsi="Arial Narrow" w:cstheme="majorBidi"/>
                <w:bCs/>
                <w:i/>
                <w:iCs/>
                <w:color w:val="000000"/>
                <w:spacing w:val="53"/>
                <w:sz w:val="20"/>
                <w:shd w:val="solid" w:color="000000" w:fill="000000"/>
                <w:fitText w:val="330" w:id="-632054002"/>
                <w14:textFill>
                  <w14:solidFill>
                    <w14:srgbClr w14:val="000000">
                      <w14:alpha w14:val="100000"/>
                    </w14:srgbClr>
                  </w14:solidFill>
                </w14:textFill>
              </w:rPr>
              <w:t>|||</w:t>
            </w:r>
            <w:r w:rsidR="00BD6E95" w:rsidRPr="00BD6E95">
              <w:rPr>
                <w:rFonts w:ascii="Arial Narrow" w:eastAsiaTheme="majorEastAsia" w:hAnsi="Arial Narrow" w:cstheme="majorBidi"/>
                <w:bCs/>
                <w:i/>
                <w:iCs/>
                <w:color w:val="000000"/>
                <w:spacing w:val="1"/>
                <w:sz w:val="20"/>
                <w:shd w:val="solid" w:color="000000" w:fill="000000"/>
                <w:fitText w:val="330" w:id="-632054002"/>
                <w14:textFill>
                  <w14:solidFill>
                    <w14:srgbClr w14:val="000000">
                      <w14:alpha w14:val="100000"/>
                    </w14:srgbClr>
                  </w14:solidFill>
                </w14:textFill>
              </w:rPr>
              <w:t>|</w:t>
            </w:r>
          </w:p>
          <w:p w14:paraId="03D47892" w14:textId="4541631E" w:rsidR="00DD4F63" w:rsidRPr="00755DBE" w:rsidRDefault="004736C3" w:rsidP="004736C3">
            <w:pPr>
              <w:keepNext/>
              <w:rPr>
                <w:rFonts w:ascii="Arial Narrow" w:hAnsi="Arial Narrow"/>
                <w:i/>
                <w:iCs/>
                <w:sz w:val="20"/>
                <w:szCs w:val="20"/>
              </w:rPr>
            </w:pPr>
            <w:r w:rsidRPr="004736C3">
              <w:rPr>
                <w:rFonts w:ascii="Arial Narrow" w:eastAsiaTheme="majorEastAsia" w:hAnsi="Arial Narrow" w:cstheme="majorBidi"/>
                <w:bCs/>
                <w:i/>
                <w:iCs/>
                <w:sz w:val="20"/>
              </w:rPr>
              <w:t>Private: $</w:t>
            </w:r>
            <w:r w:rsidR="00BD6E95">
              <w:rPr>
                <w:rFonts w:ascii="Arial Narrow" w:eastAsiaTheme="majorEastAsia" w:hAnsi="Arial Narrow" w:cstheme="majorBidi"/>
                <w:bCs/>
                <w:i/>
                <w:iCs/>
                <w:color w:val="000000"/>
                <w:spacing w:val="8"/>
                <w:sz w:val="20"/>
                <w:shd w:val="solid" w:color="000000" w:fill="000000"/>
                <w:fitText w:val="304" w:id="-632054001"/>
                <w14:textFill>
                  <w14:solidFill>
                    <w14:srgbClr w14:val="000000">
                      <w14:alpha w14:val="100000"/>
                    </w14:srgbClr>
                  </w14:solidFill>
                </w14:textFill>
              </w:rPr>
              <w:t>||  |</w:t>
            </w:r>
            <w:r w:rsidR="00BD6E95">
              <w:rPr>
                <w:rFonts w:ascii="Arial Narrow" w:eastAsiaTheme="majorEastAsia" w:hAnsi="Arial Narrow" w:cstheme="majorBidi"/>
                <w:bCs/>
                <w:i/>
                <w:iCs/>
                <w:color w:val="000000"/>
                <w:sz w:val="20"/>
                <w:shd w:val="solid" w:color="000000" w:fill="000000"/>
                <w:fitText w:val="304" w:id="-632054001"/>
                <w14:textFill>
                  <w14:solidFill>
                    <w14:srgbClr w14:val="000000">
                      <w14:alpha w14:val="100000"/>
                    </w14:srgbClr>
                  </w14:solidFill>
                </w14:textFill>
              </w:rPr>
              <w:t>|</w:t>
            </w:r>
          </w:p>
        </w:tc>
        <w:tc>
          <w:tcPr>
            <w:tcW w:w="864" w:type="pct"/>
            <w:vAlign w:val="center"/>
          </w:tcPr>
          <w:p w14:paraId="09223C8E" w14:textId="77777777" w:rsidR="00DD4F63" w:rsidRPr="00755DBE" w:rsidRDefault="00DD4F63" w:rsidP="002178A9">
            <w:pPr>
              <w:keepNext/>
              <w:jc w:val="center"/>
              <w:rPr>
                <w:rFonts w:ascii="Arial Narrow" w:hAnsi="Arial Narrow"/>
                <w:i/>
                <w:iCs/>
                <w:sz w:val="20"/>
                <w:szCs w:val="20"/>
              </w:rPr>
            </w:pPr>
            <w:r w:rsidRPr="00755DBE">
              <w:rPr>
                <w:rFonts w:ascii="Arial Narrow" w:hAnsi="Arial Narrow"/>
                <w:i/>
                <w:iCs/>
                <w:sz w:val="20"/>
                <w:szCs w:val="20"/>
              </w:rPr>
              <w:t>NEW (Public)</w:t>
            </w:r>
            <w:r w:rsidRPr="00755DBE">
              <w:rPr>
                <w:rFonts w:ascii="Arial Narrow" w:hAnsi="Arial Narrow"/>
                <w:i/>
                <w:iCs/>
                <w:sz w:val="20"/>
                <w:szCs w:val="20"/>
              </w:rPr>
              <w:br/>
              <w:t>NEW (Private)</w:t>
            </w:r>
          </w:p>
        </w:tc>
        <w:tc>
          <w:tcPr>
            <w:tcW w:w="708" w:type="pct"/>
            <w:vAlign w:val="center"/>
          </w:tcPr>
          <w:p w14:paraId="0179B9F4" w14:textId="77777777" w:rsidR="00DD4F63" w:rsidRPr="00755DBE" w:rsidRDefault="00DD4F63" w:rsidP="002178A9">
            <w:pPr>
              <w:keepNext/>
              <w:jc w:val="center"/>
              <w:rPr>
                <w:rFonts w:ascii="Arial Narrow" w:hAnsi="Arial Narrow"/>
                <w:i/>
                <w:iCs/>
                <w:sz w:val="20"/>
                <w:szCs w:val="20"/>
              </w:rPr>
            </w:pPr>
            <w:r w:rsidRPr="00755DBE">
              <w:rPr>
                <w:rFonts w:ascii="Arial Narrow" w:hAnsi="Arial Narrow"/>
                <w:i/>
                <w:iCs/>
                <w:sz w:val="20"/>
                <w:szCs w:val="20"/>
              </w:rPr>
              <w:t>30 mg</w:t>
            </w:r>
          </w:p>
        </w:tc>
        <w:tc>
          <w:tcPr>
            <w:tcW w:w="678" w:type="pct"/>
            <w:vAlign w:val="center"/>
          </w:tcPr>
          <w:p w14:paraId="35DF791E" w14:textId="77777777" w:rsidR="00DD4F63" w:rsidRPr="00755DBE" w:rsidRDefault="00DD4F63" w:rsidP="002178A9">
            <w:pPr>
              <w:keepNext/>
              <w:jc w:val="center"/>
              <w:rPr>
                <w:rFonts w:ascii="Arial Narrow" w:hAnsi="Arial Narrow"/>
                <w:i/>
                <w:iCs/>
                <w:sz w:val="20"/>
                <w:szCs w:val="20"/>
              </w:rPr>
            </w:pPr>
            <w:r w:rsidRPr="00755DBE">
              <w:rPr>
                <w:rFonts w:ascii="Arial Narrow" w:hAnsi="Arial Narrow"/>
                <w:i/>
                <w:iCs/>
                <w:sz w:val="20"/>
                <w:szCs w:val="20"/>
              </w:rPr>
              <w:t>3</w:t>
            </w:r>
          </w:p>
        </w:tc>
      </w:tr>
      <w:tr w:rsidR="005A4BF3" w:rsidRPr="00755DBE" w14:paraId="379BD566" w14:textId="77777777" w:rsidTr="002178A9">
        <w:trPr>
          <w:cantSplit/>
          <w:trHeight w:val="20"/>
        </w:trPr>
        <w:tc>
          <w:tcPr>
            <w:tcW w:w="5000" w:type="pct"/>
            <w:gridSpan w:val="6"/>
            <w:vAlign w:val="center"/>
          </w:tcPr>
          <w:p w14:paraId="1217D6E5" w14:textId="77777777" w:rsidR="005A4BF3" w:rsidRPr="00755DBE" w:rsidRDefault="005A4BF3" w:rsidP="002178A9">
            <w:pPr>
              <w:keepNext/>
              <w:rPr>
                <w:rFonts w:ascii="Arial Narrow" w:hAnsi="Arial Narrow"/>
                <w:b/>
                <w:i/>
                <w:iCs/>
                <w:sz w:val="20"/>
                <w:szCs w:val="20"/>
              </w:rPr>
            </w:pPr>
            <w:r w:rsidRPr="00755DBE">
              <w:rPr>
                <w:rFonts w:ascii="Arial Narrow" w:hAnsi="Arial Narrow"/>
                <w:b/>
                <w:i/>
                <w:iCs/>
                <w:sz w:val="20"/>
                <w:szCs w:val="20"/>
              </w:rPr>
              <w:t xml:space="preserve">Available brands </w:t>
            </w:r>
          </w:p>
        </w:tc>
      </w:tr>
      <w:tr w:rsidR="005A4BF3" w:rsidRPr="00755DBE" w14:paraId="43310CCD" w14:textId="77777777" w:rsidTr="002178A9">
        <w:trPr>
          <w:cantSplit/>
          <w:trHeight w:val="20"/>
        </w:trPr>
        <w:tc>
          <w:tcPr>
            <w:tcW w:w="5000" w:type="pct"/>
            <w:gridSpan w:val="6"/>
            <w:vAlign w:val="center"/>
          </w:tcPr>
          <w:p w14:paraId="70568B75" w14:textId="77777777" w:rsidR="005A4BF3" w:rsidRPr="00755DBE" w:rsidRDefault="005A4BF3" w:rsidP="002178A9">
            <w:pPr>
              <w:keepNext/>
              <w:rPr>
                <w:rFonts w:ascii="Arial Narrow" w:hAnsi="Arial Narrow"/>
                <w:i/>
                <w:iCs/>
                <w:sz w:val="20"/>
                <w:szCs w:val="20"/>
              </w:rPr>
            </w:pPr>
            <w:r w:rsidRPr="00755DBE">
              <w:rPr>
                <w:rFonts w:ascii="Arial Narrow" w:hAnsi="Arial Narrow"/>
                <w:i/>
                <w:iCs/>
                <w:sz w:val="20"/>
                <w:szCs w:val="20"/>
              </w:rPr>
              <w:t xml:space="preserve">Columvi </w:t>
            </w:r>
            <w:r w:rsidRPr="00755DBE">
              <w:rPr>
                <w:rFonts w:ascii="Arial Narrow" w:hAnsi="Arial Narrow"/>
                <w:i/>
                <w:iCs/>
                <w:sz w:val="20"/>
                <w:szCs w:val="20"/>
              </w:rPr>
              <w:br/>
              <w:t>Glofitamab 10 mg injection, 1 vial</w:t>
            </w:r>
          </w:p>
        </w:tc>
      </w:tr>
      <w:tr w:rsidR="005A4BF3" w:rsidRPr="00755DBE" w14:paraId="18E281D1" w14:textId="77777777" w:rsidTr="00DD4F63">
        <w:tblPrEx>
          <w:tblCellMar>
            <w:top w:w="15" w:type="dxa"/>
            <w:bottom w:w="15" w:type="dxa"/>
          </w:tblCellMar>
          <w:tblLook w:val="04A0" w:firstRow="1" w:lastRow="0" w:firstColumn="1" w:lastColumn="0" w:noHBand="0" w:noVBand="1"/>
        </w:tblPrEx>
        <w:trPr>
          <w:cantSplit/>
          <w:trHeight w:val="20"/>
        </w:trPr>
        <w:tc>
          <w:tcPr>
            <w:tcW w:w="710" w:type="pct"/>
            <w:vMerge w:val="restart"/>
          </w:tcPr>
          <w:p w14:paraId="4BC4F3B5" w14:textId="77777777" w:rsidR="005A4BF3" w:rsidRPr="00755DBE" w:rsidRDefault="005A4BF3" w:rsidP="002178A9">
            <w:pPr>
              <w:keepNext/>
              <w:jc w:val="center"/>
              <w:rPr>
                <w:rFonts w:ascii="Arial Narrow" w:hAnsi="Arial Narrow"/>
                <w:b/>
                <w:i/>
                <w:iCs/>
                <w:sz w:val="20"/>
                <w:szCs w:val="20"/>
              </w:rPr>
            </w:pPr>
            <w:r w:rsidRPr="00755DBE">
              <w:rPr>
                <w:rFonts w:ascii="Arial Narrow" w:hAnsi="Arial Narrow"/>
                <w:b/>
                <w:i/>
                <w:iCs/>
                <w:sz w:val="20"/>
                <w:szCs w:val="20"/>
              </w:rPr>
              <w:t xml:space="preserve">Concept ID </w:t>
            </w:r>
            <w:r w:rsidRPr="00755DBE">
              <w:rPr>
                <w:rFonts w:ascii="Arial Narrow" w:hAnsi="Arial Narrow"/>
                <w:i/>
                <w:iCs/>
                <w:sz w:val="20"/>
                <w:szCs w:val="20"/>
              </w:rPr>
              <w:t>(for internal Dept. use)</w:t>
            </w:r>
          </w:p>
        </w:tc>
        <w:tc>
          <w:tcPr>
            <w:tcW w:w="4290" w:type="pct"/>
            <w:gridSpan w:val="5"/>
          </w:tcPr>
          <w:p w14:paraId="5DC63B6C" w14:textId="77777777" w:rsidR="005A4BF3" w:rsidRPr="00755DBE" w:rsidRDefault="005A4BF3" w:rsidP="002178A9">
            <w:pPr>
              <w:keepNext/>
              <w:rPr>
                <w:rFonts w:ascii="Arial Narrow" w:hAnsi="Arial Narrow"/>
                <w:i/>
                <w:iCs/>
                <w:sz w:val="20"/>
                <w:szCs w:val="20"/>
              </w:rPr>
            </w:pPr>
            <w:r w:rsidRPr="00755DBE">
              <w:rPr>
                <w:rFonts w:ascii="Arial Narrow" w:hAnsi="Arial Narrow"/>
                <w:b/>
                <w:i/>
                <w:iCs/>
                <w:sz w:val="20"/>
                <w:szCs w:val="20"/>
              </w:rPr>
              <w:t xml:space="preserve">Category / Program: </w:t>
            </w:r>
            <w:r w:rsidRPr="00755DBE">
              <w:rPr>
                <w:rFonts w:ascii="Arial Narrow" w:hAnsi="Arial Narrow"/>
                <w:i/>
                <w:iCs/>
                <w:sz w:val="20"/>
                <w:szCs w:val="20"/>
              </w:rPr>
              <w:t>Section 100 – Efficient Funding of Chemotherapy Public/Private hospitals</w:t>
            </w:r>
          </w:p>
        </w:tc>
      </w:tr>
      <w:tr w:rsidR="005A4BF3" w:rsidRPr="00755DBE" w14:paraId="48D22655" w14:textId="77777777" w:rsidTr="00DD4F63">
        <w:tblPrEx>
          <w:tblCellMar>
            <w:top w:w="15" w:type="dxa"/>
            <w:bottom w:w="15" w:type="dxa"/>
          </w:tblCellMar>
          <w:tblLook w:val="04A0" w:firstRow="1" w:lastRow="0" w:firstColumn="1" w:lastColumn="0" w:noHBand="0" w:noVBand="1"/>
        </w:tblPrEx>
        <w:trPr>
          <w:cantSplit/>
          <w:trHeight w:val="20"/>
        </w:trPr>
        <w:tc>
          <w:tcPr>
            <w:tcW w:w="710" w:type="pct"/>
            <w:vMerge/>
          </w:tcPr>
          <w:p w14:paraId="449AF1C3" w14:textId="77777777" w:rsidR="005A4BF3" w:rsidRPr="00755DBE" w:rsidRDefault="005A4BF3" w:rsidP="002178A9">
            <w:pPr>
              <w:keepNext/>
              <w:rPr>
                <w:rFonts w:ascii="Arial Narrow" w:hAnsi="Arial Narrow"/>
                <w:i/>
                <w:iCs/>
                <w:sz w:val="20"/>
                <w:szCs w:val="20"/>
              </w:rPr>
            </w:pPr>
          </w:p>
        </w:tc>
        <w:tc>
          <w:tcPr>
            <w:tcW w:w="4290" w:type="pct"/>
            <w:gridSpan w:val="5"/>
          </w:tcPr>
          <w:p w14:paraId="0739A095" w14:textId="77777777" w:rsidR="005A4BF3" w:rsidRPr="00755DBE" w:rsidRDefault="005A4BF3" w:rsidP="002178A9">
            <w:pPr>
              <w:keepNext/>
              <w:rPr>
                <w:rFonts w:ascii="Arial Narrow" w:hAnsi="Arial Narrow"/>
                <w:b/>
                <w:i/>
                <w:iCs/>
                <w:sz w:val="20"/>
                <w:szCs w:val="20"/>
              </w:rPr>
            </w:pPr>
            <w:r w:rsidRPr="00755DBE">
              <w:rPr>
                <w:rFonts w:ascii="Arial Narrow" w:hAnsi="Arial Narrow"/>
                <w:b/>
                <w:i/>
                <w:iCs/>
                <w:sz w:val="20"/>
                <w:szCs w:val="20"/>
              </w:rPr>
              <w:t xml:space="preserve">Prescriber type: </w:t>
            </w:r>
            <w:r w:rsidRPr="00755DBE">
              <w:rPr>
                <w:rFonts w:ascii="Arial Narrow" w:hAnsi="Arial Narrow"/>
                <w:i/>
                <w:iCs/>
                <w:sz w:val="20"/>
                <w:szCs w:val="20"/>
              </w:rPr>
              <w:fldChar w:fldCharType="begin" w:fldLock="1">
                <w:ffData>
                  <w:name w:val=""/>
                  <w:enabled/>
                  <w:calcOnExit w:val="0"/>
                  <w:checkBox>
                    <w:sizeAuto/>
                    <w:default w:val="1"/>
                  </w:checkBox>
                </w:ffData>
              </w:fldChar>
            </w:r>
            <w:r w:rsidRPr="00755DBE">
              <w:rPr>
                <w:rFonts w:ascii="Arial Narrow" w:hAnsi="Arial Narrow"/>
                <w:i/>
                <w:iCs/>
                <w:sz w:val="20"/>
                <w:szCs w:val="20"/>
              </w:rPr>
              <w:instrText xml:space="preserve"> FORMCHECKBOX </w:instrText>
            </w:r>
            <w:r w:rsidRPr="00755DBE">
              <w:rPr>
                <w:rFonts w:ascii="Arial Narrow" w:hAnsi="Arial Narrow"/>
                <w:i/>
                <w:iCs/>
                <w:sz w:val="20"/>
                <w:szCs w:val="20"/>
              </w:rPr>
            </w:r>
            <w:r w:rsidRPr="00755DBE">
              <w:rPr>
                <w:rFonts w:ascii="Arial Narrow" w:hAnsi="Arial Narrow"/>
                <w:i/>
                <w:iCs/>
                <w:sz w:val="20"/>
                <w:szCs w:val="20"/>
              </w:rPr>
              <w:fldChar w:fldCharType="separate"/>
            </w:r>
            <w:r w:rsidRPr="00755DBE">
              <w:rPr>
                <w:rFonts w:ascii="Arial Narrow" w:hAnsi="Arial Narrow"/>
                <w:i/>
                <w:iCs/>
                <w:sz w:val="20"/>
                <w:szCs w:val="20"/>
              </w:rPr>
              <w:fldChar w:fldCharType="end"/>
            </w:r>
            <w:r w:rsidRPr="00755DBE">
              <w:rPr>
                <w:rFonts w:ascii="Arial Narrow" w:hAnsi="Arial Narrow"/>
                <w:i/>
                <w:iCs/>
                <w:sz w:val="20"/>
                <w:szCs w:val="20"/>
              </w:rPr>
              <w:t xml:space="preserve">Medical Practitioners </w:t>
            </w:r>
          </w:p>
        </w:tc>
      </w:tr>
      <w:tr w:rsidR="005A4BF3" w:rsidRPr="00755DBE" w14:paraId="21E8C62F" w14:textId="77777777" w:rsidTr="00DD4F63">
        <w:tblPrEx>
          <w:tblCellMar>
            <w:top w:w="15" w:type="dxa"/>
            <w:bottom w:w="15" w:type="dxa"/>
          </w:tblCellMar>
          <w:tblLook w:val="04A0" w:firstRow="1" w:lastRow="0" w:firstColumn="1" w:lastColumn="0" w:noHBand="0" w:noVBand="1"/>
        </w:tblPrEx>
        <w:trPr>
          <w:cantSplit/>
          <w:trHeight w:val="20"/>
        </w:trPr>
        <w:tc>
          <w:tcPr>
            <w:tcW w:w="710" w:type="pct"/>
            <w:vMerge/>
          </w:tcPr>
          <w:p w14:paraId="4115592E" w14:textId="77777777" w:rsidR="005A4BF3" w:rsidRPr="00755DBE" w:rsidRDefault="005A4BF3" w:rsidP="002178A9">
            <w:pPr>
              <w:rPr>
                <w:rFonts w:ascii="Arial Narrow" w:hAnsi="Arial Narrow"/>
                <w:i/>
                <w:iCs/>
                <w:sz w:val="20"/>
                <w:szCs w:val="20"/>
              </w:rPr>
            </w:pPr>
          </w:p>
        </w:tc>
        <w:tc>
          <w:tcPr>
            <w:tcW w:w="4290" w:type="pct"/>
            <w:gridSpan w:val="5"/>
          </w:tcPr>
          <w:p w14:paraId="6B0B0C6E" w14:textId="77777777" w:rsidR="005A4BF3" w:rsidRPr="00755DBE" w:rsidRDefault="005A4BF3" w:rsidP="002178A9">
            <w:pPr>
              <w:rPr>
                <w:rFonts w:ascii="Arial Narrow" w:eastAsia="Calibri" w:hAnsi="Arial Narrow"/>
                <w:i/>
                <w:iCs/>
                <w:sz w:val="20"/>
                <w:szCs w:val="20"/>
              </w:rPr>
            </w:pPr>
            <w:r w:rsidRPr="00755DBE">
              <w:rPr>
                <w:rFonts w:ascii="Arial Narrow" w:hAnsi="Arial Narrow"/>
                <w:b/>
                <w:i/>
                <w:iCs/>
                <w:sz w:val="20"/>
                <w:szCs w:val="20"/>
              </w:rPr>
              <w:t xml:space="preserve">Restriction type: </w:t>
            </w:r>
            <w:r w:rsidRPr="00755DBE">
              <w:rPr>
                <w:rFonts w:ascii="Arial Narrow" w:eastAsia="Calibri" w:hAnsi="Arial Narrow"/>
                <w:i/>
                <w:iCs/>
                <w:sz w:val="20"/>
                <w:szCs w:val="20"/>
              </w:rPr>
              <w:fldChar w:fldCharType="begin" w:fldLock="1">
                <w:ffData>
                  <w:name w:val="Check3"/>
                  <w:enabled/>
                  <w:calcOnExit w:val="0"/>
                  <w:checkBox>
                    <w:sizeAuto/>
                    <w:default w:val="1"/>
                  </w:checkBox>
                </w:ffData>
              </w:fldChar>
            </w:r>
            <w:r w:rsidRPr="00755DBE">
              <w:rPr>
                <w:rFonts w:ascii="Arial Narrow" w:eastAsia="Calibri" w:hAnsi="Arial Narrow"/>
                <w:i/>
                <w:iCs/>
                <w:sz w:val="20"/>
                <w:szCs w:val="20"/>
              </w:rPr>
              <w:instrText xml:space="preserve"> FORMCHECKBOX </w:instrText>
            </w:r>
            <w:r w:rsidRPr="00755DBE">
              <w:rPr>
                <w:rFonts w:ascii="Arial Narrow" w:eastAsia="Calibri" w:hAnsi="Arial Narrow"/>
                <w:i/>
                <w:iCs/>
                <w:sz w:val="20"/>
                <w:szCs w:val="20"/>
              </w:rPr>
            </w:r>
            <w:r w:rsidRPr="00755DBE">
              <w:rPr>
                <w:rFonts w:ascii="Arial Narrow" w:eastAsia="Calibri" w:hAnsi="Arial Narrow"/>
                <w:i/>
                <w:iCs/>
                <w:sz w:val="20"/>
                <w:szCs w:val="20"/>
              </w:rPr>
              <w:fldChar w:fldCharType="separate"/>
            </w:r>
            <w:r w:rsidRPr="00755DBE">
              <w:rPr>
                <w:rFonts w:ascii="Arial Narrow" w:eastAsia="Calibri" w:hAnsi="Arial Narrow"/>
                <w:i/>
                <w:iCs/>
                <w:sz w:val="20"/>
                <w:szCs w:val="20"/>
              </w:rPr>
              <w:fldChar w:fldCharType="end"/>
            </w:r>
            <w:r w:rsidRPr="00755DBE">
              <w:rPr>
                <w:rFonts w:ascii="Arial Narrow" w:eastAsia="Calibri" w:hAnsi="Arial Narrow"/>
                <w:i/>
                <w:iCs/>
                <w:sz w:val="20"/>
                <w:szCs w:val="20"/>
              </w:rPr>
              <w:t xml:space="preserve">Authority Required (telephone/online PBS Authorities system) </w:t>
            </w:r>
          </w:p>
        </w:tc>
      </w:tr>
      <w:tr w:rsidR="005A4BF3" w:rsidRPr="00755DBE" w14:paraId="61F37DCC" w14:textId="77777777" w:rsidTr="00DD4F63">
        <w:tblPrEx>
          <w:tblCellMar>
            <w:top w:w="15" w:type="dxa"/>
            <w:bottom w:w="15" w:type="dxa"/>
          </w:tblCellMar>
          <w:tblLook w:val="04A0" w:firstRow="1" w:lastRow="0" w:firstColumn="1" w:lastColumn="0" w:noHBand="0" w:noVBand="1"/>
        </w:tblPrEx>
        <w:trPr>
          <w:cantSplit/>
          <w:trHeight w:val="20"/>
        </w:trPr>
        <w:tc>
          <w:tcPr>
            <w:tcW w:w="710" w:type="pct"/>
            <w:vMerge w:val="restart"/>
            <w:vAlign w:val="center"/>
          </w:tcPr>
          <w:p w14:paraId="7A07B40A" w14:textId="77777777" w:rsidR="005A4BF3" w:rsidRPr="00755DBE" w:rsidRDefault="005A4BF3" w:rsidP="002178A9">
            <w:pPr>
              <w:keepLines/>
              <w:jc w:val="center"/>
              <w:rPr>
                <w:rFonts w:ascii="Arial Narrow" w:hAnsi="Arial Narrow"/>
                <w:i/>
                <w:iCs/>
                <w:sz w:val="20"/>
                <w:szCs w:val="20"/>
              </w:rPr>
            </w:pPr>
          </w:p>
        </w:tc>
        <w:tc>
          <w:tcPr>
            <w:tcW w:w="4290" w:type="pct"/>
            <w:gridSpan w:val="5"/>
            <w:vAlign w:val="center"/>
          </w:tcPr>
          <w:p w14:paraId="1492E1F7" w14:textId="77777777" w:rsidR="005A4BF3" w:rsidRPr="00755DBE" w:rsidRDefault="005A4BF3" w:rsidP="002178A9">
            <w:pPr>
              <w:keepLines/>
              <w:rPr>
                <w:rFonts w:ascii="Arial Narrow" w:hAnsi="Arial Narrow"/>
                <w:bCs/>
                <w:i/>
                <w:iCs/>
                <w:sz w:val="20"/>
                <w:szCs w:val="20"/>
              </w:rPr>
            </w:pPr>
            <w:proofErr w:type="spellStart"/>
            <w:r w:rsidRPr="00755DBE">
              <w:rPr>
                <w:rFonts w:ascii="Arial Narrow" w:hAnsi="Arial Narrow"/>
                <w:b/>
                <w:bCs/>
                <w:i/>
                <w:iCs/>
                <w:sz w:val="20"/>
                <w:szCs w:val="20"/>
              </w:rPr>
              <w:t>Episodicity</w:t>
            </w:r>
            <w:proofErr w:type="spellEnd"/>
            <w:r w:rsidRPr="00755DBE">
              <w:rPr>
                <w:rFonts w:ascii="Arial Narrow" w:hAnsi="Arial Narrow"/>
                <w:b/>
                <w:bCs/>
                <w:i/>
                <w:iCs/>
                <w:sz w:val="20"/>
                <w:szCs w:val="20"/>
              </w:rPr>
              <w:t>:</w:t>
            </w:r>
            <w:r w:rsidRPr="00755DBE">
              <w:rPr>
                <w:rFonts w:ascii="Arial Narrow" w:hAnsi="Arial Narrow"/>
                <w:bCs/>
                <w:i/>
                <w:iCs/>
                <w:sz w:val="20"/>
                <w:szCs w:val="20"/>
              </w:rPr>
              <w:t xml:space="preserve"> [blank]</w:t>
            </w:r>
          </w:p>
        </w:tc>
      </w:tr>
      <w:tr w:rsidR="005A4BF3" w:rsidRPr="00755DBE" w14:paraId="5C8F0297" w14:textId="77777777" w:rsidTr="00DD4F63">
        <w:tblPrEx>
          <w:tblCellMar>
            <w:top w:w="15" w:type="dxa"/>
            <w:bottom w:w="15" w:type="dxa"/>
          </w:tblCellMar>
          <w:tblLook w:val="04A0" w:firstRow="1" w:lastRow="0" w:firstColumn="1" w:lastColumn="0" w:noHBand="0" w:noVBand="1"/>
        </w:tblPrEx>
        <w:trPr>
          <w:cantSplit/>
          <w:trHeight w:val="20"/>
        </w:trPr>
        <w:tc>
          <w:tcPr>
            <w:tcW w:w="710" w:type="pct"/>
            <w:vMerge/>
            <w:vAlign w:val="center"/>
          </w:tcPr>
          <w:p w14:paraId="552DD65F" w14:textId="77777777" w:rsidR="005A4BF3" w:rsidRPr="00755DBE" w:rsidRDefault="005A4BF3" w:rsidP="002178A9">
            <w:pPr>
              <w:keepLines/>
              <w:jc w:val="center"/>
              <w:rPr>
                <w:rFonts w:ascii="Arial Narrow" w:hAnsi="Arial Narrow"/>
                <w:i/>
                <w:iCs/>
                <w:sz w:val="20"/>
                <w:szCs w:val="20"/>
              </w:rPr>
            </w:pPr>
          </w:p>
        </w:tc>
        <w:tc>
          <w:tcPr>
            <w:tcW w:w="4290" w:type="pct"/>
            <w:gridSpan w:val="5"/>
            <w:vAlign w:val="center"/>
          </w:tcPr>
          <w:p w14:paraId="5A85DD7E" w14:textId="77777777" w:rsidR="005A4BF3" w:rsidRPr="00755DBE" w:rsidRDefault="005A4BF3" w:rsidP="002178A9">
            <w:pPr>
              <w:keepLines/>
              <w:rPr>
                <w:rFonts w:ascii="Arial Narrow" w:hAnsi="Arial Narrow"/>
                <w:b/>
                <w:bCs/>
                <w:i/>
                <w:iCs/>
                <w:sz w:val="20"/>
                <w:szCs w:val="20"/>
              </w:rPr>
            </w:pPr>
            <w:r w:rsidRPr="00755DBE">
              <w:rPr>
                <w:rFonts w:ascii="Arial Narrow" w:hAnsi="Arial Narrow"/>
                <w:b/>
                <w:bCs/>
                <w:i/>
                <w:iCs/>
                <w:sz w:val="20"/>
                <w:szCs w:val="20"/>
              </w:rPr>
              <w:t xml:space="preserve">Severity: </w:t>
            </w:r>
            <w:r w:rsidRPr="00755DBE">
              <w:rPr>
                <w:rFonts w:ascii="Arial Narrow" w:hAnsi="Arial Narrow"/>
                <w:bCs/>
                <w:i/>
                <w:iCs/>
                <w:sz w:val="20"/>
                <w:szCs w:val="20"/>
              </w:rPr>
              <w:t>Relapsed or refractory</w:t>
            </w:r>
          </w:p>
        </w:tc>
      </w:tr>
      <w:tr w:rsidR="005A4BF3" w:rsidRPr="00755DBE" w14:paraId="30ED8558" w14:textId="77777777" w:rsidTr="00DD4F63">
        <w:tblPrEx>
          <w:tblCellMar>
            <w:top w:w="15" w:type="dxa"/>
            <w:bottom w:w="15" w:type="dxa"/>
          </w:tblCellMar>
          <w:tblLook w:val="04A0" w:firstRow="1" w:lastRow="0" w:firstColumn="1" w:lastColumn="0" w:noHBand="0" w:noVBand="1"/>
        </w:tblPrEx>
        <w:trPr>
          <w:cantSplit/>
          <w:trHeight w:val="20"/>
        </w:trPr>
        <w:tc>
          <w:tcPr>
            <w:tcW w:w="710" w:type="pct"/>
            <w:vMerge/>
            <w:vAlign w:val="center"/>
          </w:tcPr>
          <w:p w14:paraId="75633032" w14:textId="77777777" w:rsidR="005A4BF3" w:rsidRPr="00755DBE" w:rsidRDefault="005A4BF3" w:rsidP="002178A9">
            <w:pPr>
              <w:keepLines/>
              <w:jc w:val="center"/>
              <w:rPr>
                <w:rFonts w:ascii="Arial Narrow" w:hAnsi="Arial Narrow"/>
                <w:i/>
                <w:iCs/>
                <w:sz w:val="20"/>
                <w:szCs w:val="20"/>
              </w:rPr>
            </w:pPr>
          </w:p>
        </w:tc>
        <w:tc>
          <w:tcPr>
            <w:tcW w:w="4290" w:type="pct"/>
            <w:gridSpan w:val="5"/>
            <w:vAlign w:val="center"/>
          </w:tcPr>
          <w:p w14:paraId="793CEA18" w14:textId="77777777" w:rsidR="005A4BF3" w:rsidRPr="00755DBE" w:rsidRDefault="005A4BF3" w:rsidP="002178A9">
            <w:pPr>
              <w:keepLines/>
              <w:rPr>
                <w:rFonts w:ascii="Arial Narrow" w:hAnsi="Arial Narrow"/>
                <w:b/>
                <w:bCs/>
                <w:i/>
                <w:iCs/>
                <w:sz w:val="20"/>
                <w:szCs w:val="20"/>
              </w:rPr>
            </w:pPr>
            <w:r w:rsidRPr="00755DBE">
              <w:rPr>
                <w:rFonts w:ascii="Arial Narrow" w:hAnsi="Arial Narrow"/>
                <w:b/>
                <w:bCs/>
                <w:i/>
                <w:iCs/>
                <w:sz w:val="20"/>
                <w:szCs w:val="20"/>
              </w:rPr>
              <w:t xml:space="preserve">Condition: </w:t>
            </w:r>
            <w:r w:rsidRPr="00755DBE">
              <w:rPr>
                <w:rFonts w:ascii="Arial Narrow" w:hAnsi="Arial Narrow"/>
                <w:bCs/>
                <w:i/>
                <w:iCs/>
                <w:sz w:val="20"/>
                <w:szCs w:val="20"/>
              </w:rPr>
              <w:t>Diffuse large b-cell lymphoma (DLBCL)</w:t>
            </w:r>
          </w:p>
        </w:tc>
      </w:tr>
      <w:tr w:rsidR="005A4BF3" w:rsidRPr="00755DBE" w14:paraId="4EA32B88" w14:textId="77777777" w:rsidTr="002178A9">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32146BB" w14:textId="77777777" w:rsidR="005A4BF3" w:rsidRPr="00755DBE" w:rsidRDefault="005A4BF3" w:rsidP="002178A9">
            <w:pPr>
              <w:keepLines/>
              <w:rPr>
                <w:rFonts w:ascii="Arial Narrow" w:hAnsi="Arial Narrow"/>
                <w:i/>
                <w:iCs/>
                <w:sz w:val="20"/>
                <w:szCs w:val="20"/>
              </w:rPr>
            </w:pPr>
            <w:r w:rsidRPr="00755DBE">
              <w:rPr>
                <w:rFonts w:ascii="Arial Narrow" w:hAnsi="Arial Narrow"/>
                <w:b/>
                <w:i/>
                <w:iCs/>
                <w:sz w:val="20"/>
                <w:szCs w:val="20"/>
              </w:rPr>
              <w:t>Restriction Summary [new5] / Treatment of Concept: [new5A]</w:t>
            </w:r>
          </w:p>
        </w:tc>
      </w:tr>
      <w:tr w:rsidR="005A4BF3" w:rsidRPr="00755DBE" w14:paraId="731743CD" w14:textId="77777777" w:rsidTr="00DD4F63">
        <w:tblPrEx>
          <w:tblCellMar>
            <w:top w:w="15" w:type="dxa"/>
            <w:bottom w:w="15" w:type="dxa"/>
          </w:tblCellMar>
          <w:tblLook w:val="04A0" w:firstRow="1" w:lastRow="0" w:firstColumn="1" w:lastColumn="0" w:noHBand="0" w:noVBand="1"/>
        </w:tblPrEx>
        <w:trPr>
          <w:cantSplit/>
          <w:trHeight w:val="20"/>
        </w:trPr>
        <w:tc>
          <w:tcPr>
            <w:tcW w:w="710" w:type="pct"/>
            <w:vAlign w:val="center"/>
          </w:tcPr>
          <w:p w14:paraId="64C9D1B4" w14:textId="1DDEF837" w:rsidR="005A4BF3" w:rsidRPr="00755DBE" w:rsidRDefault="005A4BF3" w:rsidP="002178A9">
            <w:pPr>
              <w:keepLines/>
              <w:jc w:val="center"/>
              <w:rPr>
                <w:rFonts w:ascii="Arial Narrow" w:hAnsi="Arial Narrow"/>
                <w:i/>
                <w:iCs/>
                <w:sz w:val="20"/>
                <w:szCs w:val="20"/>
              </w:rPr>
            </w:pPr>
          </w:p>
        </w:tc>
        <w:tc>
          <w:tcPr>
            <w:tcW w:w="4290" w:type="pct"/>
            <w:gridSpan w:val="5"/>
            <w:vAlign w:val="center"/>
          </w:tcPr>
          <w:p w14:paraId="2D7EC34E" w14:textId="77777777" w:rsidR="005A4BF3" w:rsidRPr="00755DBE" w:rsidRDefault="005A4BF3" w:rsidP="002178A9">
            <w:pPr>
              <w:keepLines/>
              <w:rPr>
                <w:rFonts w:ascii="Arial Narrow" w:hAnsi="Arial Narrow"/>
                <w:b/>
                <w:bCs/>
                <w:i/>
                <w:iCs/>
                <w:sz w:val="20"/>
                <w:szCs w:val="20"/>
              </w:rPr>
            </w:pPr>
            <w:r w:rsidRPr="00755DBE">
              <w:rPr>
                <w:rFonts w:ascii="Arial Narrow" w:hAnsi="Arial Narrow"/>
                <w:b/>
                <w:bCs/>
                <w:i/>
                <w:iCs/>
                <w:sz w:val="20"/>
                <w:szCs w:val="20"/>
              </w:rPr>
              <w:t>Indication:</w:t>
            </w:r>
            <w:r w:rsidRPr="00755DBE">
              <w:rPr>
                <w:rFonts w:ascii="Arial Narrow" w:hAnsi="Arial Narrow"/>
                <w:i/>
                <w:iCs/>
                <w:sz w:val="20"/>
                <w:szCs w:val="20"/>
              </w:rPr>
              <w:t xml:space="preserve"> Relapsed or refractory Diffuse large b-cell lymphoma (DLBCL)</w:t>
            </w:r>
          </w:p>
        </w:tc>
      </w:tr>
      <w:tr w:rsidR="005A4BF3" w:rsidRPr="00755DBE" w14:paraId="00CF39BD" w14:textId="77777777" w:rsidTr="00DD4F63">
        <w:tblPrEx>
          <w:tblCellMar>
            <w:top w:w="15" w:type="dxa"/>
            <w:bottom w:w="15" w:type="dxa"/>
          </w:tblCellMar>
          <w:tblLook w:val="04A0" w:firstRow="1" w:lastRow="0" w:firstColumn="1" w:lastColumn="0" w:noHBand="0" w:noVBand="1"/>
        </w:tblPrEx>
        <w:trPr>
          <w:cantSplit/>
          <w:trHeight w:val="20"/>
        </w:trPr>
        <w:tc>
          <w:tcPr>
            <w:tcW w:w="710" w:type="pct"/>
            <w:vAlign w:val="center"/>
            <w:hideMark/>
          </w:tcPr>
          <w:p w14:paraId="5E90FFB7" w14:textId="77777777" w:rsidR="005A4BF3" w:rsidRPr="00755DBE" w:rsidRDefault="005A4BF3" w:rsidP="002178A9">
            <w:pPr>
              <w:jc w:val="center"/>
              <w:rPr>
                <w:rFonts w:ascii="Arial Narrow" w:hAnsi="Arial Narrow"/>
                <w:i/>
                <w:iCs/>
                <w:sz w:val="20"/>
                <w:szCs w:val="20"/>
              </w:rPr>
            </w:pPr>
          </w:p>
        </w:tc>
        <w:tc>
          <w:tcPr>
            <w:tcW w:w="4290" w:type="pct"/>
            <w:gridSpan w:val="5"/>
            <w:vAlign w:val="center"/>
            <w:hideMark/>
          </w:tcPr>
          <w:p w14:paraId="7BAEED36" w14:textId="77777777" w:rsidR="005A4BF3" w:rsidRPr="00755DBE" w:rsidRDefault="005A4BF3" w:rsidP="002178A9">
            <w:pPr>
              <w:rPr>
                <w:rFonts w:ascii="Arial Narrow" w:hAnsi="Arial Narrow"/>
                <w:i/>
                <w:iCs/>
                <w:sz w:val="20"/>
                <w:szCs w:val="20"/>
              </w:rPr>
            </w:pPr>
            <w:r w:rsidRPr="00755DBE">
              <w:rPr>
                <w:rFonts w:ascii="Arial Narrow" w:hAnsi="Arial Narrow"/>
                <w:b/>
                <w:bCs/>
                <w:i/>
                <w:iCs/>
                <w:sz w:val="20"/>
                <w:szCs w:val="20"/>
              </w:rPr>
              <w:t>Treatment Phase:</w:t>
            </w:r>
            <w:r w:rsidRPr="00755DBE">
              <w:rPr>
                <w:rFonts w:ascii="Arial Narrow" w:hAnsi="Arial Narrow"/>
                <w:i/>
                <w:iCs/>
                <w:sz w:val="20"/>
                <w:szCs w:val="20"/>
              </w:rPr>
              <w:t xml:space="preserve"> Continuing treatment </w:t>
            </w:r>
            <w:r w:rsidRPr="00755DBE">
              <w:rPr>
                <w:rFonts w:ascii="Arial Narrow" w:hAnsi="Arial Narrow"/>
                <w:i/>
                <w:iCs/>
                <w:spacing w:val="-2"/>
                <w:sz w:val="20"/>
                <w:szCs w:val="20"/>
              </w:rPr>
              <w:t>(cycles 9-12)</w:t>
            </w:r>
          </w:p>
        </w:tc>
      </w:tr>
      <w:tr w:rsidR="005A4BF3" w:rsidRPr="00755DBE" w14:paraId="3279671D" w14:textId="77777777" w:rsidTr="00DD4F63">
        <w:tblPrEx>
          <w:tblCellMar>
            <w:top w:w="15" w:type="dxa"/>
            <w:bottom w:w="15" w:type="dxa"/>
          </w:tblCellMar>
          <w:tblLook w:val="04A0" w:firstRow="1" w:lastRow="0" w:firstColumn="1" w:lastColumn="0" w:noHBand="0" w:noVBand="1"/>
        </w:tblPrEx>
        <w:trPr>
          <w:cantSplit/>
          <w:trHeight w:val="20"/>
        </w:trPr>
        <w:tc>
          <w:tcPr>
            <w:tcW w:w="710" w:type="pct"/>
            <w:vAlign w:val="center"/>
            <w:hideMark/>
          </w:tcPr>
          <w:p w14:paraId="28E6CAB9" w14:textId="77777777" w:rsidR="005A4BF3" w:rsidRPr="00755DBE" w:rsidRDefault="005A4BF3" w:rsidP="002178A9">
            <w:pPr>
              <w:jc w:val="center"/>
              <w:rPr>
                <w:rFonts w:ascii="Arial Narrow" w:hAnsi="Arial Narrow"/>
                <w:i/>
                <w:iCs/>
                <w:sz w:val="20"/>
                <w:szCs w:val="20"/>
              </w:rPr>
            </w:pPr>
          </w:p>
        </w:tc>
        <w:tc>
          <w:tcPr>
            <w:tcW w:w="4290" w:type="pct"/>
            <w:gridSpan w:val="5"/>
            <w:vAlign w:val="center"/>
            <w:hideMark/>
          </w:tcPr>
          <w:p w14:paraId="38FBE47D" w14:textId="77777777" w:rsidR="005A4BF3" w:rsidRPr="00755DBE" w:rsidRDefault="005A4BF3" w:rsidP="002178A9">
            <w:pPr>
              <w:rPr>
                <w:rFonts w:ascii="Arial Narrow" w:hAnsi="Arial Narrow"/>
                <w:i/>
                <w:iCs/>
                <w:sz w:val="20"/>
                <w:szCs w:val="20"/>
              </w:rPr>
            </w:pPr>
            <w:r w:rsidRPr="00755DBE">
              <w:rPr>
                <w:rFonts w:ascii="Arial Narrow" w:hAnsi="Arial Narrow"/>
                <w:b/>
                <w:bCs/>
                <w:i/>
                <w:iCs/>
                <w:sz w:val="20"/>
                <w:szCs w:val="20"/>
              </w:rPr>
              <w:t xml:space="preserve">Clinical criteria: </w:t>
            </w:r>
          </w:p>
        </w:tc>
      </w:tr>
      <w:tr w:rsidR="005A4BF3" w:rsidRPr="00755DBE" w14:paraId="05AA9118" w14:textId="77777777" w:rsidTr="00DD4F63">
        <w:tblPrEx>
          <w:tblCellMar>
            <w:top w:w="15" w:type="dxa"/>
            <w:bottom w:w="15" w:type="dxa"/>
          </w:tblCellMar>
          <w:tblLook w:val="04A0" w:firstRow="1" w:lastRow="0" w:firstColumn="1" w:lastColumn="0" w:noHBand="0" w:noVBand="1"/>
        </w:tblPrEx>
        <w:trPr>
          <w:cantSplit/>
          <w:trHeight w:val="20"/>
        </w:trPr>
        <w:tc>
          <w:tcPr>
            <w:tcW w:w="710" w:type="pct"/>
            <w:vAlign w:val="center"/>
          </w:tcPr>
          <w:p w14:paraId="7675A1A4" w14:textId="77777777" w:rsidR="005A4BF3" w:rsidRPr="00755DBE" w:rsidRDefault="005A4BF3" w:rsidP="002178A9">
            <w:pPr>
              <w:jc w:val="center"/>
              <w:rPr>
                <w:rFonts w:ascii="Arial Narrow" w:hAnsi="Arial Narrow"/>
                <w:i/>
                <w:iCs/>
                <w:sz w:val="20"/>
                <w:szCs w:val="20"/>
              </w:rPr>
            </w:pPr>
          </w:p>
        </w:tc>
        <w:tc>
          <w:tcPr>
            <w:tcW w:w="4290" w:type="pct"/>
            <w:gridSpan w:val="5"/>
            <w:vAlign w:val="center"/>
          </w:tcPr>
          <w:p w14:paraId="19C7162E" w14:textId="77777777" w:rsidR="005A4BF3" w:rsidRPr="00755DBE" w:rsidRDefault="005A4BF3" w:rsidP="002178A9">
            <w:pPr>
              <w:rPr>
                <w:rFonts w:ascii="Arial Narrow" w:hAnsi="Arial Narrow"/>
                <w:i/>
                <w:iCs/>
                <w:sz w:val="20"/>
                <w:szCs w:val="20"/>
              </w:rPr>
            </w:pPr>
            <w:r w:rsidRPr="00755DBE">
              <w:rPr>
                <w:rFonts w:ascii="Arial Narrow" w:hAnsi="Arial Narrow"/>
                <w:i/>
                <w:iCs/>
                <w:sz w:val="20"/>
                <w:szCs w:val="20"/>
              </w:rPr>
              <w:t>Patient must have previously received PBS-subsidised treatment with this drug for this condition.</w:t>
            </w:r>
          </w:p>
        </w:tc>
      </w:tr>
      <w:tr w:rsidR="005A4BF3" w:rsidRPr="00755DBE" w14:paraId="61225CD3" w14:textId="77777777" w:rsidTr="00DD4F63">
        <w:tblPrEx>
          <w:tblCellMar>
            <w:top w:w="15" w:type="dxa"/>
            <w:bottom w:w="15" w:type="dxa"/>
          </w:tblCellMar>
          <w:tblLook w:val="04A0" w:firstRow="1" w:lastRow="0" w:firstColumn="1" w:lastColumn="0" w:noHBand="0" w:noVBand="1"/>
        </w:tblPrEx>
        <w:trPr>
          <w:cantSplit/>
          <w:trHeight w:val="20"/>
        </w:trPr>
        <w:tc>
          <w:tcPr>
            <w:tcW w:w="710" w:type="pct"/>
          </w:tcPr>
          <w:p w14:paraId="7B8D09E6" w14:textId="77777777" w:rsidR="005A4BF3" w:rsidRPr="00755DBE" w:rsidRDefault="005A4BF3" w:rsidP="002178A9">
            <w:pPr>
              <w:jc w:val="center"/>
              <w:rPr>
                <w:rFonts w:ascii="Arial Narrow" w:hAnsi="Arial Narrow"/>
                <w:i/>
                <w:iCs/>
                <w:sz w:val="20"/>
                <w:szCs w:val="20"/>
              </w:rPr>
            </w:pPr>
          </w:p>
        </w:tc>
        <w:tc>
          <w:tcPr>
            <w:tcW w:w="4290" w:type="pct"/>
            <w:gridSpan w:val="5"/>
          </w:tcPr>
          <w:p w14:paraId="6CC1C7FE"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pacing w:val="-2"/>
                <w:sz w:val="20"/>
                <w:szCs w:val="20"/>
              </w:rPr>
              <w:t>AND</w:t>
            </w:r>
          </w:p>
        </w:tc>
      </w:tr>
      <w:tr w:rsidR="005A4BF3" w:rsidRPr="00755DBE" w14:paraId="5A826286" w14:textId="77777777" w:rsidTr="00DD4F63">
        <w:tblPrEx>
          <w:tblCellMar>
            <w:top w:w="15" w:type="dxa"/>
            <w:bottom w:w="15" w:type="dxa"/>
          </w:tblCellMar>
          <w:tblLook w:val="04A0" w:firstRow="1" w:lastRow="0" w:firstColumn="1" w:lastColumn="0" w:noHBand="0" w:noVBand="1"/>
        </w:tblPrEx>
        <w:trPr>
          <w:cantSplit/>
          <w:trHeight w:val="20"/>
        </w:trPr>
        <w:tc>
          <w:tcPr>
            <w:tcW w:w="710" w:type="pct"/>
          </w:tcPr>
          <w:p w14:paraId="7E4FE6BC" w14:textId="77777777" w:rsidR="005A4BF3" w:rsidRPr="00755DBE" w:rsidRDefault="005A4BF3" w:rsidP="002178A9">
            <w:pPr>
              <w:jc w:val="center"/>
              <w:rPr>
                <w:rFonts w:ascii="Arial Narrow" w:hAnsi="Arial Narrow"/>
                <w:i/>
                <w:iCs/>
                <w:sz w:val="20"/>
                <w:szCs w:val="20"/>
              </w:rPr>
            </w:pPr>
          </w:p>
        </w:tc>
        <w:tc>
          <w:tcPr>
            <w:tcW w:w="4290" w:type="pct"/>
            <w:gridSpan w:val="5"/>
          </w:tcPr>
          <w:p w14:paraId="5A53C390"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Clinical</w:t>
            </w:r>
            <w:r w:rsidRPr="00755DBE">
              <w:rPr>
                <w:rFonts w:ascii="Arial Narrow" w:hAnsi="Arial Narrow"/>
                <w:b/>
                <w:bCs/>
                <w:i/>
                <w:iCs/>
                <w:spacing w:val="-4"/>
                <w:sz w:val="20"/>
                <w:szCs w:val="20"/>
              </w:rPr>
              <w:t xml:space="preserve"> </w:t>
            </w:r>
            <w:r w:rsidRPr="00755DBE">
              <w:rPr>
                <w:rFonts w:ascii="Arial Narrow" w:hAnsi="Arial Narrow"/>
                <w:b/>
                <w:bCs/>
                <w:i/>
                <w:iCs/>
                <w:spacing w:val="-2"/>
                <w:sz w:val="20"/>
                <w:szCs w:val="20"/>
              </w:rPr>
              <w:t>criteria:</w:t>
            </w:r>
          </w:p>
        </w:tc>
      </w:tr>
      <w:tr w:rsidR="005A4BF3" w:rsidRPr="00755DBE" w14:paraId="40BEDCD9" w14:textId="77777777" w:rsidTr="00DD4F63">
        <w:tblPrEx>
          <w:tblCellMar>
            <w:top w:w="15" w:type="dxa"/>
            <w:bottom w:w="15" w:type="dxa"/>
          </w:tblCellMar>
          <w:tblLook w:val="04A0" w:firstRow="1" w:lastRow="0" w:firstColumn="1" w:lastColumn="0" w:noHBand="0" w:noVBand="1"/>
        </w:tblPrEx>
        <w:trPr>
          <w:cantSplit/>
          <w:trHeight w:val="20"/>
        </w:trPr>
        <w:tc>
          <w:tcPr>
            <w:tcW w:w="710" w:type="pct"/>
            <w:vAlign w:val="center"/>
          </w:tcPr>
          <w:p w14:paraId="570A8825" w14:textId="0DE507A9" w:rsidR="005A4BF3" w:rsidRPr="00755DBE" w:rsidRDefault="005A4BF3" w:rsidP="002178A9">
            <w:pPr>
              <w:jc w:val="center"/>
              <w:rPr>
                <w:rFonts w:ascii="Arial Narrow" w:hAnsi="Arial Narrow"/>
                <w:i/>
                <w:iCs/>
                <w:sz w:val="20"/>
                <w:szCs w:val="20"/>
              </w:rPr>
            </w:pPr>
          </w:p>
        </w:tc>
        <w:tc>
          <w:tcPr>
            <w:tcW w:w="4290" w:type="pct"/>
            <w:gridSpan w:val="5"/>
            <w:vAlign w:val="center"/>
          </w:tcPr>
          <w:p w14:paraId="4A15C8A2" w14:textId="77777777" w:rsidR="005A4BF3" w:rsidRPr="00755DBE" w:rsidRDefault="005A4BF3" w:rsidP="002178A9">
            <w:pPr>
              <w:rPr>
                <w:rFonts w:ascii="Arial Narrow" w:hAnsi="Arial Narrow"/>
                <w:b/>
                <w:bCs/>
                <w:i/>
                <w:iCs/>
                <w:sz w:val="20"/>
                <w:szCs w:val="20"/>
              </w:rPr>
            </w:pPr>
            <w:r w:rsidRPr="00755DBE">
              <w:rPr>
                <w:rFonts w:ascii="Arial Narrow" w:hAnsi="Arial Narrow"/>
                <w:i/>
                <w:iCs/>
                <w:sz w:val="20"/>
                <w:szCs w:val="20"/>
              </w:rPr>
              <w:t>Patient must not have developed disease progression while being treated with this drug for this condition.</w:t>
            </w:r>
          </w:p>
        </w:tc>
      </w:tr>
      <w:tr w:rsidR="005A4BF3" w:rsidRPr="00755DBE" w14:paraId="53C4B5C0" w14:textId="77777777" w:rsidTr="00DD4F63">
        <w:tblPrEx>
          <w:tblCellMar>
            <w:top w:w="15" w:type="dxa"/>
            <w:bottom w:w="15" w:type="dxa"/>
          </w:tblCellMar>
          <w:tblLook w:val="04A0" w:firstRow="1" w:lastRow="0" w:firstColumn="1" w:lastColumn="0" w:noHBand="0" w:noVBand="1"/>
        </w:tblPrEx>
        <w:trPr>
          <w:cantSplit/>
          <w:trHeight w:val="20"/>
        </w:trPr>
        <w:tc>
          <w:tcPr>
            <w:tcW w:w="710" w:type="pct"/>
            <w:vAlign w:val="center"/>
          </w:tcPr>
          <w:p w14:paraId="752B3D2E" w14:textId="77777777" w:rsidR="005A4BF3" w:rsidRPr="00755DBE" w:rsidRDefault="005A4BF3" w:rsidP="002178A9">
            <w:pPr>
              <w:jc w:val="center"/>
              <w:rPr>
                <w:rFonts w:ascii="Arial Narrow" w:hAnsi="Arial Narrow"/>
                <w:i/>
                <w:iCs/>
                <w:sz w:val="20"/>
                <w:szCs w:val="20"/>
              </w:rPr>
            </w:pPr>
          </w:p>
        </w:tc>
        <w:tc>
          <w:tcPr>
            <w:tcW w:w="4290" w:type="pct"/>
            <w:gridSpan w:val="5"/>
            <w:vAlign w:val="center"/>
          </w:tcPr>
          <w:p w14:paraId="16D71170" w14:textId="77777777" w:rsidR="005A4BF3" w:rsidRPr="00755DBE" w:rsidRDefault="005A4BF3" w:rsidP="002178A9">
            <w:pPr>
              <w:rPr>
                <w:rFonts w:ascii="Arial Narrow" w:hAnsi="Arial Narrow"/>
                <w:i/>
                <w:iCs/>
                <w:sz w:val="20"/>
                <w:szCs w:val="20"/>
              </w:rPr>
            </w:pPr>
            <w:r w:rsidRPr="00755DBE">
              <w:rPr>
                <w:rFonts w:ascii="Arial Narrow" w:hAnsi="Arial Narrow"/>
                <w:b/>
                <w:bCs/>
                <w:i/>
                <w:iCs/>
                <w:spacing w:val="-2"/>
                <w:sz w:val="20"/>
                <w:szCs w:val="20"/>
              </w:rPr>
              <w:t>AND</w:t>
            </w:r>
          </w:p>
        </w:tc>
      </w:tr>
      <w:tr w:rsidR="005A4BF3" w:rsidRPr="00755DBE" w14:paraId="2CDFFB7D" w14:textId="77777777" w:rsidTr="00DD4F63">
        <w:tblPrEx>
          <w:tblCellMar>
            <w:top w:w="15" w:type="dxa"/>
            <w:bottom w:w="15" w:type="dxa"/>
          </w:tblCellMar>
          <w:tblLook w:val="04A0" w:firstRow="1" w:lastRow="0" w:firstColumn="1" w:lastColumn="0" w:noHBand="0" w:noVBand="1"/>
        </w:tblPrEx>
        <w:trPr>
          <w:cantSplit/>
          <w:trHeight w:val="20"/>
        </w:trPr>
        <w:tc>
          <w:tcPr>
            <w:tcW w:w="710" w:type="pct"/>
            <w:vAlign w:val="center"/>
          </w:tcPr>
          <w:p w14:paraId="3C7D6C34" w14:textId="77777777" w:rsidR="005A4BF3" w:rsidRPr="00755DBE" w:rsidRDefault="005A4BF3" w:rsidP="002178A9">
            <w:pPr>
              <w:jc w:val="center"/>
              <w:rPr>
                <w:rFonts w:ascii="Arial Narrow" w:hAnsi="Arial Narrow"/>
                <w:i/>
                <w:iCs/>
                <w:sz w:val="20"/>
                <w:szCs w:val="20"/>
              </w:rPr>
            </w:pPr>
          </w:p>
        </w:tc>
        <w:tc>
          <w:tcPr>
            <w:tcW w:w="4290" w:type="pct"/>
            <w:gridSpan w:val="5"/>
            <w:vAlign w:val="center"/>
          </w:tcPr>
          <w:p w14:paraId="32ACDE7C"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Clinical</w:t>
            </w:r>
            <w:r w:rsidRPr="00755DBE">
              <w:rPr>
                <w:rFonts w:ascii="Arial Narrow" w:hAnsi="Arial Narrow"/>
                <w:b/>
                <w:bCs/>
                <w:i/>
                <w:iCs/>
                <w:spacing w:val="-4"/>
                <w:sz w:val="20"/>
                <w:szCs w:val="20"/>
              </w:rPr>
              <w:t xml:space="preserve"> </w:t>
            </w:r>
            <w:r w:rsidRPr="00755DBE">
              <w:rPr>
                <w:rFonts w:ascii="Arial Narrow" w:hAnsi="Arial Narrow"/>
                <w:b/>
                <w:bCs/>
                <w:i/>
                <w:iCs/>
                <w:sz w:val="20"/>
                <w:szCs w:val="20"/>
              </w:rPr>
              <w:t>criteria:</w:t>
            </w:r>
          </w:p>
        </w:tc>
      </w:tr>
      <w:tr w:rsidR="005A4BF3" w:rsidRPr="00755DBE" w14:paraId="43E9C74C" w14:textId="77777777" w:rsidTr="00DD4F63">
        <w:tblPrEx>
          <w:tblCellMar>
            <w:top w:w="15" w:type="dxa"/>
            <w:bottom w:w="15" w:type="dxa"/>
          </w:tblCellMar>
          <w:tblLook w:val="04A0" w:firstRow="1" w:lastRow="0" w:firstColumn="1" w:lastColumn="0" w:noHBand="0" w:noVBand="1"/>
        </w:tblPrEx>
        <w:trPr>
          <w:cantSplit/>
          <w:trHeight w:val="20"/>
        </w:trPr>
        <w:tc>
          <w:tcPr>
            <w:tcW w:w="710" w:type="pct"/>
            <w:vAlign w:val="center"/>
          </w:tcPr>
          <w:p w14:paraId="27BFA5FB" w14:textId="77777777" w:rsidR="005A4BF3" w:rsidRPr="00755DBE" w:rsidRDefault="005A4BF3" w:rsidP="002178A9">
            <w:pPr>
              <w:jc w:val="center"/>
              <w:rPr>
                <w:rFonts w:ascii="Arial Narrow" w:hAnsi="Arial Narrow"/>
                <w:i/>
                <w:iCs/>
                <w:sz w:val="20"/>
                <w:szCs w:val="20"/>
              </w:rPr>
            </w:pPr>
          </w:p>
        </w:tc>
        <w:tc>
          <w:tcPr>
            <w:tcW w:w="4290" w:type="pct"/>
            <w:gridSpan w:val="5"/>
            <w:vAlign w:val="center"/>
          </w:tcPr>
          <w:p w14:paraId="7E4F512A" w14:textId="77777777" w:rsidR="005A4BF3" w:rsidRPr="00755DBE" w:rsidRDefault="005A4BF3" w:rsidP="002178A9">
            <w:pPr>
              <w:rPr>
                <w:rFonts w:ascii="Arial Narrow" w:hAnsi="Arial Narrow"/>
                <w:i/>
                <w:iCs/>
                <w:sz w:val="20"/>
                <w:szCs w:val="20"/>
              </w:rPr>
            </w:pPr>
            <w:r w:rsidRPr="00755DBE">
              <w:rPr>
                <w:rFonts w:ascii="Arial Narrow" w:hAnsi="Arial Narrow"/>
                <w:i/>
                <w:iCs/>
                <w:sz w:val="20"/>
                <w:szCs w:val="20"/>
              </w:rPr>
              <w:t xml:space="preserve">The treatment must not exceed a total of 12 cycles of this drug for this indication, regardless of whether treatment was non-PBS or PBS-subsidised </w:t>
            </w:r>
          </w:p>
        </w:tc>
      </w:tr>
      <w:tr w:rsidR="005A4BF3" w:rsidRPr="00755DBE" w14:paraId="18CE4460" w14:textId="77777777" w:rsidTr="00DD4F63">
        <w:tblPrEx>
          <w:tblCellMar>
            <w:top w:w="15" w:type="dxa"/>
            <w:bottom w:w="15" w:type="dxa"/>
          </w:tblCellMar>
          <w:tblLook w:val="04A0" w:firstRow="1" w:lastRow="0" w:firstColumn="1" w:lastColumn="0" w:noHBand="0" w:noVBand="1"/>
        </w:tblPrEx>
        <w:trPr>
          <w:cantSplit/>
          <w:trHeight w:val="20"/>
        </w:trPr>
        <w:tc>
          <w:tcPr>
            <w:tcW w:w="710" w:type="pct"/>
            <w:vAlign w:val="center"/>
          </w:tcPr>
          <w:p w14:paraId="7A8F7F01" w14:textId="2663A248" w:rsidR="005A4BF3" w:rsidRPr="00755DBE" w:rsidRDefault="005A4BF3" w:rsidP="002178A9">
            <w:pPr>
              <w:jc w:val="center"/>
              <w:rPr>
                <w:rFonts w:ascii="Arial Narrow" w:hAnsi="Arial Narrow"/>
                <w:i/>
                <w:iCs/>
                <w:sz w:val="20"/>
                <w:szCs w:val="20"/>
              </w:rPr>
            </w:pPr>
          </w:p>
        </w:tc>
        <w:tc>
          <w:tcPr>
            <w:tcW w:w="4290" w:type="pct"/>
            <w:gridSpan w:val="5"/>
            <w:vAlign w:val="center"/>
          </w:tcPr>
          <w:p w14:paraId="6E0845BE" w14:textId="77777777" w:rsidR="005A4BF3" w:rsidRPr="00755DBE" w:rsidRDefault="005A4BF3" w:rsidP="002178A9">
            <w:pPr>
              <w:keepLines/>
              <w:contextualSpacing/>
              <w:rPr>
                <w:rFonts w:ascii="Arial Narrow" w:hAnsi="Arial Narrow"/>
                <w:i/>
                <w:iCs/>
                <w:sz w:val="20"/>
                <w:szCs w:val="20"/>
              </w:rPr>
            </w:pPr>
            <w:r w:rsidRPr="00755DBE">
              <w:rPr>
                <w:rFonts w:ascii="Arial Narrow" w:hAnsi="Arial Narrow"/>
                <w:b/>
                <w:bCs/>
                <w:i/>
                <w:iCs/>
                <w:sz w:val="20"/>
                <w:szCs w:val="20"/>
              </w:rPr>
              <w:t>Administrative Advice:</w:t>
            </w:r>
          </w:p>
          <w:p w14:paraId="4E6877F1" w14:textId="77777777" w:rsidR="005A4BF3" w:rsidRPr="00755DBE" w:rsidRDefault="005A4BF3" w:rsidP="002178A9">
            <w:pPr>
              <w:rPr>
                <w:rFonts w:ascii="Arial Narrow" w:hAnsi="Arial Narrow"/>
                <w:b/>
                <w:bCs/>
                <w:i/>
                <w:iCs/>
                <w:sz w:val="20"/>
                <w:szCs w:val="20"/>
              </w:rPr>
            </w:pPr>
            <w:r w:rsidRPr="00755DBE">
              <w:rPr>
                <w:rFonts w:ascii="Arial Narrow" w:hAnsi="Arial Narrow"/>
                <w:i/>
                <w:iCs/>
                <w:sz w:val="20"/>
                <w:szCs w:val="20"/>
              </w:rPr>
              <w:t>No increase in the maximum amount or number of units may be authorised.</w:t>
            </w:r>
          </w:p>
        </w:tc>
      </w:tr>
      <w:tr w:rsidR="005A4BF3" w:rsidRPr="00755DBE" w14:paraId="39898838" w14:textId="77777777" w:rsidTr="00DD4F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10" w:type="pct"/>
            <w:tcBorders>
              <w:top w:val="single" w:sz="4" w:space="0" w:color="auto"/>
              <w:left w:val="single" w:sz="4" w:space="0" w:color="auto"/>
              <w:bottom w:val="single" w:sz="4" w:space="0" w:color="auto"/>
              <w:right w:val="single" w:sz="4" w:space="0" w:color="auto"/>
            </w:tcBorders>
          </w:tcPr>
          <w:p w14:paraId="3C21D8F6" w14:textId="57556D5C" w:rsidR="005A4BF3" w:rsidRPr="00755DBE" w:rsidRDefault="005A4BF3" w:rsidP="002178A9">
            <w:pPr>
              <w:jc w:val="center"/>
              <w:rPr>
                <w:rFonts w:ascii="Arial Narrow" w:hAnsi="Arial Narrow"/>
                <w:i/>
                <w:iCs/>
                <w:sz w:val="20"/>
                <w:szCs w:val="20"/>
              </w:rPr>
            </w:pPr>
          </w:p>
        </w:tc>
        <w:tc>
          <w:tcPr>
            <w:tcW w:w="4290" w:type="pct"/>
            <w:gridSpan w:val="5"/>
            <w:tcBorders>
              <w:top w:val="single" w:sz="4" w:space="0" w:color="auto"/>
              <w:left w:val="single" w:sz="4" w:space="0" w:color="auto"/>
              <w:bottom w:val="single" w:sz="4" w:space="0" w:color="auto"/>
              <w:right w:val="single" w:sz="4" w:space="0" w:color="auto"/>
            </w:tcBorders>
          </w:tcPr>
          <w:p w14:paraId="798D3725"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i/>
                <w:iCs/>
                <w:sz w:val="20"/>
                <w:szCs w:val="20"/>
              </w:rPr>
              <w:t>No increase in the maximum number of repeats may be authorised.</w:t>
            </w:r>
          </w:p>
        </w:tc>
      </w:tr>
      <w:tr w:rsidR="005A4BF3" w:rsidRPr="00755DBE" w14:paraId="624F593B" w14:textId="77777777" w:rsidTr="00DD4F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10" w:type="pct"/>
            <w:tcBorders>
              <w:top w:val="single" w:sz="4" w:space="0" w:color="auto"/>
              <w:left w:val="single" w:sz="4" w:space="0" w:color="auto"/>
              <w:bottom w:val="single" w:sz="4" w:space="0" w:color="auto"/>
              <w:right w:val="single" w:sz="4" w:space="0" w:color="auto"/>
            </w:tcBorders>
          </w:tcPr>
          <w:p w14:paraId="6C3B96E5" w14:textId="03514E06" w:rsidR="005A4BF3" w:rsidRPr="00755DBE" w:rsidRDefault="005A4BF3" w:rsidP="002178A9">
            <w:pPr>
              <w:jc w:val="center"/>
              <w:rPr>
                <w:rFonts w:ascii="Arial Narrow" w:hAnsi="Arial Narrow"/>
                <w:i/>
                <w:iCs/>
                <w:sz w:val="20"/>
                <w:szCs w:val="20"/>
              </w:rPr>
            </w:pPr>
          </w:p>
        </w:tc>
        <w:tc>
          <w:tcPr>
            <w:tcW w:w="4290" w:type="pct"/>
            <w:gridSpan w:val="5"/>
            <w:tcBorders>
              <w:top w:val="single" w:sz="4" w:space="0" w:color="auto"/>
              <w:left w:val="single" w:sz="4" w:space="0" w:color="auto"/>
              <w:bottom w:val="single" w:sz="4" w:space="0" w:color="auto"/>
              <w:right w:val="single" w:sz="4" w:space="0" w:color="auto"/>
            </w:tcBorders>
          </w:tcPr>
          <w:p w14:paraId="4518C521"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i/>
                <w:iCs/>
                <w:sz w:val="20"/>
                <w:szCs w:val="20"/>
              </w:rPr>
              <w:t>Special Pricing Arrangements apply.</w:t>
            </w:r>
          </w:p>
        </w:tc>
      </w:tr>
      <w:tr w:rsidR="005A4BF3" w:rsidRPr="00755DBE" w14:paraId="16ACA203" w14:textId="77777777" w:rsidTr="00DD4F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10" w:type="pct"/>
            <w:tcBorders>
              <w:top w:val="single" w:sz="4" w:space="0" w:color="auto"/>
              <w:left w:val="single" w:sz="4" w:space="0" w:color="auto"/>
              <w:bottom w:val="single" w:sz="4" w:space="0" w:color="auto"/>
              <w:right w:val="single" w:sz="4" w:space="0" w:color="auto"/>
            </w:tcBorders>
            <w:vAlign w:val="center"/>
          </w:tcPr>
          <w:p w14:paraId="191F08E6" w14:textId="612AE95C" w:rsidR="005A4BF3" w:rsidRPr="00755DBE" w:rsidRDefault="005A4BF3" w:rsidP="002178A9">
            <w:pPr>
              <w:jc w:val="center"/>
              <w:rPr>
                <w:rFonts w:ascii="Arial Narrow" w:hAnsi="Arial Narrow"/>
                <w:i/>
                <w:iCs/>
                <w:sz w:val="20"/>
                <w:szCs w:val="20"/>
              </w:rPr>
            </w:pPr>
          </w:p>
        </w:tc>
        <w:tc>
          <w:tcPr>
            <w:tcW w:w="4290" w:type="pct"/>
            <w:gridSpan w:val="5"/>
            <w:tcBorders>
              <w:top w:val="single" w:sz="4" w:space="0" w:color="auto"/>
              <w:left w:val="single" w:sz="4" w:space="0" w:color="auto"/>
              <w:bottom w:val="single" w:sz="4" w:space="0" w:color="auto"/>
              <w:right w:val="single" w:sz="4" w:space="0" w:color="auto"/>
            </w:tcBorders>
            <w:vAlign w:val="center"/>
          </w:tcPr>
          <w:p w14:paraId="56A51893"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51B6E556" w14:textId="77777777" w:rsidR="000132D9" w:rsidRDefault="000132D9" w:rsidP="005A4BF3">
      <w:pPr>
        <w:rPr>
          <w:b/>
        </w:rPr>
      </w:pPr>
    </w:p>
    <w:p w14:paraId="332D8A3B" w14:textId="2A852A5C" w:rsidR="005A4BF3" w:rsidRPr="008F17BE" w:rsidRDefault="005A4BF3" w:rsidP="005A4BF3">
      <w:pPr>
        <w:rPr>
          <w:b/>
        </w:rPr>
      </w:pPr>
      <w:r w:rsidRPr="008F17BE">
        <w:rPr>
          <w:b/>
        </w:rPr>
        <w:t>Grandfather</w:t>
      </w:r>
    </w:p>
    <w:tbl>
      <w:tblPr>
        <w:tblW w:w="5000" w:type="pct"/>
        <w:tblLayout w:type="fixed"/>
        <w:tblCellMar>
          <w:top w:w="15" w:type="dxa"/>
          <w:bottom w:w="15" w:type="dxa"/>
        </w:tblCellMar>
        <w:tblLook w:val="04A0" w:firstRow="1" w:lastRow="0" w:firstColumn="1" w:lastColumn="0" w:noHBand="0" w:noVBand="1"/>
      </w:tblPr>
      <w:tblGrid>
        <w:gridCol w:w="1271"/>
        <w:gridCol w:w="7746"/>
      </w:tblGrid>
      <w:tr w:rsidR="005A4BF3" w:rsidRPr="00755DBE" w14:paraId="6EED4A12" w14:textId="77777777" w:rsidTr="002178A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51CDA3D" w14:textId="77777777" w:rsidR="005A4BF3" w:rsidRPr="00755DBE" w:rsidRDefault="005A4BF3" w:rsidP="002178A9">
            <w:pPr>
              <w:rPr>
                <w:rFonts w:ascii="Arial Narrow" w:hAnsi="Arial Narrow"/>
                <w:b/>
                <w:bCs/>
                <w:sz w:val="20"/>
                <w:szCs w:val="20"/>
              </w:rPr>
            </w:pPr>
            <w:r w:rsidRPr="00755DBE">
              <w:rPr>
                <w:rFonts w:ascii="Arial Narrow" w:hAnsi="Arial Narrow"/>
                <w:b/>
                <w:sz w:val="20"/>
                <w:szCs w:val="20"/>
              </w:rPr>
              <w:t>Restriction Summary [new6] / Treatment of Concept: [new6A]</w:t>
            </w:r>
          </w:p>
        </w:tc>
      </w:tr>
      <w:tr w:rsidR="005A4BF3" w:rsidRPr="00755DBE" w14:paraId="48557BED"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203F94BE" w14:textId="46475C92"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423A0EC5"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Indication:</w:t>
            </w:r>
            <w:r w:rsidRPr="00755DBE">
              <w:rPr>
                <w:rFonts w:ascii="Arial Narrow" w:hAnsi="Arial Narrow"/>
                <w:sz w:val="20"/>
                <w:szCs w:val="20"/>
              </w:rPr>
              <w:t xml:space="preserve"> Relapsed or refractory Diffuse large b-cell lymphoma (DLBCL)</w:t>
            </w:r>
          </w:p>
        </w:tc>
      </w:tr>
      <w:tr w:rsidR="005A4BF3" w:rsidRPr="00755DBE" w14:paraId="47390846"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127FFD34"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53218004"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Treatment Phase:</w:t>
            </w:r>
            <w:r w:rsidRPr="00755DBE">
              <w:rPr>
                <w:rFonts w:ascii="Arial Narrow" w:hAnsi="Arial Narrow"/>
                <w:sz w:val="20"/>
                <w:szCs w:val="20"/>
              </w:rPr>
              <w:t xml:space="preserve"> Grandfathering treatment</w:t>
            </w:r>
          </w:p>
        </w:tc>
      </w:tr>
      <w:tr w:rsidR="005A4BF3" w:rsidRPr="00755DBE" w14:paraId="5EA54CEA"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71FF31B4"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6622C325"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 xml:space="preserve">Clinical criteria: </w:t>
            </w:r>
          </w:p>
        </w:tc>
      </w:tr>
      <w:tr w:rsidR="005A4BF3" w:rsidRPr="00755DBE" w14:paraId="32053606"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06848B1F"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25D9DD22" w14:textId="77777777" w:rsidR="005A4BF3" w:rsidRPr="00755DBE" w:rsidRDefault="005A4BF3" w:rsidP="002178A9">
            <w:pPr>
              <w:rPr>
                <w:rFonts w:ascii="Arial Narrow" w:hAnsi="Arial Narrow"/>
                <w:b/>
                <w:bCs/>
                <w:sz w:val="20"/>
                <w:szCs w:val="20"/>
              </w:rPr>
            </w:pPr>
            <w:r w:rsidRPr="00755DBE">
              <w:rPr>
                <w:rFonts w:ascii="Arial Narrow" w:hAnsi="Arial Narrow"/>
                <w:sz w:val="20"/>
                <w:szCs w:val="20"/>
              </w:rPr>
              <w:t>Patient must have received non-PBS subsidised treatment with this drug for this PBS condition prior to [PBS listing date].</w:t>
            </w:r>
          </w:p>
        </w:tc>
      </w:tr>
      <w:tr w:rsidR="005A4BF3" w:rsidRPr="00755DBE" w14:paraId="18570D92"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0CF64166"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5E37A8E4"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AND</w:t>
            </w:r>
          </w:p>
        </w:tc>
      </w:tr>
      <w:tr w:rsidR="005A4BF3" w:rsidRPr="00755DBE" w14:paraId="6E4AD55F"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EB04C3D"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2C69B4D3"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 xml:space="preserve">Clinical criteria: </w:t>
            </w:r>
          </w:p>
        </w:tc>
      </w:tr>
      <w:tr w:rsidR="005A4BF3" w:rsidRPr="00755DBE" w14:paraId="647116AB"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47E88BBB"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3F456644" w14:textId="77777777" w:rsidR="005A4BF3" w:rsidRPr="00755DBE" w:rsidRDefault="005A4BF3" w:rsidP="002178A9">
            <w:pPr>
              <w:rPr>
                <w:rFonts w:ascii="Arial Narrow" w:hAnsi="Arial Narrow"/>
                <w:sz w:val="20"/>
                <w:szCs w:val="20"/>
              </w:rPr>
            </w:pPr>
            <w:r w:rsidRPr="00755DBE">
              <w:rPr>
                <w:rFonts w:ascii="Arial Narrow" w:hAnsi="Arial Narrow"/>
                <w:sz w:val="20"/>
                <w:szCs w:val="20"/>
              </w:rPr>
              <w:t>Patient must have relapsed or become refractory to at least one prior systemic therapy prior to commencing treatment with this drug for this condition.</w:t>
            </w:r>
          </w:p>
        </w:tc>
      </w:tr>
      <w:tr w:rsidR="005A4BF3" w:rsidRPr="00755DBE" w14:paraId="13AC7940"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617F8166"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739419BE"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AND</w:t>
            </w:r>
          </w:p>
        </w:tc>
      </w:tr>
      <w:tr w:rsidR="005A4BF3" w:rsidRPr="00755DBE" w14:paraId="4C4603D9"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AB43D07"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4F9618E6"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 xml:space="preserve">Clinical criteria: </w:t>
            </w:r>
          </w:p>
        </w:tc>
      </w:tr>
      <w:tr w:rsidR="005A4BF3" w:rsidRPr="00755DBE" w14:paraId="11122392"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350E82EF"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8C1E245" w14:textId="77777777" w:rsidR="005A4BF3" w:rsidRPr="00755DBE" w:rsidRDefault="005A4BF3" w:rsidP="002178A9">
            <w:pPr>
              <w:rPr>
                <w:rFonts w:ascii="Arial Narrow" w:hAnsi="Arial Narrow"/>
                <w:sz w:val="20"/>
                <w:szCs w:val="20"/>
              </w:rPr>
            </w:pPr>
            <w:r w:rsidRPr="00755DBE">
              <w:rPr>
                <w:rFonts w:ascii="Arial Narrow" w:hAnsi="Arial Narrow"/>
                <w:sz w:val="20"/>
                <w:szCs w:val="20"/>
              </w:rPr>
              <w:t>Patient must be unsuitable for stem cell transplant prior to commencing treatment with this drug for this condition.</w:t>
            </w:r>
          </w:p>
        </w:tc>
      </w:tr>
      <w:tr w:rsidR="005A4BF3" w:rsidRPr="00755DBE" w14:paraId="4FC577AE"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7FEB5BD8"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32F7C70"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AND</w:t>
            </w:r>
          </w:p>
        </w:tc>
      </w:tr>
      <w:tr w:rsidR="005A4BF3" w:rsidRPr="00755DBE" w14:paraId="17E5401D"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658D2162"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72468EE8"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 xml:space="preserve">Clinical criteria: </w:t>
            </w:r>
          </w:p>
        </w:tc>
      </w:tr>
      <w:tr w:rsidR="005A4BF3" w:rsidRPr="00755DBE" w14:paraId="45E5028A"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0D94651"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3A6B6A97" w14:textId="77777777" w:rsidR="005A4BF3" w:rsidRPr="00755DBE" w:rsidRDefault="005A4BF3" w:rsidP="002178A9">
            <w:pPr>
              <w:rPr>
                <w:rFonts w:ascii="Arial Narrow" w:hAnsi="Arial Narrow"/>
                <w:sz w:val="20"/>
                <w:szCs w:val="20"/>
              </w:rPr>
            </w:pPr>
            <w:r w:rsidRPr="00755DBE">
              <w:rPr>
                <w:rFonts w:ascii="Arial Narrow" w:hAnsi="Arial Narrow"/>
                <w:sz w:val="20"/>
                <w:szCs w:val="20"/>
              </w:rPr>
              <w:t>Patient must have a WHO performance status of 2 or less prior to commencing treatment with this drug for this condition.</w:t>
            </w:r>
          </w:p>
        </w:tc>
      </w:tr>
      <w:tr w:rsidR="005A4BF3" w:rsidRPr="00755DBE" w14:paraId="3907AAF8"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tcPr>
          <w:p w14:paraId="7D9F403F"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tcPr>
          <w:p w14:paraId="6170A21A" w14:textId="77777777" w:rsidR="005A4BF3" w:rsidRPr="00755DBE" w:rsidRDefault="005A4BF3" w:rsidP="002178A9">
            <w:pPr>
              <w:rPr>
                <w:rFonts w:ascii="Arial Narrow" w:hAnsi="Arial Narrow"/>
                <w:sz w:val="20"/>
                <w:szCs w:val="20"/>
              </w:rPr>
            </w:pPr>
            <w:r w:rsidRPr="00755DBE">
              <w:rPr>
                <w:rFonts w:ascii="Arial Narrow" w:hAnsi="Arial Narrow"/>
                <w:b/>
                <w:bCs/>
                <w:i/>
                <w:iCs/>
                <w:spacing w:val="-2"/>
                <w:sz w:val="20"/>
                <w:szCs w:val="20"/>
              </w:rPr>
              <w:t>AND</w:t>
            </w:r>
          </w:p>
        </w:tc>
      </w:tr>
      <w:tr w:rsidR="005A4BF3" w:rsidRPr="00755DBE" w14:paraId="309931F4"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tcPr>
          <w:p w14:paraId="7636B8AB"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tcPr>
          <w:p w14:paraId="2C576A63" w14:textId="77777777" w:rsidR="005A4BF3" w:rsidRPr="00755DBE" w:rsidRDefault="005A4BF3" w:rsidP="002178A9">
            <w:pPr>
              <w:rPr>
                <w:rFonts w:ascii="Arial Narrow" w:hAnsi="Arial Narrow"/>
                <w:sz w:val="20"/>
                <w:szCs w:val="20"/>
              </w:rPr>
            </w:pPr>
            <w:r w:rsidRPr="00755DBE">
              <w:rPr>
                <w:rFonts w:ascii="Arial Narrow" w:hAnsi="Arial Narrow"/>
                <w:b/>
                <w:bCs/>
                <w:i/>
                <w:iCs/>
                <w:sz w:val="20"/>
                <w:szCs w:val="20"/>
              </w:rPr>
              <w:t>Clinical</w:t>
            </w:r>
            <w:r w:rsidRPr="00755DBE">
              <w:rPr>
                <w:rFonts w:ascii="Arial Narrow" w:hAnsi="Arial Narrow"/>
                <w:b/>
                <w:bCs/>
                <w:i/>
                <w:iCs/>
                <w:spacing w:val="-4"/>
                <w:sz w:val="20"/>
                <w:szCs w:val="20"/>
              </w:rPr>
              <w:t xml:space="preserve"> </w:t>
            </w:r>
            <w:r w:rsidRPr="00755DBE">
              <w:rPr>
                <w:rFonts w:ascii="Arial Narrow" w:hAnsi="Arial Narrow"/>
                <w:b/>
                <w:bCs/>
                <w:i/>
                <w:iCs/>
                <w:spacing w:val="-2"/>
                <w:sz w:val="20"/>
                <w:szCs w:val="20"/>
              </w:rPr>
              <w:t>criteria:</w:t>
            </w:r>
          </w:p>
        </w:tc>
      </w:tr>
      <w:tr w:rsidR="005A4BF3" w:rsidRPr="00755DBE" w14:paraId="3376C508"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001E3D41" w14:textId="3AB717F8"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23209166" w14:textId="77777777" w:rsidR="005A4BF3" w:rsidRPr="00755DBE" w:rsidRDefault="005A4BF3" w:rsidP="002178A9">
            <w:pPr>
              <w:rPr>
                <w:rFonts w:ascii="Arial Narrow" w:hAnsi="Arial Narrow"/>
                <w:sz w:val="20"/>
                <w:szCs w:val="20"/>
              </w:rPr>
            </w:pPr>
            <w:r w:rsidRPr="00755DBE">
              <w:rPr>
                <w:rFonts w:ascii="Arial Narrow" w:hAnsi="Arial Narrow"/>
                <w:i/>
                <w:iCs/>
                <w:sz w:val="20"/>
                <w:szCs w:val="20"/>
              </w:rPr>
              <w:t>Patient must not have developed disease progression while being treated with this drug for this condition.</w:t>
            </w:r>
          </w:p>
        </w:tc>
      </w:tr>
      <w:tr w:rsidR="005A4BF3" w:rsidRPr="00755DBE" w14:paraId="163F30AF"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6E719700"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16BAC5B3"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AND</w:t>
            </w:r>
          </w:p>
        </w:tc>
      </w:tr>
      <w:tr w:rsidR="005A4BF3" w:rsidRPr="00755DBE" w14:paraId="4F41BD40"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113B5616"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2C62396C" w14:textId="77777777" w:rsidR="005A4BF3" w:rsidRPr="00755DBE" w:rsidRDefault="005A4BF3" w:rsidP="002178A9">
            <w:pPr>
              <w:rPr>
                <w:rFonts w:ascii="Arial Narrow" w:hAnsi="Arial Narrow"/>
                <w:b/>
                <w:bCs/>
                <w:sz w:val="20"/>
                <w:szCs w:val="20"/>
              </w:rPr>
            </w:pPr>
            <w:r w:rsidRPr="00755DBE">
              <w:rPr>
                <w:rFonts w:ascii="Arial Narrow" w:hAnsi="Arial Narrow"/>
                <w:b/>
                <w:bCs/>
                <w:strike/>
                <w:sz w:val="20"/>
                <w:szCs w:val="20"/>
              </w:rPr>
              <w:t>Treatment</w:t>
            </w:r>
            <w:r w:rsidRPr="00755DBE">
              <w:rPr>
                <w:rFonts w:ascii="Arial Narrow" w:hAnsi="Arial Narrow"/>
                <w:b/>
                <w:bCs/>
                <w:sz w:val="20"/>
                <w:szCs w:val="20"/>
              </w:rPr>
              <w:t xml:space="preserve"> </w:t>
            </w:r>
            <w:r w:rsidRPr="00755DBE">
              <w:rPr>
                <w:rFonts w:ascii="Arial Narrow" w:hAnsi="Arial Narrow"/>
                <w:b/>
                <w:bCs/>
                <w:i/>
                <w:iCs/>
                <w:sz w:val="20"/>
                <w:szCs w:val="20"/>
              </w:rPr>
              <w:t>Clinical</w:t>
            </w:r>
            <w:r w:rsidRPr="00755DBE">
              <w:rPr>
                <w:rFonts w:ascii="Arial Narrow" w:hAnsi="Arial Narrow"/>
                <w:b/>
                <w:bCs/>
                <w:sz w:val="20"/>
                <w:szCs w:val="20"/>
              </w:rPr>
              <w:t xml:space="preserve"> criteria:</w:t>
            </w:r>
          </w:p>
        </w:tc>
      </w:tr>
      <w:tr w:rsidR="005A4BF3" w:rsidRPr="00755DBE" w14:paraId="285657BE"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28061200"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BED43FF" w14:textId="77777777" w:rsidR="005A4BF3" w:rsidRPr="00755DBE" w:rsidRDefault="005A4BF3" w:rsidP="002178A9">
            <w:pPr>
              <w:rPr>
                <w:rFonts w:ascii="Arial Narrow" w:hAnsi="Arial Narrow"/>
                <w:b/>
                <w:bCs/>
                <w:sz w:val="20"/>
                <w:szCs w:val="20"/>
              </w:rPr>
            </w:pPr>
            <w:r w:rsidRPr="00755DBE">
              <w:rPr>
                <w:rFonts w:ascii="Arial Narrow" w:hAnsi="Arial Narrow"/>
                <w:sz w:val="20"/>
                <w:szCs w:val="20"/>
              </w:rPr>
              <w:t>T</w:t>
            </w:r>
            <w:r w:rsidRPr="00755DBE">
              <w:rPr>
                <w:rFonts w:ascii="Arial Narrow" w:hAnsi="Arial Narrow"/>
                <w:i/>
                <w:iCs/>
                <w:sz w:val="20"/>
                <w:szCs w:val="20"/>
              </w:rPr>
              <w:t>he t</w:t>
            </w:r>
            <w:r w:rsidRPr="00755DBE">
              <w:rPr>
                <w:rFonts w:ascii="Arial Narrow" w:hAnsi="Arial Narrow"/>
                <w:sz w:val="20"/>
                <w:szCs w:val="20"/>
              </w:rPr>
              <w:t xml:space="preserve">reatment </w:t>
            </w:r>
            <w:r w:rsidRPr="00755DBE">
              <w:rPr>
                <w:rFonts w:ascii="Arial Narrow" w:hAnsi="Arial Narrow"/>
                <w:i/>
                <w:iCs/>
                <w:sz w:val="20"/>
                <w:szCs w:val="20"/>
              </w:rPr>
              <w:t>must</w:t>
            </w:r>
            <w:r w:rsidRPr="00755DBE">
              <w:rPr>
                <w:rFonts w:ascii="Arial Narrow" w:hAnsi="Arial Narrow"/>
                <w:sz w:val="20"/>
                <w:szCs w:val="20"/>
              </w:rPr>
              <w:t xml:space="preserve"> </w:t>
            </w:r>
            <w:proofErr w:type="gramStart"/>
            <w:r w:rsidRPr="00755DBE">
              <w:rPr>
                <w:rFonts w:ascii="Arial Narrow" w:hAnsi="Arial Narrow"/>
                <w:strike/>
                <w:sz w:val="20"/>
                <w:szCs w:val="20"/>
              </w:rPr>
              <w:t>is</w:t>
            </w:r>
            <w:proofErr w:type="gramEnd"/>
            <w:r w:rsidRPr="00755DBE">
              <w:rPr>
                <w:rFonts w:ascii="Arial Narrow" w:hAnsi="Arial Narrow"/>
                <w:strike/>
                <w:sz w:val="20"/>
                <w:szCs w:val="20"/>
              </w:rPr>
              <w:t xml:space="preserve"> intended to</w:t>
            </w:r>
            <w:r w:rsidRPr="00755DBE">
              <w:rPr>
                <w:rFonts w:ascii="Arial Narrow" w:hAnsi="Arial Narrow"/>
                <w:sz w:val="20"/>
                <w:szCs w:val="20"/>
              </w:rPr>
              <w:t xml:space="preserve"> be given in combination with </w:t>
            </w:r>
            <w:proofErr w:type="spellStart"/>
            <w:r w:rsidRPr="00755DBE">
              <w:rPr>
                <w:rFonts w:ascii="Arial Narrow" w:hAnsi="Arial Narrow"/>
                <w:strike/>
                <w:sz w:val="20"/>
                <w:szCs w:val="20"/>
              </w:rPr>
              <w:t>GemOx</w:t>
            </w:r>
            <w:proofErr w:type="spellEnd"/>
            <w:r w:rsidRPr="00755DBE">
              <w:rPr>
                <w:rFonts w:ascii="Arial Narrow" w:hAnsi="Arial Narrow"/>
                <w:sz w:val="20"/>
                <w:szCs w:val="20"/>
              </w:rPr>
              <w:t xml:space="preserve"> </w:t>
            </w:r>
            <w:r w:rsidRPr="00755DBE">
              <w:rPr>
                <w:rFonts w:ascii="Arial Narrow" w:hAnsi="Arial Narrow"/>
                <w:i/>
                <w:iCs/>
                <w:sz w:val="20"/>
                <w:szCs w:val="20"/>
              </w:rPr>
              <w:t>gemcitabine and oxaliplatin</w:t>
            </w:r>
            <w:r w:rsidRPr="00755DBE">
              <w:rPr>
                <w:rFonts w:ascii="Arial Narrow" w:hAnsi="Arial Narrow"/>
                <w:sz w:val="20"/>
                <w:szCs w:val="20"/>
              </w:rPr>
              <w:t xml:space="preserve"> </w:t>
            </w:r>
            <w:r w:rsidRPr="00755DBE">
              <w:rPr>
                <w:rFonts w:ascii="Arial Narrow" w:hAnsi="Arial Narrow"/>
                <w:strike/>
                <w:sz w:val="20"/>
                <w:szCs w:val="20"/>
              </w:rPr>
              <w:t>for</w:t>
            </w:r>
            <w:r w:rsidRPr="00755DBE">
              <w:rPr>
                <w:rFonts w:ascii="Arial Narrow" w:hAnsi="Arial Narrow"/>
                <w:sz w:val="20"/>
                <w:szCs w:val="20"/>
              </w:rPr>
              <w:t xml:space="preserve"> </w:t>
            </w:r>
            <w:r w:rsidRPr="00755DBE">
              <w:rPr>
                <w:rFonts w:ascii="Arial Narrow" w:hAnsi="Arial Narrow"/>
                <w:i/>
                <w:iCs/>
                <w:sz w:val="20"/>
                <w:szCs w:val="20"/>
              </w:rPr>
              <w:t>if treatment falls within</w:t>
            </w:r>
            <w:r w:rsidRPr="00755DBE">
              <w:rPr>
                <w:rFonts w:ascii="Arial Narrow" w:hAnsi="Arial Narrow"/>
                <w:sz w:val="20"/>
                <w:szCs w:val="20"/>
              </w:rPr>
              <w:t xml:space="preserve"> the first 8 cycles</w:t>
            </w:r>
          </w:p>
        </w:tc>
      </w:tr>
      <w:tr w:rsidR="005A4BF3" w:rsidRPr="00755DBE" w14:paraId="6DA8C666"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1370E027"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6C54009F" w14:textId="77777777" w:rsidR="005A4BF3" w:rsidRPr="00755DBE" w:rsidRDefault="005A4BF3" w:rsidP="002178A9">
            <w:pPr>
              <w:rPr>
                <w:rFonts w:ascii="Arial Narrow" w:hAnsi="Arial Narrow"/>
                <w:b/>
                <w:bCs/>
                <w:sz w:val="20"/>
                <w:szCs w:val="20"/>
              </w:rPr>
            </w:pPr>
            <w:r w:rsidRPr="00755DBE">
              <w:rPr>
                <w:rFonts w:ascii="Arial Narrow" w:hAnsi="Arial Narrow"/>
                <w:b/>
                <w:bCs/>
                <w:sz w:val="20"/>
                <w:szCs w:val="20"/>
              </w:rPr>
              <w:t>AND</w:t>
            </w:r>
          </w:p>
        </w:tc>
      </w:tr>
      <w:tr w:rsidR="005A4BF3" w:rsidRPr="00755DBE" w14:paraId="30425674"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7ED033F5"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1466366B" w14:textId="77777777" w:rsidR="005A4BF3" w:rsidRPr="00755DBE" w:rsidRDefault="005A4BF3" w:rsidP="002178A9">
            <w:pPr>
              <w:rPr>
                <w:rFonts w:ascii="Arial Narrow" w:hAnsi="Arial Narrow"/>
                <w:b/>
                <w:bCs/>
                <w:sz w:val="20"/>
                <w:szCs w:val="20"/>
              </w:rPr>
            </w:pPr>
            <w:r w:rsidRPr="00755DBE">
              <w:rPr>
                <w:rFonts w:ascii="Arial Narrow" w:hAnsi="Arial Narrow"/>
                <w:b/>
                <w:bCs/>
                <w:strike/>
                <w:sz w:val="20"/>
                <w:szCs w:val="20"/>
              </w:rPr>
              <w:t>Treatment</w:t>
            </w:r>
            <w:r w:rsidRPr="00755DBE">
              <w:rPr>
                <w:rFonts w:ascii="Arial Narrow" w:hAnsi="Arial Narrow"/>
                <w:b/>
                <w:bCs/>
                <w:sz w:val="20"/>
                <w:szCs w:val="20"/>
              </w:rPr>
              <w:t xml:space="preserve"> </w:t>
            </w:r>
            <w:r w:rsidRPr="00755DBE">
              <w:rPr>
                <w:rFonts w:ascii="Arial Narrow" w:hAnsi="Arial Narrow"/>
                <w:b/>
                <w:bCs/>
                <w:i/>
                <w:iCs/>
                <w:sz w:val="20"/>
                <w:szCs w:val="20"/>
              </w:rPr>
              <w:t>Clinical</w:t>
            </w:r>
            <w:r w:rsidRPr="00755DBE">
              <w:rPr>
                <w:rFonts w:ascii="Arial Narrow" w:hAnsi="Arial Narrow"/>
                <w:b/>
                <w:bCs/>
                <w:sz w:val="20"/>
                <w:szCs w:val="20"/>
              </w:rPr>
              <w:t xml:space="preserve"> criteria:</w:t>
            </w:r>
          </w:p>
        </w:tc>
      </w:tr>
      <w:tr w:rsidR="005A4BF3" w:rsidRPr="00755DBE" w14:paraId="15E93CDF"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7BFB60BA"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75BAAF6F" w14:textId="77777777" w:rsidR="005A4BF3" w:rsidRPr="00755DBE" w:rsidRDefault="005A4BF3" w:rsidP="002178A9">
            <w:pPr>
              <w:rPr>
                <w:rFonts w:ascii="Arial Narrow" w:hAnsi="Arial Narrow"/>
                <w:b/>
                <w:bCs/>
                <w:sz w:val="20"/>
                <w:szCs w:val="20"/>
              </w:rPr>
            </w:pPr>
            <w:r w:rsidRPr="00755DBE">
              <w:rPr>
                <w:rFonts w:ascii="Arial Narrow" w:hAnsi="Arial Narrow"/>
                <w:sz w:val="20"/>
                <w:szCs w:val="20"/>
              </w:rPr>
              <w:t>The treatment must not exceed a total of 12 cycles</w:t>
            </w:r>
            <w:r w:rsidRPr="00755DBE">
              <w:rPr>
                <w:rFonts w:ascii="Arial Narrow" w:hAnsi="Arial Narrow"/>
                <w:i/>
                <w:iCs/>
                <w:sz w:val="20"/>
                <w:szCs w:val="20"/>
              </w:rPr>
              <w:t xml:space="preserve"> </w:t>
            </w:r>
            <w:r w:rsidRPr="00755DBE">
              <w:rPr>
                <w:rFonts w:ascii="Arial Narrow" w:hAnsi="Arial Narrow"/>
                <w:sz w:val="20"/>
                <w:szCs w:val="20"/>
              </w:rPr>
              <w:t xml:space="preserve">of </w:t>
            </w:r>
            <w:r w:rsidRPr="00755DBE">
              <w:rPr>
                <w:rFonts w:ascii="Arial Narrow" w:hAnsi="Arial Narrow"/>
                <w:i/>
                <w:iCs/>
                <w:sz w:val="20"/>
                <w:szCs w:val="20"/>
              </w:rPr>
              <w:t>this drug for this condition, regardless of whether treatment was non-PBS or</w:t>
            </w:r>
            <w:r w:rsidRPr="00755DBE">
              <w:rPr>
                <w:rFonts w:ascii="Arial Narrow" w:hAnsi="Arial Narrow"/>
                <w:sz w:val="20"/>
                <w:szCs w:val="20"/>
              </w:rPr>
              <w:t xml:space="preserve"> PBS-subsidised </w:t>
            </w:r>
            <w:r w:rsidRPr="00755DBE">
              <w:rPr>
                <w:rFonts w:ascii="Arial Narrow" w:hAnsi="Arial Narrow"/>
                <w:strike/>
                <w:sz w:val="20"/>
                <w:szCs w:val="20"/>
              </w:rPr>
              <w:t>treatment under this restriction.</w:t>
            </w:r>
          </w:p>
        </w:tc>
      </w:tr>
      <w:tr w:rsidR="005A4BF3" w:rsidRPr="00755DBE" w14:paraId="194EDD00"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2FD1011E"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024A808" w14:textId="77777777" w:rsidR="005A4BF3" w:rsidRPr="00755DBE" w:rsidRDefault="005A4BF3" w:rsidP="002178A9">
            <w:pPr>
              <w:rPr>
                <w:rFonts w:ascii="Arial Narrow" w:hAnsi="Arial Narrow"/>
                <w:sz w:val="20"/>
                <w:szCs w:val="20"/>
              </w:rPr>
            </w:pPr>
            <w:r w:rsidRPr="00755DBE">
              <w:rPr>
                <w:rFonts w:ascii="Arial Narrow" w:hAnsi="Arial Narrow"/>
                <w:b/>
                <w:bCs/>
                <w:i/>
                <w:iCs/>
                <w:sz w:val="20"/>
                <w:szCs w:val="20"/>
              </w:rPr>
              <w:t>AND</w:t>
            </w:r>
          </w:p>
        </w:tc>
      </w:tr>
      <w:tr w:rsidR="005A4BF3" w:rsidRPr="00755DBE" w14:paraId="16B8F3AE"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01811548"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501A298D" w14:textId="77777777" w:rsidR="005A4BF3" w:rsidRPr="00755DBE" w:rsidRDefault="005A4BF3" w:rsidP="002178A9">
            <w:pPr>
              <w:rPr>
                <w:rFonts w:ascii="Arial Narrow" w:hAnsi="Arial Narrow"/>
                <w:sz w:val="20"/>
                <w:szCs w:val="20"/>
              </w:rPr>
            </w:pPr>
            <w:r w:rsidRPr="00755DBE">
              <w:rPr>
                <w:rFonts w:ascii="Arial Narrow" w:hAnsi="Arial Narrow"/>
                <w:b/>
                <w:bCs/>
                <w:i/>
                <w:iCs/>
                <w:sz w:val="20"/>
                <w:szCs w:val="20"/>
              </w:rPr>
              <w:t>Treatment criteria:</w:t>
            </w:r>
          </w:p>
        </w:tc>
      </w:tr>
      <w:tr w:rsidR="005A4BF3" w:rsidRPr="00755DBE" w14:paraId="66F400BB"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tcPr>
          <w:p w14:paraId="5069091E"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688F927F" w14:textId="77777777" w:rsidR="005A4BF3" w:rsidRPr="00755DBE" w:rsidRDefault="005A4BF3" w:rsidP="002178A9">
            <w:pPr>
              <w:rPr>
                <w:rFonts w:ascii="Arial Narrow" w:hAnsi="Arial Narrow"/>
                <w:sz w:val="20"/>
                <w:szCs w:val="20"/>
              </w:rPr>
            </w:pPr>
            <w:r w:rsidRPr="00755DBE">
              <w:rPr>
                <w:rFonts w:ascii="Arial Narrow" w:hAnsi="Arial Narrow"/>
                <w:i/>
                <w:iCs/>
                <w:spacing w:val="-2"/>
                <w:sz w:val="20"/>
                <w:szCs w:val="20"/>
              </w:rPr>
              <w:t>Patient must be undergoing treatment with this drug in cycles 2-8 – prescribe up to 6 repeats; or</w:t>
            </w:r>
          </w:p>
        </w:tc>
      </w:tr>
      <w:tr w:rsidR="005A4BF3" w:rsidRPr="00755DBE" w14:paraId="31ECEFA7"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tcPr>
          <w:p w14:paraId="39CCE3AB" w14:textId="77777777" w:rsidR="005A4BF3" w:rsidRPr="00755DBE" w:rsidRDefault="005A4BF3"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446F9E1" w14:textId="77777777" w:rsidR="005A4BF3" w:rsidRPr="00755DBE" w:rsidRDefault="005A4BF3" w:rsidP="002178A9">
            <w:pPr>
              <w:rPr>
                <w:rFonts w:ascii="Arial Narrow" w:hAnsi="Arial Narrow"/>
                <w:sz w:val="20"/>
                <w:szCs w:val="20"/>
              </w:rPr>
            </w:pPr>
            <w:r w:rsidRPr="00755DBE">
              <w:rPr>
                <w:rFonts w:ascii="Arial Narrow" w:hAnsi="Arial Narrow"/>
                <w:i/>
                <w:iCs/>
                <w:spacing w:val="-2"/>
                <w:sz w:val="20"/>
                <w:szCs w:val="20"/>
              </w:rPr>
              <w:t>Patient must be undergoing treatment with this drug in cycles 9-12 – prescribe up to 3 repeats</w:t>
            </w:r>
          </w:p>
        </w:tc>
      </w:tr>
      <w:tr w:rsidR="005A4BF3" w:rsidRPr="00755DBE" w14:paraId="67B61E71"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69B29502" w14:textId="77777777" w:rsidR="005A4BF3" w:rsidRPr="00755DBE" w:rsidRDefault="005A4BF3" w:rsidP="002178A9">
            <w:pPr>
              <w:jc w:val="center"/>
              <w:rPr>
                <w:rFonts w:ascii="Arial Narrow" w:hAnsi="Arial Narrow"/>
                <w:i/>
                <w:iCs/>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30B688A"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bCs/>
                <w:i/>
                <w:iCs/>
                <w:sz w:val="20"/>
                <w:szCs w:val="20"/>
              </w:rPr>
              <w:t>Patients may qualify for PBS-subsidised treatment under this restriction once only. For continuing PBS-subsidised treatment, a 'Grandfathered' patient must qualify under the 'Continuing treatment' criteria.</w:t>
            </w:r>
          </w:p>
        </w:tc>
      </w:tr>
      <w:tr w:rsidR="005A4BF3" w:rsidRPr="00755DBE" w14:paraId="60D9B5BB"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0BACA9D" w14:textId="1D1F5126" w:rsidR="005A4BF3" w:rsidRPr="00755DBE" w:rsidRDefault="005A4BF3" w:rsidP="002178A9">
            <w:pPr>
              <w:jc w:val="center"/>
              <w:rPr>
                <w:rFonts w:ascii="Arial Narrow" w:hAnsi="Arial Narrow"/>
                <w:i/>
                <w:iCs/>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28FBD9A7"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bCs/>
                <w:i/>
                <w:iCs/>
                <w:sz w:val="20"/>
                <w:szCs w:val="20"/>
              </w:rPr>
              <w:t>This grandfather restriction will cease to operate from 12 months after the date specified in the clinical criteria.</w:t>
            </w:r>
          </w:p>
        </w:tc>
      </w:tr>
      <w:tr w:rsidR="005A4BF3" w:rsidRPr="00755DBE" w14:paraId="0C4647C0"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1B1DAD83" w14:textId="5578E04B" w:rsidR="005A4BF3" w:rsidRPr="00755DBE" w:rsidRDefault="005A4BF3" w:rsidP="002178A9">
            <w:pPr>
              <w:jc w:val="center"/>
              <w:rPr>
                <w:rFonts w:ascii="Arial Narrow" w:hAnsi="Arial Narrow"/>
                <w:i/>
                <w:iCs/>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5C96479D" w14:textId="77777777" w:rsidR="005A4BF3" w:rsidRPr="00755DBE" w:rsidRDefault="005A4BF3" w:rsidP="002178A9">
            <w:pPr>
              <w:keepLines/>
              <w:contextualSpacing/>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i/>
                <w:iCs/>
                <w:sz w:val="20"/>
                <w:szCs w:val="20"/>
              </w:rPr>
              <w:t>No increase in the maximum amount or number of units may be authorised.</w:t>
            </w:r>
          </w:p>
        </w:tc>
      </w:tr>
      <w:tr w:rsidR="005A4BF3" w:rsidRPr="00755DBE" w14:paraId="5A57A27A"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tcPr>
          <w:p w14:paraId="7F3B51EF" w14:textId="19416DA6" w:rsidR="005A4BF3" w:rsidRPr="00755DBE" w:rsidRDefault="005A4BF3" w:rsidP="002178A9">
            <w:pPr>
              <w:jc w:val="center"/>
              <w:rPr>
                <w:rFonts w:ascii="Arial Narrow" w:hAnsi="Arial Narrow"/>
                <w:i/>
                <w:iCs/>
                <w:sz w:val="20"/>
                <w:szCs w:val="20"/>
              </w:rPr>
            </w:pPr>
          </w:p>
        </w:tc>
        <w:tc>
          <w:tcPr>
            <w:tcW w:w="4295" w:type="pct"/>
            <w:tcBorders>
              <w:top w:val="single" w:sz="4" w:space="0" w:color="auto"/>
              <w:left w:val="single" w:sz="4" w:space="0" w:color="auto"/>
              <w:bottom w:val="single" w:sz="4" w:space="0" w:color="auto"/>
              <w:right w:val="single" w:sz="4" w:space="0" w:color="auto"/>
            </w:tcBorders>
          </w:tcPr>
          <w:p w14:paraId="21C33F14"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i/>
                <w:iCs/>
                <w:sz w:val="20"/>
                <w:szCs w:val="20"/>
              </w:rPr>
              <w:t>Special Pricing Arrangements apply.</w:t>
            </w:r>
          </w:p>
        </w:tc>
      </w:tr>
      <w:tr w:rsidR="005A4BF3" w:rsidRPr="00755DBE" w14:paraId="0B26DADC"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6F0115B5" w14:textId="7E1828F5" w:rsidR="005A4BF3" w:rsidRPr="00755DBE" w:rsidRDefault="005A4BF3" w:rsidP="002178A9">
            <w:pPr>
              <w:jc w:val="center"/>
              <w:rPr>
                <w:rFonts w:ascii="Arial Narrow" w:hAnsi="Arial Narrow"/>
                <w:i/>
                <w:iCs/>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17AAB678" w14:textId="77777777" w:rsidR="005A4BF3" w:rsidRPr="00755DBE" w:rsidRDefault="005A4BF3" w:rsidP="002178A9">
            <w:pPr>
              <w:rPr>
                <w:rFonts w:ascii="Arial Narrow" w:hAnsi="Arial Narrow"/>
                <w:b/>
                <w:bCs/>
                <w:i/>
                <w:iCs/>
                <w:sz w:val="20"/>
                <w:szCs w:val="20"/>
              </w:rPr>
            </w:pPr>
            <w:r w:rsidRPr="00755DBE">
              <w:rPr>
                <w:rFonts w:ascii="Arial Narrow" w:hAnsi="Arial Narrow"/>
                <w:b/>
                <w:bCs/>
                <w:i/>
                <w:iCs/>
                <w:sz w:val="20"/>
                <w:szCs w:val="20"/>
              </w:rPr>
              <w:t xml:space="preserve">Administrative Advice: </w:t>
            </w:r>
            <w:r w:rsidRPr="00755DBE">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40A0C498" w14:textId="77777777" w:rsidR="005A4BF3" w:rsidRDefault="005A4BF3" w:rsidP="004154DB">
      <w:pPr>
        <w:pStyle w:val="3-BodyText"/>
        <w:ind w:left="720"/>
      </w:pPr>
    </w:p>
    <w:p w14:paraId="36D70CE8" w14:textId="35F1225C" w:rsidR="00860D46" w:rsidRPr="00860D46" w:rsidRDefault="00860D46" w:rsidP="00860D46">
      <w:pPr>
        <w:numPr>
          <w:ilvl w:val="1"/>
          <w:numId w:val="1"/>
        </w:numPr>
        <w:spacing w:before="60" w:after="60"/>
        <w:rPr>
          <w:rFonts w:asciiTheme="minorHAnsi" w:hAnsiTheme="minorHAnsi"/>
          <w:iCs/>
          <w:snapToGrid w:val="0"/>
        </w:rPr>
      </w:pPr>
      <w:r w:rsidRPr="008D0139">
        <w:rPr>
          <w:rFonts w:asciiTheme="minorHAnsi" w:hAnsiTheme="minorHAnsi"/>
          <w:iCs/>
          <w:snapToGrid w:val="0"/>
        </w:rPr>
        <w:t>The submission proposed a Special Pricing Arrangement (SPA) with an effective EMP of $</w:t>
      </w:r>
      <w:r w:rsidR="00BD6E95" w:rsidRPr="00BD6E95">
        <w:rPr>
          <w:rFonts w:asciiTheme="minorHAnsi" w:hAnsiTheme="minorHAnsi"/>
          <w:iCs/>
          <w:snapToGrid w:val="0"/>
          <w:color w:val="000000"/>
          <w:w w:val="61"/>
          <w:shd w:val="solid" w:color="000000" w:fill="000000"/>
          <w:fitText w:val="472" w:id="-632054000"/>
          <w14:textFill>
            <w14:solidFill>
              <w14:srgbClr w14:val="000000">
                <w14:alpha w14:val="100000"/>
              </w14:srgbClr>
            </w14:solidFill>
          </w14:textFill>
        </w:rPr>
        <w:t>|||  ||</w:t>
      </w:r>
      <w:r w:rsidR="00BD6E95" w:rsidRPr="00BD6E95">
        <w:rPr>
          <w:rFonts w:asciiTheme="minorHAnsi" w:hAnsiTheme="minorHAnsi"/>
          <w:iCs/>
          <w:snapToGrid w:val="0"/>
          <w:color w:val="000000"/>
          <w:spacing w:val="2"/>
          <w:w w:val="61"/>
          <w:shd w:val="solid" w:color="000000" w:fill="000000"/>
          <w:fitText w:val="472" w:id="-632054000"/>
          <w14:textFill>
            <w14:solidFill>
              <w14:srgbClr w14:val="000000">
                <w14:alpha w14:val="100000"/>
              </w14:srgbClr>
            </w14:solidFill>
          </w14:textFill>
        </w:rPr>
        <w:t>|</w:t>
      </w:r>
      <w:r w:rsidRPr="008D0139">
        <w:rPr>
          <w:rFonts w:asciiTheme="minorHAnsi" w:hAnsiTheme="minorHAnsi"/>
          <w:iCs/>
          <w:snapToGrid w:val="0"/>
        </w:rPr>
        <w:t xml:space="preserve"> for the 2.5 mg vial and $</w:t>
      </w:r>
      <w:r w:rsidR="00BD6E95" w:rsidRPr="00BD6E95">
        <w:rPr>
          <w:rFonts w:asciiTheme="minorHAnsi" w:hAnsiTheme="minorHAnsi"/>
          <w:iCs/>
          <w:snapToGrid w:val="0"/>
          <w:color w:val="000000"/>
          <w:w w:val="61"/>
          <w:shd w:val="solid" w:color="000000" w:fill="000000"/>
          <w:fitText w:val="472" w:id="-632054016"/>
          <w14:textFill>
            <w14:solidFill>
              <w14:srgbClr w14:val="000000">
                <w14:alpha w14:val="100000"/>
              </w14:srgbClr>
            </w14:solidFill>
          </w14:textFill>
        </w:rPr>
        <w:t>|||  ||</w:t>
      </w:r>
      <w:r w:rsidR="00BD6E95" w:rsidRPr="00BD6E95">
        <w:rPr>
          <w:rFonts w:asciiTheme="minorHAnsi" w:hAnsiTheme="minorHAnsi"/>
          <w:iCs/>
          <w:snapToGrid w:val="0"/>
          <w:color w:val="000000"/>
          <w:spacing w:val="2"/>
          <w:w w:val="61"/>
          <w:shd w:val="solid" w:color="000000" w:fill="000000"/>
          <w:fitText w:val="472" w:id="-632054016"/>
          <w14:textFill>
            <w14:solidFill>
              <w14:srgbClr w14:val="000000">
                <w14:alpha w14:val="100000"/>
              </w14:srgbClr>
            </w14:solidFill>
          </w14:textFill>
        </w:rPr>
        <w:t>|</w:t>
      </w:r>
      <w:r w:rsidRPr="008D0139">
        <w:rPr>
          <w:rFonts w:asciiTheme="minorHAnsi" w:hAnsiTheme="minorHAnsi"/>
          <w:iCs/>
          <w:snapToGrid w:val="0"/>
        </w:rPr>
        <w:t xml:space="preserve"> for the 10 mg vial, corresponding to an effective public hospital DPMA of $</w:t>
      </w:r>
      <w:r w:rsidR="00BD6E95" w:rsidRPr="00BD6E95">
        <w:rPr>
          <w:rFonts w:asciiTheme="minorHAnsi" w:hAnsiTheme="minorHAnsi"/>
          <w:iCs/>
          <w:snapToGrid w:val="0"/>
          <w:color w:val="000000"/>
          <w:w w:val="61"/>
          <w:shd w:val="solid" w:color="000000" w:fill="000000"/>
          <w:fitText w:val="472" w:id="-632054015"/>
          <w14:textFill>
            <w14:solidFill>
              <w14:srgbClr w14:val="000000">
                <w14:alpha w14:val="100000"/>
              </w14:srgbClr>
            </w14:solidFill>
          </w14:textFill>
        </w:rPr>
        <w:t>|||  ||</w:t>
      </w:r>
      <w:r w:rsidR="00BD6E95" w:rsidRPr="00BD6E95">
        <w:rPr>
          <w:rFonts w:asciiTheme="minorHAnsi" w:hAnsiTheme="minorHAnsi"/>
          <w:iCs/>
          <w:snapToGrid w:val="0"/>
          <w:color w:val="000000"/>
          <w:spacing w:val="2"/>
          <w:w w:val="61"/>
          <w:shd w:val="solid" w:color="000000" w:fill="000000"/>
          <w:fitText w:val="472" w:id="-632054015"/>
          <w14:textFill>
            <w14:solidFill>
              <w14:srgbClr w14:val="000000">
                <w14:alpha w14:val="100000"/>
              </w14:srgbClr>
            </w14:solidFill>
          </w14:textFill>
        </w:rPr>
        <w:t>|</w:t>
      </w:r>
      <w:r w:rsidRPr="008D0139">
        <w:rPr>
          <w:rFonts w:asciiTheme="minorHAnsi" w:hAnsiTheme="minorHAnsi"/>
          <w:iCs/>
          <w:snapToGrid w:val="0"/>
        </w:rPr>
        <w:t xml:space="preserve"> for the initial treatment listing </w:t>
      </w:r>
      <w:r>
        <w:rPr>
          <w:rFonts w:asciiTheme="minorHAnsi" w:hAnsiTheme="minorHAnsi"/>
          <w:iCs/>
          <w:snapToGrid w:val="0"/>
        </w:rPr>
        <w:t xml:space="preserve">with a maximum amount of 10 mg </w:t>
      </w:r>
      <w:r w:rsidRPr="008D0139">
        <w:rPr>
          <w:rFonts w:asciiTheme="minorHAnsi" w:hAnsiTheme="minorHAnsi"/>
          <w:iCs/>
          <w:snapToGrid w:val="0"/>
        </w:rPr>
        <w:t>(published</w:t>
      </w:r>
      <w:r w:rsidR="00CB6A1B">
        <w:rPr>
          <w:rFonts w:asciiTheme="minorHAnsi" w:hAnsiTheme="minorHAnsi"/>
          <w:iCs/>
          <w:snapToGrid w:val="0"/>
        </w:rPr>
        <w:t xml:space="preserve"> </w:t>
      </w:r>
      <w:r w:rsidR="00E56B81">
        <w:rPr>
          <w:rFonts w:asciiTheme="minorHAnsi" w:hAnsiTheme="minorHAnsi"/>
          <w:iCs/>
          <w:snapToGrid w:val="0"/>
        </w:rPr>
        <w:t xml:space="preserve">public </w:t>
      </w:r>
      <w:r w:rsidR="00CB6A1B">
        <w:rPr>
          <w:rFonts w:asciiTheme="minorHAnsi" w:hAnsiTheme="minorHAnsi"/>
          <w:iCs/>
          <w:snapToGrid w:val="0"/>
        </w:rPr>
        <w:t>hospital DPMA</w:t>
      </w:r>
      <w:r w:rsidRPr="008D0139">
        <w:rPr>
          <w:rFonts w:asciiTheme="minorHAnsi" w:hAnsiTheme="minorHAnsi"/>
          <w:iCs/>
          <w:snapToGrid w:val="0"/>
        </w:rPr>
        <w:t xml:space="preserve"> price: $5,356.23) and $</w:t>
      </w:r>
      <w:r w:rsidR="00BD6E95" w:rsidRPr="00DB2C39">
        <w:rPr>
          <w:rFonts w:asciiTheme="minorHAnsi" w:hAnsiTheme="minorHAnsi"/>
          <w:iCs/>
          <w:snapToGrid w:val="0"/>
          <w:color w:val="000000"/>
          <w:w w:val="61"/>
          <w:shd w:val="solid" w:color="000000" w:fill="000000"/>
          <w:fitText w:val="472" w:id="-632054014"/>
          <w14:textFill>
            <w14:solidFill>
              <w14:srgbClr w14:val="000000">
                <w14:alpha w14:val="100000"/>
              </w14:srgbClr>
            </w14:solidFill>
          </w14:textFill>
        </w:rPr>
        <w:t>|||  ||</w:t>
      </w:r>
      <w:r w:rsidR="00BD6E95" w:rsidRPr="00DB2C39">
        <w:rPr>
          <w:rFonts w:asciiTheme="minorHAnsi" w:hAnsiTheme="minorHAnsi"/>
          <w:iCs/>
          <w:snapToGrid w:val="0"/>
          <w:color w:val="000000"/>
          <w:spacing w:val="2"/>
          <w:w w:val="61"/>
          <w:shd w:val="solid" w:color="000000" w:fill="000000"/>
          <w:fitText w:val="472" w:id="-632054014"/>
          <w14:textFill>
            <w14:solidFill>
              <w14:srgbClr w14:val="000000">
                <w14:alpha w14:val="100000"/>
              </w14:srgbClr>
            </w14:solidFill>
          </w14:textFill>
        </w:rPr>
        <w:t>|</w:t>
      </w:r>
      <w:r w:rsidRPr="008D0139">
        <w:rPr>
          <w:rFonts w:asciiTheme="minorHAnsi" w:hAnsiTheme="minorHAnsi"/>
          <w:iCs/>
          <w:snapToGrid w:val="0"/>
        </w:rPr>
        <w:t xml:space="preserve"> for the continuing treatment listing (published </w:t>
      </w:r>
      <w:r w:rsidR="00802659">
        <w:rPr>
          <w:rFonts w:asciiTheme="minorHAnsi" w:hAnsiTheme="minorHAnsi"/>
          <w:iCs/>
          <w:snapToGrid w:val="0"/>
        </w:rPr>
        <w:t xml:space="preserve">public </w:t>
      </w:r>
      <w:r w:rsidR="00E56B81">
        <w:rPr>
          <w:rFonts w:asciiTheme="minorHAnsi" w:hAnsiTheme="minorHAnsi"/>
          <w:iCs/>
          <w:snapToGrid w:val="0"/>
        </w:rPr>
        <w:t xml:space="preserve">hospital DPMA </w:t>
      </w:r>
      <w:r w:rsidRPr="008D0139">
        <w:rPr>
          <w:rFonts w:asciiTheme="minorHAnsi" w:hAnsiTheme="minorHAnsi"/>
          <w:iCs/>
          <w:snapToGrid w:val="0"/>
        </w:rPr>
        <w:t xml:space="preserve">price: $15,888.43). </w:t>
      </w:r>
    </w:p>
    <w:p w14:paraId="22D4D07A" w14:textId="7FE82CEC" w:rsidR="00F41F5C" w:rsidRDefault="004154DB" w:rsidP="00DF29F8">
      <w:pPr>
        <w:numPr>
          <w:ilvl w:val="1"/>
          <w:numId w:val="1"/>
        </w:numPr>
        <w:spacing w:before="60" w:after="60"/>
        <w:rPr>
          <w:rFonts w:asciiTheme="minorHAnsi" w:hAnsiTheme="minorHAnsi"/>
          <w:iCs/>
          <w:snapToGrid w:val="0"/>
        </w:rPr>
      </w:pPr>
      <w:bookmarkStart w:id="18" w:name="_Ref203655360"/>
      <w:r w:rsidRPr="008D0139">
        <w:rPr>
          <w:rFonts w:asciiTheme="minorHAnsi" w:hAnsiTheme="minorHAnsi"/>
          <w:iCs/>
          <w:snapToGrid w:val="0"/>
        </w:rPr>
        <w:t>The submission requested a Section 100 Efficient Funding of Chemotherapy listing of glofitamab 2.5 mg vial and 10 mg vial for initial treatment (1 repeat), and glofitamab 10 mg vial for continuing treatment (5 repeats). The submission proposed that the initial treatment listing would provide for the step-up dosing in the first cycle (i.e. 2.5 mg on Day 8 and 10 mg on Day 15 in Cycle 1) and the continuing treatment listing would provide for doses in subsequent cycles (i.e. 30 mg on Day 1 in Cycles 2 to 12).</w:t>
      </w:r>
      <w:r w:rsidR="009E1B4E">
        <w:rPr>
          <w:rFonts w:asciiTheme="minorHAnsi" w:hAnsiTheme="minorHAnsi"/>
          <w:iCs/>
          <w:snapToGrid w:val="0"/>
        </w:rPr>
        <w:t xml:space="preserve"> </w:t>
      </w:r>
      <w:r w:rsidR="009658FB">
        <w:rPr>
          <w:rFonts w:asciiTheme="minorHAnsi" w:hAnsiTheme="minorHAnsi"/>
          <w:iCs/>
          <w:snapToGrid w:val="0"/>
        </w:rPr>
        <w:t xml:space="preserve">The </w:t>
      </w:r>
      <w:r w:rsidR="009D076F">
        <w:rPr>
          <w:rFonts w:asciiTheme="minorHAnsi" w:hAnsiTheme="minorHAnsi"/>
          <w:iCs/>
          <w:snapToGrid w:val="0"/>
        </w:rPr>
        <w:t>Secretariat advised</w:t>
      </w:r>
      <w:r w:rsidR="009658FB">
        <w:rPr>
          <w:rFonts w:asciiTheme="minorHAnsi" w:hAnsiTheme="minorHAnsi"/>
          <w:iCs/>
          <w:snapToGrid w:val="0"/>
        </w:rPr>
        <w:t xml:space="preserve"> that </w:t>
      </w:r>
      <w:r w:rsidR="009D076F">
        <w:rPr>
          <w:rFonts w:asciiTheme="minorHAnsi" w:hAnsiTheme="minorHAnsi"/>
          <w:iCs/>
          <w:snapToGrid w:val="0"/>
        </w:rPr>
        <w:t xml:space="preserve">the </w:t>
      </w:r>
      <w:r w:rsidR="00744346">
        <w:rPr>
          <w:rFonts w:asciiTheme="minorHAnsi" w:hAnsiTheme="minorHAnsi"/>
          <w:iCs/>
          <w:snapToGrid w:val="0"/>
        </w:rPr>
        <w:t>variance in</w:t>
      </w:r>
      <w:r w:rsidR="00043E9F">
        <w:rPr>
          <w:rFonts w:asciiTheme="minorHAnsi" w:hAnsiTheme="minorHAnsi"/>
          <w:iCs/>
          <w:snapToGrid w:val="0"/>
        </w:rPr>
        <w:t xml:space="preserve"> </w:t>
      </w:r>
      <w:r w:rsidR="00282982">
        <w:rPr>
          <w:rFonts w:asciiTheme="minorHAnsi" w:hAnsiTheme="minorHAnsi"/>
          <w:iCs/>
          <w:snapToGrid w:val="0"/>
        </w:rPr>
        <w:t>dosing</w:t>
      </w:r>
      <w:r w:rsidR="00043E9F">
        <w:rPr>
          <w:rFonts w:asciiTheme="minorHAnsi" w:hAnsiTheme="minorHAnsi"/>
          <w:iCs/>
          <w:snapToGrid w:val="0"/>
        </w:rPr>
        <w:t xml:space="preserve"> in the first cycle </w:t>
      </w:r>
      <w:r w:rsidR="00C74FD3">
        <w:rPr>
          <w:rFonts w:asciiTheme="minorHAnsi" w:hAnsiTheme="minorHAnsi"/>
          <w:iCs/>
          <w:snapToGrid w:val="0"/>
        </w:rPr>
        <w:t xml:space="preserve">(i.e. a step-up from 2.5 mg to 10 mg) </w:t>
      </w:r>
      <w:r w:rsidR="009D076F">
        <w:rPr>
          <w:rFonts w:asciiTheme="minorHAnsi" w:hAnsiTheme="minorHAnsi"/>
          <w:iCs/>
          <w:snapToGrid w:val="0"/>
        </w:rPr>
        <w:t>wa</w:t>
      </w:r>
      <w:r w:rsidR="00043E9F">
        <w:rPr>
          <w:rFonts w:asciiTheme="minorHAnsi" w:hAnsiTheme="minorHAnsi"/>
          <w:iCs/>
          <w:snapToGrid w:val="0"/>
        </w:rPr>
        <w:t xml:space="preserve">s beyond what </w:t>
      </w:r>
      <w:r w:rsidR="00D70EC7">
        <w:rPr>
          <w:rFonts w:asciiTheme="minorHAnsi" w:hAnsiTheme="minorHAnsi"/>
          <w:iCs/>
          <w:snapToGrid w:val="0"/>
        </w:rPr>
        <w:t>wa</w:t>
      </w:r>
      <w:r w:rsidR="00043E9F">
        <w:rPr>
          <w:rFonts w:asciiTheme="minorHAnsi" w:hAnsiTheme="minorHAnsi"/>
          <w:iCs/>
          <w:snapToGrid w:val="0"/>
        </w:rPr>
        <w:t xml:space="preserve">s allowed in </w:t>
      </w:r>
      <w:r w:rsidR="0000287E">
        <w:rPr>
          <w:rFonts w:asciiTheme="minorHAnsi" w:hAnsiTheme="minorHAnsi"/>
          <w:iCs/>
          <w:snapToGrid w:val="0"/>
        </w:rPr>
        <w:t>the Efficient Funding of Chemotherapy</w:t>
      </w:r>
      <w:r w:rsidR="00710829">
        <w:rPr>
          <w:rFonts w:asciiTheme="minorHAnsi" w:hAnsiTheme="minorHAnsi"/>
          <w:iCs/>
          <w:snapToGrid w:val="0"/>
        </w:rPr>
        <w:t xml:space="preserve"> and hence a</w:t>
      </w:r>
      <w:r w:rsidR="0027402C">
        <w:rPr>
          <w:rFonts w:asciiTheme="minorHAnsi" w:hAnsiTheme="minorHAnsi"/>
          <w:iCs/>
          <w:snapToGrid w:val="0"/>
        </w:rPr>
        <w:t xml:space="preserve"> prescription with one repeat would not be compatible with listing </w:t>
      </w:r>
      <w:r w:rsidR="00303A55">
        <w:rPr>
          <w:rFonts w:asciiTheme="minorHAnsi" w:hAnsiTheme="minorHAnsi"/>
          <w:iCs/>
          <w:snapToGrid w:val="0"/>
        </w:rPr>
        <w:t xml:space="preserve">under this program. </w:t>
      </w:r>
      <w:r w:rsidR="00267C9D">
        <w:rPr>
          <w:rFonts w:asciiTheme="minorHAnsi" w:hAnsiTheme="minorHAnsi"/>
          <w:iCs/>
          <w:snapToGrid w:val="0"/>
        </w:rPr>
        <w:t xml:space="preserve">As such, the Secretariat proposed </w:t>
      </w:r>
      <w:r w:rsidR="00544E00">
        <w:rPr>
          <w:rFonts w:asciiTheme="minorHAnsi" w:hAnsiTheme="minorHAnsi"/>
          <w:iCs/>
          <w:snapToGrid w:val="0"/>
        </w:rPr>
        <w:t>breaking up the initial treatment listing</w:t>
      </w:r>
      <w:r w:rsidR="00DF6C06">
        <w:rPr>
          <w:rFonts w:asciiTheme="minorHAnsi" w:hAnsiTheme="minorHAnsi"/>
          <w:iCs/>
          <w:snapToGrid w:val="0"/>
        </w:rPr>
        <w:t xml:space="preserve"> into two prescriptions (</w:t>
      </w:r>
      <w:r w:rsidR="00D514B0">
        <w:rPr>
          <w:rFonts w:asciiTheme="minorHAnsi" w:hAnsiTheme="minorHAnsi"/>
          <w:iCs/>
          <w:snapToGrid w:val="0"/>
        </w:rPr>
        <w:t xml:space="preserve">maximum amount of 2.5 mg for Cycle 1 – Day 8 with no repeats and maximum amount of 10 mg for Cycle 1 – Day </w:t>
      </w:r>
      <w:r w:rsidR="00D778A4">
        <w:rPr>
          <w:rFonts w:asciiTheme="minorHAnsi" w:hAnsiTheme="minorHAnsi"/>
          <w:iCs/>
          <w:snapToGrid w:val="0"/>
        </w:rPr>
        <w:t xml:space="preserve">15 with no repeats). </w:t>
      </w:r>
      <w:r w:rsidR="007B626A">
        <w:rPr>
          <w:rFonts w:asciiTheme="minorHAnsi" w:hAnsiTheme="minorHAnsi"/>
          <w:iCs/>
          <w:snapToGrid w:val="0"/>
        </w:rPr>
        <w:t xml:space="preserve">The Secretariat noted that </w:t>
      </w:r>
      <w:r w:rsidR="005A253C">
        <w:rPr>
          <w:rFonts w:asciiTheme="minorHAnsi" w:hAnsiTheme="minorHAnsi"/>
          <w:iCs/>
          <w:snapToGrid w:val="0"/>
        </w:rPr>
        <w:t xml:space="preserve">one continuing listing of 5 repeats could potentially allow for an extra cycle (i.e. 13 total cycles instead of 12 total cycles). </w:t>
      </w:r>
      <w:r w:rsidR="004A29E8">
        <w:rPr>
          <w:rFonts w:asciiTheme="minorHAnsi" w:hAnsiTheme="minorHAnsi"/>
          <w:iCs/>
          <w:snapToGrid w:val="0"/>
        </w:rPr>
        <w:t xml:space="preserve">The Secretariat proposed either breaking up the continuing listing </w:t>
      </w:r>
      <w:r w:rsidR="003845EA">
        <w:rPr>
          <w:rFonts w:asciiTheme="minorHAnsi" w:hAnsiTheme="minorHAnsi"/>
          <w:iCs/>
          <w:snapToGrid w:val="0"/>
        </w:rPr>
        <w:t>(</w:t>
      </w:r>
      <w:r w:rsidR="000E67D8">
        <w:rPr>
          <w:rFonts w:asciiTheme="minorHAnsi" w:hAnsiTheme="minorHAnsi"/>
          <w:iCs/>
          <w:snapToGrid w:val="0"/>
        </w:rPr>
        <w:t xml:space="preserve">i.e. </w:t>
      </w:r>
      <w:r w:rsidR="003845EA">
        <w:rPr>
          <w:rFonts w:asciiTheme="minorHAnsi" w:hAnsiTheme="minorHAnsi"/>
          <w:iCs/>
          <w:snapToGrid w:val="0"/>
        </w:rPr>
        <w:t xml:space="preserve">6 repeats for Cycles 2-8 and 3 repeats for Cycles 9 – 12) or </w:t>
      </w:r>
      <w:r w:rsidR="000E67D8">
        <w:rPr>
          <w:rFonts w:asciiTheme="minorHAnsi" w:hAnsiTheme="minorHAnsi"/>
          <w:iCs/>
          <w:snapToGrid w:val="0"/>
        </w:rPr>
        <w:t xml:space="preserve">allowing the full number of repeats for </w:t>
      </w:r>
      <w:r w:rsidR="00602C84">
        <w:rPr>
          <w:rFonts w:asciiTheme="minorHAnsi" w:hAnsiTheme="minorHAnsi"/>
          <w:iCs/>
          <w:snapToGrid w:val="0"/>
        </w:rPr>
        <w:t>C</w:t>
      </w:r>
      <w:r w:rsidR="000E67D8">
        <w:rPr>
          <w:rFonts w:asciiTheme="minorHAnsi" w:hAnsiTheme="minorHAnsi"/>
          <w:iCs/>
          <w:snapToGrid w:val="0"/>
        </w:rPr>
        <w:t xml:space="preserve">ycles 2-12 (i.e. </w:t>
      </w:r>
      <w:r w:rsidR="00602C84">
        <w:rPr>
          <w:rFonts w:asciiTheme="minorHAnsi" w:hAnsiTheme="minorHAnsi"/>
          <w:iCs/>
          <w:snapToGrid w:val="0"/>
        </w:rPr>
        <w:t xml:space="preserve">one continuing listing with 10 repeats). </w:t>
      </w:r>
      <w:r w:rsidR="009958E7">
        <w:rPr>
          <w:rFonts w:asciiTheme="minorHAnsi" w:hAnsiTheme="minorHAnsi"/>
          <w:iCs/>
          <w:snapToGrid w:val="0"/>
        </w:rPr>
        <w:t xml:space="preserve">The pre-PBAC response supported the Secretariat proposal for a continuing listing with </w:t>
      </w:r>
      <w:r w:rsidR="002F63AA">
        <w:rPr>
          <w:rFonts w:asciiTheme="minorHAnsi" w:hAnsiTheme="minorHAnsi"/>
          <w:iCs/>
          <w:snapToGrid w:val="0"/>
        </w:rPr>
        <w:t>10 repeats.</w:t>
      </w:r>
      <w:bookmarkEnd w:id="18"/>
      <w:r w:rsidR="002F63AA">
        <w:rPr>
          <w:rFonts w:asciiTheme="minorHAnsi" w:hAnsiTheme="minorHAnsi"/>
          <w:iCs/>
          <w:snapToGrid w:val="0"/>
        </w:rPr>
        <w:t xml:space="preserve"> </w:t>
      </w:r>
      <w:r w:rsidR="00282982">
        <w:rPr>
          <w:rFonts w:asciiTheme="minorHAnsi" w:hAnsiTheme="minorHAnsi"/>
          <w:iCs/>
          <w:snapToGrid w:val="0"/>
        </w:rPr>
        <w:t xml:space="preserve"> </w:t>
      </w:r>
    </w:p>
    <w:p w14:paraId="77FFD72E" w14:textId="462EDF5D" w:rsidR="004154DB" w:rsidRPr="005B47B5" w:rsidRDefault="005B47B5" w:rsidP="005B47B5">
      <w:pPr>
        <w:numPr>
          <w:ilvl w:val="1"/>
          <w:numId w:val="1"/>
        </w:numPr>
        <w:spacing w:before="60" w:after="60"/>
        <w:rPr>
          <w:rFonts w:asciiTheme="minorHAnsi" w:hAnsiTheme="minorHAnsi"/>
          <w:iCs/>
          <w:snapToGrid w:val="0"/>
        </w:rPr>
      </w:pPr>
      <w:bookmarkStart w:id="19" w:name="_Ref203660057"/>
      <w:r w:rsidRPr="005B47B5">
        <w:rPr>
          <w:rFonts w:asciiTheme="minorHAnsi" w:hAnsiTheme="minorHAnsi"/>
          <w:iCs/>
          <w:snapToGrid w:val="0"/>
        </w:rPr>
        <w:t>Noting that a 2.5mg vial is requested, the Secretariat</w:t>
      </w:r>
      <w:r w:rsidR="006D5AB4">
        <w:rPr>
          <w:rFonts w:asciiTheme="minorHAnsi" w:hAnsiTheme="minorHAnsi"/>
          <w:iCs/>
          <w:snapToGrid w:val="0"/>
        </w:rPr>
        <w:t xml:space="preserve"> advised</w:t>
      </w:r>
      <w:r w:rsidR="00940B15">
        <w:rPr>
          <w:rFonts w:asciiTheme="minorHAnsi" w:hAnsiTheme="minorHAnsi"/>
          <w:iCs/>
          <w:snapToGrid w:val="0"/>
        </w:rPr>
        <w:t xml:space="preserve"> that </w:t>
      </w:r>
      <w:r w:rsidR="006D5AB4">
        <w:rPr>
          <w:rFonts w:asciiTheme="minorHAnsi" w:hAnsiTheme="minorHAnsi"/>
          <w:iCs/>
          <w:snapToGrid w:val="0"/>
        </w:rPr>
        <w:t xml:space="preserve">the description of doses in the maximum listed amount would need to be changed from milligrams </w:t>
      </w:r>
      <w:r w:rsidR="00F722B2">
        <w:rPr>
          <w:rFonts w:asciiTheme="minorHAnsi" w:hAnsiTheme="minorHAnsi"/>
          <w:iCs/>
          <w:snapToGrid w:val="0"/>
        </w:rPr>
        <w:t xml:space="preserve">to micrograms due to </w:t>
      </w:r>
      <w:r w:rsidR="008E3B0C">
        <w:rPr>
          <w:rFonts w:asciiTheme="minorHAnsi" w:hAnsiTheme="minorHAnsi"/>
          <w:iCs/>
          <w:snapToGrid w:val="0"/>
        </w:rPr>
        <w:t>Efficient Funding of Chemotherapy</w:t>
      </w:r>
      <w:r w:rsidR="008E3B0C" w:rsidRPr="005B47B5">
        <w:rPr>
          <w:rFonts w:asciiTheme="minorHAnsi" w:hAnsiTheme="minorHAnsi"/>
          <w:iCs/>
          <w:snapToGrid w:val="0"/>
        </w:rPr>
        <w:t xml:space="preserve"> </w:t>
      </w:r>
      <w:r w:rsidR="00F722B2">
        <w:rPr>
          <w:rFonts w:asciiTheme="minorHAnsi" w:hAnsiTheme="minorHAnsi"/>
          <w:iCs/>
          <w:snapToGrid w:val="0"/>
        </w:rPr>
        <w:t>algorithm limitations</w:t>
      </w:r>
      <w:r w:rsidR="00612C51">
        <w:rPr>
          <w:rFonts w:asciiTheme="minorHAnsi" w:hAnsiTheme="minorHAnsi"/>
          <w:iCs/>
          <w:snapToGrid w:val="0"/>
        </w:rPr>
        <w:t xml:space="preserve">. </w:t>
      </w:r>
      <w:r w:rsidR="00A47EBC">
        <w:rPr>
          <w:rFonts w:asciiTheme="minorHAnsi" w:hAnsiTheme="minorHAnsi"/>
          <w:iCs/>
          <w:snapToGrid w:val="0"/>
        </w:rPr>
        <w:t xml:space="preserve">The Secretariat noted that this would be </w:t>
      </w:r>
      <w:r w:rsidR="003E7F99">
        <w:rPr>
          <w:rFonts w:asciiTheme="minorHAnsi" w:hAnsiTheme="minorHAnsi"/>
          <w:iCs/>
          <w:snapToGrid w:val="0"/>
        </w:rPr>
        <w:t>in line with past Efficient Funding of Chemotherapy</w:t>
      </w:r>
      <w:r w:rsidR="003E7F99" w:rsidRPr="005B47B5">
        <w:rPr>
          <w:rFonts w:asciiTheme="minorHAnsi" w:hAnsiTheme="minorHAnsi"/>
          <w:iCs/>
          <w:snapToGrid w:val="0"/>
        </w:rPr>
        <w:t xml:space="preserve"> </w:t>
      </w:r>
      <w:r w:rsidR="003E7F99">
        <w:rPr>
          <w:rFonts w:asciiTheme="minorHAnsi" w:hAnsiTheme="minorHAnsi"/>
          <w:iCs/>
          <w:snapToGrid w:val="0"/>
        </w:rPr>
        <w:t>listings</w:t>
      </w:r>
      <w:r w:rsidR="00054713">
        <w:rPr>
          <w:rFonts w:asciiTheme="minorHAnsi" w:hAnsiTheme="minorHAnsi"/>
          <w:iCs/>
          <w:snapToGrid w:val="0"/>
        </w:rPr>
        <w:t xml:space="preserve"> where the </w:t>
      </w:r>
      <w:r w:rsidR="00E81D1F">
        <w:rPr>
          <w:rFonts w:asciiTheme="minorHAnsi" w:hAnsiTheme="minorHAnsi"/>
          <w:iCs/>
          <w:snapToGrid w:val="0"/>
        </w:rPr>
        <w:t>vial strength</w:t>
      </w:r>
      <w:r w:rsidR="003E7F99">
        <w:rPr>
          <w:rFonts w:asciiTheme="minorHAnsi" w:hAnsiTheme="minorHAnsi"/>
          <w:iCs/>
          <w:snapToGrid w:val="0"/>
        </w:rPr>
        <w:t xml:space="preserve"> involv</w:t>
      </w:r>
      <w:r w:rsidR="00E81D1F">
        <w:rPr>
          <w:rFonts w:asciiTheme="minorHAnsi" w:hAnsiTheme="minorHAnsi"/>
          <w:iCs/>
          <w:snapToGrid w:val="0"/>
        </w:rPr>
        <w:t>ed a</w:t>
      </w:r>
      <w:r w:rsidR="003E7F99">
        <w:rPr>
          <w:rFonts w:asciiTheme="minorHAnsi" w:hAnsiTheme="minorHAnsi"/>
          <w:iCs/>
          <w:snapToGrid w:val="0"/>
        </w:rPr>
        <w:t xml:space="preserve"> </w:t>
      </w:r>
      <w:r w:rsidR="009B7013">
        <w:rPr>
          <w:rFonts w:asciiTheme="minorHAnsi" w:hAnsiTheme="minorHAnsi"/>
          <w:iCs/>
          <w:snapToGrid w:val="0"/>
        </w:rPr>
        <w:t>decimal point (e.g.</w:t>
      </w:r>
      <w:r w:rsidR="004D6B6C">
        <w:rPr>
          <w:rFonts w:asciiTheme="minorHAnsi" w:hAnsiTheme="minorHAnsi"/>
          <w:iCs/>
          <w:snapToGrid w:val="0"/>
        </w:rPr>
        <w:t xml:space="preserve"> bortezomib).</w:t>
      </w:r>
      <w:bookmarkEnd w:id="19"/>
      <w:r w:rsidR="004D6B6C">
        <w:rPr>
          <w:rFonts w:asciiTheme="minorHAnsi" w:hAnsiTheme="minorHAnsi"/>
          <w:iCs/>
          <w:snapToGrid w:val="0"/>
        </w:rPr>
        <w:t xml:space="preserve"> </w:t>
      </w:r>
    </w:p>
    <w:p w14:paraId="6672560C" w14:textId="77777777" w:rsidR="004154DB" w:rsidRPr="008D0139" w:rsidRDefault="004154DB" w:rsidP="00DF29F8">
      <w:pPr>
        <w:numPr>
          <w:ilvl w:val="1"/>
          <w:numId w:val="1"/>
        </w:numPr>
        <w:spacing w:before="60" w:after="60"/>
        <w:rPr>
          <w:rFonts w:asciiTheme="minorHAnsi" w:hAnsiTheme="minorHAnsi"/>
          <w:iCs/>
          <w:snapToGrid w:val="0"/>
        </w:rPr>
      </w:pPr>
      <w:r w:rsidRPr="008D0139">
        <w:rPr>
          <w:rFonts w:asciiTheme="minorHAnsi" w:hAnsiTheme="minorHAnsi"/>
          <w:iCs/>
          <w:snapToGrid w:val="0"/>
        </w:rPr>
        <w:t>The submission requested PBS/RPBS restriction criteria that would limit the use of glofitamab (in combination with gemcitabine and oxaliplatin for the first 8 cycles) to patients with R/R DLBCL (i.e. second-line plus setting for DLBCL), who are unsuitable for stem cell transplant (undefined) and have a WHO performance status of 2 or less.</w:t>
      </w:r>
    </w:p>
    <w:p w14:paraId="4B5BFF3F" w14:textId="7DBCCFAE" w:rsidR="004154DB" w:rsidRPr="008D0139" w:rsidRDefault="00D405A0" w:rsidP="00DF29F8">
      <w:pPr>
        <w:numPr>
          <w:ilvl w:val="1"/>
          <w:numId w:val="1"/>
        </w:numPr>
        <w:spacing w:before="60" w:after="60"/>
        <w:rPr>
          <w:rFonts w:asciiTheme="minorHAnsi" w:hAnsiTheme="minorHAnsi"/>
          <w:iCs/>
          <w:snapToGrid w:val="0"/>
        </w:rPr>
      </w:pPr>
      <w:r w:rsidRPr="008D0139">
        <w:rPr>
          <w:rFonts w:asciiTheme="minorHAnsi" w:hAnsiTheme="minorHAnsi"/>
          <w:iCs/>
          <w:snapToGrid w:val="0"/>
        </w:rPr>
        <w:t>T</w:t>
      </w:r>
      <w:r w:rsidR="004154DB" w:rsidRPr="008D0139">
        <w:rPr>
          <w:rFonts w:asciiTheme="minorHAnsi" w:hAnsiTheme="minorHAnsi"/>
          <w:iCs/>
          <w:snapToGrid w:val="0"/>
        </w:rPr>
        <w:t>he proposed restriction was generally consistent with the selection criteria of the STARGLO trial</w:t>
      </w:r>
      <w:r w:rsidRPr="008D0139">
        <w:rPr>
          <w:rFonts w:asciiTheme="minorHAnsi" w:hAnsiTheme="minorHAnsi"/>
          <w:iCs/>
          <w:snapToGrid w:val="0"/>
        </w:rPr>
        <w:t xml:space="preserve">. However, </w:t>
      </w:r>
      <w:r w:rsidR="00AE570A" w:rsidRPr="008D0139">
        <w:rPr>
          <w:rFonts w:asciiTheme="minorHAnsi" w:hAnsiTheme="minorHAnsi"/>
          <w:iCs/>
          <w:snapToGrid w:val="0"/>
        </w:rPr>
        <w:t>t</w:t>
      </w:r>
      <w:r w:rsidR="004154DB" w:rsidRPr="008D0139">
        <w:rPr>
          <w:rFonts w:asciiTheme="minorHAnsi" w:hAnsiTheme="minorHAnsi"/>
          <w:iCs/>
          <w:snapToGrid w:val="0"/>
        </w:rPr>
        <w:t xml:space="preserve">he proposed clinical management algorithm, based on current practice guidelines, positioned Glofit-GemOx in the second-line setting for patients unsuitable for ASCT or </w:t>
      </w:r>
      <w:r w:rsidR="003F6BB4" w:rsidRPr="008D0139">
        <w:rPr>
          <w:rFonts w:asciiTheme="minorHAnsi" w:hAnsiTheme="minorHAnsi"/>
          <w:iCs/>
          <w:snapToGrid w:val="0"/>
        </w:rPr>
        <w:t>chimeric antigen receptor-T (CAR-T)</w:t>
      </w:r>
      <w:r w:rsidR="00937CF6">
        <w:rPr>
          <w:rFonts w:asciiTheme="minorHAnsi" w:hAnsiTheme="minorHAnsi"/>
          <w:iCs/>
          <w:snapToGrid w:val="0"/>
        </w:rPr>
        <w:t xml:space="preserve"> cell therapy</w:t>
      </w:r>
      <w:r w:rsidR="004154DB" w:rsidRPr="008D0139">
        <w:rPr>
          <w:rFonts w:asciiTheme="minorHAnsi" w:hAnsiTheme="minorHAnsi"/>
          <w:iCs/>
          <w:snapToGrid w:val="0"/>
        </w:rPr>
        <w:t xml:space="preserve">, or in the third-line setting after prior ASCT or CAR-T </w:t>
      </w:r>
      <w:r w:rsidR="00937CF6">
        <w:rPr>
          <w:rFonts w:asciiTheme="minorHAnsi" w:hAnsiTheme="minorHAnsi"/>
          <w:iCs/>
          <w:snapToGrid w:val="0"/>
        </w:rPr>
        <w:t xml:space="preserve">cell therapy </w:t>
      </w:r>
      <w:r w:rsidR="004154DB" w:rsidRPr="008D0139">
        <w:rPr>
          <w:rFonts w:asciiTheme="minorHAnsi" w:hAnsiTheme="minorHAnsi"/>
          <w:iCs/>
          <w:snapToGrid w:val="0"/>
        </w:rPr>
        <w:t xml:space="preserve">(refer to </w:t>
      </w:r>
      <w:r w:rsidR="008E5EA7" w:rsidRPr="008D0139">
        <w:rPr>
          <w:rFonts w:asciiTheme="minorHAnsi" w:hAnsiTheme="minorHAnsi"/>
          <w:iCs/>
          <w:snapToGrid w:val="0"/>
        </w:rPr>
        <w:fldChar w:fldCharType="begin" w:fldLock="1"/>
      </w:r>
      <w:r w:rsidR="008E5EA7" w:rsidRPr="008D0139">
        <w:rPr>
          <w:rFonts w:asciiTheme="minorHAnsi" w:hAnsiTheme="minorHAnsi"/>
          <w:iCs/>
          <w:snapToGrid w:val="0"/>
        </w:rPr>
        <w:instrText xml:space="preserve"> REF _Ref196684075 \h  \* MERGEFORMAT </w:instrText>
      </w:r>
      <w:r w:rsidR="008E5EA7" w:rsidRPr="008D0139">
        <w:rPr>
          <w:rFonts w:asciiTheme="minorHAnsi" w:hAnsiTheme="minorHAnsi"/>
          <w:iCs/>
          <w:snapToGrid w:val="0"/>
        </w:rPr>
      </w:r>
      <w:r w:rsidR="008E5EA7" w:rsidRPr="008D0139">
        <w:rPr>
          <w:rFonts w:asciiTheme="minorHAnsi" w:hAnsiTheme="minorHAnsi"/>
          <w:iCs/>
          <w:snapToGrid w:val="0"/>
        </w:rPr>
        <w:fldChar w:fldCharType="separate"/>
      </w:r>
      <w:r w:rsidR="003C21E7" w:rsidRPr="003C21E7">
        <w:rPr>
          <w:rFonts w:asciiTheme="minorHAnsi" w:hAnsiTheme="minorHAnsi"/>
          <w:iCs/>
          <w:snapToGrid w:val="0"/>
        </w:rPr>
        <w:t>Figure 1</w:t>
      </w:r>
      <w:r w:rsidR="008E5EA7" w:rsidRPr="008D0139">
        <w:rPr>
          <w:rFonts w:asciiTheme="minorHAnsi" w:hAnsiTheme="minorHAnsi"/>
          <w:iCs/>
          <w:snapToGrid w:val="0"/>
        </w:rPr>
        <w:fldChar w:fldCharType="end"/>
      </w:r>
      <w:r w:rsidR="004154DB" w:rsidRPr="008D0139">
        <w:rPr>
          <w:rFonts w:asciiTheme="minorHAnsi" w:hAnsiTheme="minorHAnsi"/>
          <w:iCs/>
          <w:snapToGrid w:val="0"/>
        </w:rPr>
        <w:t xml:space="preserve">). </w:t>
      </w:r>
      <w:r w:rsidR="0001509F" w:rsidRPr="008D0139">
        <w:rPr>
          <w:rFonts w:asciiTheme="minorHAnsi" w:hAnsiTheme="minorHAnsi"/>
          <w:iCs/>
          <w:snapToGrid w:val="0"/>
        </w:rPr>
        <w:t xml:space="preserve">While the restriction included </w:t>
      </w:r>
      <w:r w:rsidR="00971E0E" w:rsidRPr="008D0139">
        <w:rPr>
          <w:rFonts w:asciiTheme="minorHAnsi" w:hAnsiTheme="minorHAnsi"/>
          <w:iCs/>
          <w:snapToGrid w:val="0"/>
        </w:rPr>
        <w:t>wording regarding ASCT suitability it was</w:t>
      </w:r>
      <w:r w:rsidR="00EF79BE" w:rsidRPr="008D0139">
        <w:rPr>
          <w:rFonts w:asciiTheme="minorHAnsi" w:hAnsiTheme="minorHAnsi"/>
          <w:iCs/>
          <w:snapToGrid w:val="0"/>
        </w:rPr>
        <w:t xml:space="preserve"> silent</w:t>
      </w:r>
      <w:r w:rsidR="00971E0E" w:rsidRPr="008D0139">
        <w:rPr>
          <w:rFonts w:asciiTheme="minorHAnsi" w:hAnsiTheme="minorHAnsi"/>
          <w:iCs/>
          <w:snapToGrid w:val="0"/>
        </w:rPr>
        <w:t xml:space="preserve"> </w:t>
      </w:r>
      <w:r w:rsidR="004154DB" w:rsidRPr="008D0139">
        <w:rPr>
          <w:rFonts w:asciiTheme="minorHAnsi" w:hAnsiTheme="minorHAnsi"/>
          <w:iCs/>
          <w:snapToGrid w:val="0"/>
        </w:rPr>
        <w:t xml:space="preserve">with respect to </w:t>
      </w:r>
      <w:r w:rsidR="000940C3">
        <w:rPr>
          <w:rFonts w:asciiTheme="minorHAnsi" w:hAnsiTheme="minorHAnsi"/>
          <w:iCs/>
          <w:snapToGrid w:val="0"/>
        </w:rPr>
        <w:t>CAR-T cell therapy</w:t>
      </w:r>
      <w:r w:rsidR="004154DB" w:rsidRPr="008D0139">
        <w:rPr>
          <w:rFonts w:asciiTheme="minorHAnsi" w:hAnsiTheme="minorHAnsi"/>
          <w:iCs/>
          <w:snapToGrid w:val="0"/>
        </w:rPr>
        <w:t xml:space="preserve">. The submission argued that the proposed clinical criterion “patient must be unsuitable for stem cell transplant” would also likely exclude patients suitable for </w:t>
      </w:r>
      <w:r w:rsidR="000940C3">
        <w:rPr>
          <w:rFonts w:asciiTheme="minorHAnsi" w:hAnsiTheme="minorHAnsi"/>
          <w:iCs/>
          <w:snapToGrid w:val="0"/>
        </w:rPr>
        <w:t>CAR-T cell therapy</w:t>
      </w:r>
      <w:r w:rsidR="004154DB" w:rsidRPr="008D0139">
        <w:rPr>
          <w:rFonts w:asciiTheme="minorHAnsi" w:hAnsiTheme="minorHAnsi"/>
          <w:iCs/>
          <w:snapToGrid w:val="0"/>
        </w:rPr>
        <w:t>, but this is not true for all patients (</w:t>
      </w:r>
      <w:r w:rsidR="00F81E9D" w:rsidRPr="008D0139">
        <w:rPr>
          <w:rFonts w:asciiTheme="minorHAnsi" w:hAnsiTheme="minorHAnsi"/>
          <w:iCs/>
          <w:snapToGrid w:val="0"/>
        </w:rPr>
        <w:t xml:space="preserve">see paragraph </w:t>
      </w:r>
      <w:r w:rsidR="00EA39F8" w:rsidRPr="008D0139">
        <w:rPr>
          <w:rFonts w:asciiTheme="minorHAnsi" w:hAnsiTheme="minorHAnsi"/>
          <w:iCs/>
          <w:snapToGrid w:val="0"/>
        </w:rPr>
        <w:fldChar w:fldCharType="begin" w:fldLock="1"/>
      </w:r>
      <w:r w:rsidR="00EA39F8" w:rsidRPr="008D0139">
        <w:rPr>
          <w:rFonts w:asciiTheme="minorHAnsi" w:hAnsiTheme="minorHAnsi"/>
          <w:iCs/>
          <w:snapToGrid w:val="0"/>
        </w:rPr>
        <w:instrText xml:space="preserve"> REF _Ref197513409 \r \h </w:instrText>
      </w:r>
      <w:r w:rsidR="00DF29F8" w:rsidRPr="008D0139">
        <w:rPr>
          <w:rFonts w:asciiTheme="minorHAnsi" w:hAnsiTheme="minorHAnsi"/>
          <w:iCs/>
          <w:snapToGrid w:val="0"/>
        </w:rPr>
        <w:instrText xml:space="preserve"> \* MERGEFORMAT </w:instrText>
      </w:r>
      <w:r w:rsidR="00EA39F8" w:rsidRPr="008D0139">
        <w:rPr>
          <w:rFonts w:asciiTheme="minorHAnsi" w:hAnsiTheme="minorHAnsi"/>
          <w:iCs/>
          <w:snapToGrid w:val="0"/>
        </w:rPr>
      </w:r>
      <w:r w:rsidR="00EA39F8" w:rsidRPr="008D0139">
        <w:rPr>
          <w:rFonts w:asciiTheme="minorHAnsi" w:hAnsiTheme="minorHAnsi"/>
          <w:iCs/>
          <w:snapToGrid w:val="0"/>
        </w:rPr>
        <w:fldChar w:fldCharType="separate"/>
      </w:r>
      <w:r w:rsidR="00EF4725">
        <w:rPr>
          <w:rFonts w:asciiTheme="minorHAnsi" w:hAnsiTheme="minorHAnsi"/>
          <w:iCs/>
          <w:snapToGrid w:val="0"/>
        </w:rPr>
        <w:t>5.5</w:t>
      </w:r>
      <w:r w:rsidR="00EA39F8" w:rsidRPr="008D0139">
        <w:rPr>
          <w:rFonts w:asciiTheme="minorHAnsi" w:hAnsiTheme="minorHAnsi"/>
          <w:iCs/>
          <w:snapToGrid w:val="0"/>
        </w:rPr>
        <w:fldChar w:fldCharType="end"/>
      </w:r>
      <w:r w:rsidR="004154DB" w:rsidRPr="008D0139">
        <w:rPr>
          <w:rFonts w:asciiTheme="minorHAnsi" w:hAnsiTheme="minorHAnsi"/>
          <w:iCs/>
          <w:snapToGrid w:val="0"/>
        </w:rPr>
        <w:t xml:space="preserve">). Hence, to better align the requested PBS restriction with the proposed treatment algorithm, it may be appropriate to add clinical criteria explicitly excluding patients suitable or currently able to receive </w:t>
      </w:r>
      <w:r w:rsidR="000940C3">
        <w:rPr>
          <w:rFonts w:asciiTheme="minorHAnsi" w:hAnsiTheme="minorHAnsi"/>
          <w:iCs/>
          <w:snapToGrid w:val="0"/>
        </w:rPr>
        <w:t>CAR-T cell therapy</w:t>
      </w:r>
      <w:r w:rsidR="004154DB" w:rsidRPr="008D0139">
        <w:rPr>
          <w:rFonts w:asciiTheme="minorHAnsi" w:hAnsiTheme="minorHAnsi"/>
          <w:iCs/>
          <w:snapToGrid w:val="0"/>
        </w:rPr>
        <w:t xml:space="preserve">. The PBS listing for epcoritamab, which is restricted to </w:t>
      </w:r>
      <w:r w:rsidR="005B3809" w:rsidRPr="008D0139">
        <w:rPr>
          <w:rFonts w:asciiTheme="minorHAnsi" w:hAnsiTheme="minorHAnsi"/>
          <w:iCs/>
          <w:snapToGrid w:val="0"/>
        </w:rPr>
        <w:t xml:space="preserve">a </w:t>
      </w:r>
      <w:r w:rsidR="004154DB" w:rsidRPr="008D0139">
        <w:rPr>
          <w:rFonts w:asciiTheme="minorHAnsi" w:hAnsiTheme="minorHAnsi"/>
          <w:iCs/>
          <w:snapToGrid w:val="0"/>
        </w:rPr>
        <w:t>third-line setting, includes clinical criteria that patient</w:t>
      </w:r>
      <w:r w:rsidR="005B3809" w:rsidRPr="008D0139">
        <w:rPr>
          <w:rFonts w:asciiTheme="minorHAnsi" w:hAnsiTheme="minorHAnsi"/>
          <w:iCs/>
          <w:snapToGrid w:val="0"/>
        </w:rPr>
        <w:t>s</w:t>
      </w:r>
      <w:r w:rsidR="004154DB" w:rsidRPr="008D0139">
        <w:rPr>
          <w:rFonts w:asciiTheme="minorHAnsi" w:hAnsiTheme="minorHAnsi"/>
          <w:iCs/>
          <w:snapToGrid w:val="0"/>
        </w:rPr>
        <w:t xml:space="preserve"> must “not be eligible for stem cell transplantation” and “must have previously received treatment with CAR-T cell therapy… or must be currently unable to receive treatment with CAR-T cell therapy” (p50 Epcoritamab </w:t>
      </w:r>
      <w:r w:rsidR="00D334B1" w:rsidRPr="00D334B1">
        <w:rPr>
          <w:rFonts w:asciiTheme="minorHAnsi" w:hAnsiTheme="minorHAnsi"/>
          <w:iCs/>
          <w:snapToGrid w:val="0"/>
        </w:rPr>
        <w:t xml:space="preserve">Public Summary Document </w:t>
      </w:r>
      <w:r w:rsidR="00D334B1">
        <w:rPr>
          <w:rFonts w:asciiTheme="minorHAnsi" w:hAnsiTheme="minorHAnsi"/>
          <w:iCs/>
          <w:snapToGrid w:val="0"/>
        </w:rPr>
        <w:t>(</w:t>
      </w:r>
      <w:r w:rsidR="004154DB" w:rsidRPr="008D0139">
        <w:rPr>
          <w:rFonts w:asciiTheme="minorHAnsi" w:hAnsiTheme="minorHAnsi"/>
          <w:iCs/>
          <w:snapToGrid w:val="0"/>
        </w:rPr>
        <w:t>PSD</w:t>
      </w:r>
      <w:r w:rsidR="00D334B1">
        <w:rPr>
          <w:rFonts w:asciiTheme="minorHAnsi" w:hAnsiTheme="minorHAnsi"/>
          <w:iCs/>
          <w:snapToGrid w:val="0"/>
        </w:rPr>
        <w:t>)</w:t>
      </w:r>
      <w:r w:rsidR="004154DB" w:rsidRPr="008D0139">
        <w:rPr>
          <w:rFonts w:asciiTheme="minorHAnsi" w:hAnsiTheme="minorHAnsi"/>
          <w:iCs/>
          <w:snapToGrid w:val="0"/>
        </w:rPr>
        <w:t>, November 2024</w:t>
      </w:r>
      <w:r w:rsidR="0014067B" w:rsidRPr="008D0139">
        <w:rPr>
          <w:rFonts w:asciiTheme="minorHAnsi" w:hAnsiTheme="minorHAnsi"/>
          <w:iCs/>
          <w:snapToGrid w:val="0"/>
        </w:rPr>
        <w:t xml:space="preserve"> PBAC Meeting</w:t>
      </w:r>
      <w:r w:rsidR="004154DB" w:rsidRPr="008D0139">
        <w:rPr>
          <w:rFonts w:asciiTheme="minorHAnsi" w:hAnsiTheme="minorHAnsi"/>
          <w:iCs/>
          <w:snapToGrid w:val="0"/>
        </w:rPr>
        <w:t>).</w:t>
      </w:r>
      <w:r w:rsidR="00894B9D" w:rsidRPr="008D0139">
        <w:rPr>
          <w:rFonts w:asciiTheme="minorHAnsi" w:hAnsiTheme="minorHAnsi"/>
          <w:iCs/>
          <w:snapToGrid w:val="0"/>
        </w:rPr>
        <w:t xml:space="preserve"> </w:t>
      </w:r>
      <w:r w:rsidR="00810C74" w:rsidRPr="008D0139">
        <w:rPr>
          <w:rFonts w:asciiTheme="minorHAnsi" w:hAnsiTheme="minorHAnsi"/>
          <w:iCs/>
          <w:snapToGrid w:val="0"/>
        </w:rPr>
        <w:t xml:space="preserve">The ESC considered that the wording of the </w:t>
      </w:r>
      <w:r w:rsidR="00027909" w:rsidRPr="008D0139">
        <w:rPr>
          <w:rFonts w:asciiTheme="minorHAnsi" w:hAnsiTheme="minorHAnsi"/>
          <w:iCs/>
          <w:snapToGrid w:val="0"/>
        </w:rPr>
        <w:t xml:space="preserve">epcoritamab restriction </w:t>
      </w:r>
      <w:r w:rsidR="00302591" w:rsidRPr="008D0139">
        <w:rPr>
          <w:rFonts w:asciiTheme="minorHAnsi" w:hAnsiTheme="minorHAnsi"/>
          <w:iCs/>
          <w:snapToGrid w:val="0"/>
        </w:rPr>
        <w:t xml:space="preserve">stating that the </w:t>
      </w:r>
      <w:r w:rsidR="007F26C3" w:rsidRPr="008D0139">
        <w:rPr>
          <w:rFonts w:asciiTheme="minorHAnsi" w:hAnsiTheme="minorHAnsi"/>
          <w:iCs/>
          <w:snapToGrid w:val="0"/>
        </w:rPr>
        <w:t>‘</w:t>
      </w:r>
      <w:r w:rsidR="00630C28" w:rsidRPr="008D0139">
        <w:rPr>
          <w:rFonts w:asciiTheme="minorHAnsi" w:hAnsiTheme="minorHAnsi"/>
          <w:iCs/>
          <w:snapToGrid w:val="0"/>
        </w:rPr>
        <w:t xml:space="preserve">Patient must be currently </w:t>
      </w:r>
      <w:r w:rsidR="00FC5CAB" w:rsidRPr="008D0139">
        <w:rPr>
          <w:rFonts w:asciiTheme="minorHAnsi" w:hAnsiTheme="minorHAnsi"/>
          <w:iCs/>
          <w:snapToGrid w:val="0"/>
        </w:rPr>
        <w:t>unable to receive treatment with CAR-T cell therapy for this condition</w:t>
      </w:r>
      <w:r w:rsidR="007F26C3" w:rsidRPr="008D0139">
        <w:rPr>
          <w:rFonts w:asciiTheme="minorHAnsi" w:hAnsiTheme="minorHAnsi"/>
          <w:iCs/>
          <w:snapToGrid w:val="0"/>
        </w:rPr>
        <w:t>’</w:t>
      </w:r>
      <w:r w:rsidR="00AD6BAB" w:rsidRPr="008D0139">
        <w:rPr>
          <w:rFonts w:asciiTheme="minorHAnsi" w:hAnsiTheme="minorHAnsi"/>
          <w:iCs/>
          <w:snapToGrid w:val="0"/>
        </w:rPr>
        <w:t xml:space="preserve"> was appropriate for the glofitamab restriction. </w:t>
      </w:r>
    </w:p>
    <w:p w14:paraId="235BFB84" w14:textId="627A5E56" w:rsidR="004154DB" w:rsidRDefault="004154DB" w:rsidP="00891C3C">
      <w:pPr>
        <w:numPr>
          <w:ilvl w:val="1"/>
          <w:numId w:val="1"/>
        </w:numPr>
        <w:spacing w:before="60" w:after="60"/>
        <w:rPr>
          <w:rFonts w:asciiTheme="minorHAnsi" w:hAnsiTheme="minorHAnsi"/>
          <w:iCs/>
          <w:snapToGrid w:val="0"/>
        </w:rPr>
      </w:pPr>
      <w:bookmarkStart w:id="20" w:name="_Ref203658544"/>
      <w:r w:rsidRPr="008D0139">
        <w:rPr>
          <w:rFonts w:asciiTheme="minorHAnsi" w:hAnsiTheme="minorHAnsi"/>
          <w:iCs/>
          <w:snapToGrid w:val="0"/>
        </w:rPr>
        <w:t xml:space="preserve">Compared to the updated TGA indication, the requested PBS restriction </w:t>
      </w:r>
      <w:r w:rsidR="008455DB" w:rsidRPr="008D0139">
        <w:rPr>
          <w:rFonts w:asciiTheme="minorHAnsi" w:hAnsiTheme="minorHAnsi"/>
          <w:iCs/>
          <w:snapToGrid w:val="0"/>
        </w:rPr>
        <w:t xml:space="preserve">is </w:t>
      </w:r>
      <w:r w:rsidRPr="008D0139">
        <w:rPr>
          <w:rFonts w:asciiTheme="minorHAnsi" w:hAnsiTheme="minorHAnsi"/>
          <w:iCs/>
          <w:snapToGrid w:val="0"/>
        </w:rPr>
        <w:t>narrower in that it imposed additional criteria not present in the TGA indication, specifically requiring a WHO performance status of 2 or less and specifying that the patient must have relapsed or become refractory “to at least one prior systemic therapy” (noting that this may be somewhat redundant given first-line treatment for DLBCL is systemic). Conversely, it was broader in that it did not excl</w:t>
      </w:r>
      <w:r w:rsidR="00EF79BE" w:rsidRPr="008D0139">
        <w:rPr>
          <w:rFonts w:asciiTheme="minorHAnsi" w:hAnsiTheme="minorHAnsi"/>
          <w:iCs/>
          <w:snapToGrid w:val="0"/>
        </w:rPr>
        <w:t>u</w:t>
      </w:r>
      <w:r w:rsidRPr="008D0139">
        <w:rPr>
          <w:rFonts w:asciiTheme="minorHAnsi" w:hAnsiTheme="minorHAnsi"/>
          <w:iCs/>
          <w:snapToGrid w:val="0"/>
        </w:rPr>
        <w:t>de patients with central nervous system (CNS) lymphoma, a group explicitly excluded under the TGA indication (</w:t>
      </w:r>
      <w:r w:rsidR="00DB2823" w:rsidRPr="008D0139">
        <w:rPr>
          <w:rFonts w:asciiTheme="minorHAnsi" w:hAnsiTheme="minorHAnsi"/>
          <w:iCs/>
          <w:snapToGrid w:val="0"/>
        </w:rPr>
        <w:t>who were</w:t>
      </w:r>
      <w:r w:rsidRPr="008D0139">
        <w:rPr>
          <w:rFonts w:asciiTheme="minorHAnsi" w:hAnsiTheme="minorHAnsi"/>
          <w:iCs/>
          <w:snapToGrid w:val="0"/>
        </w:rPr>
        <w:t xml:space="preserve"> excluded from the STARGLO trial). </w:t>
      </w:r>
      <w:r w:rsidR="00AF4DAE" w:rsidRPr="008D0139">
        <w:rPr>
          <w:rFonts w:asciiTheme="minorHAnsi" w:hAnsiTheme="minorHAnsi"/>
          <w:iCs/>
          <w:snapToGrid w:val="0"/>
        </w:rPr>
        <w:t>T</w:t>
      </w:r>
      <w:r w:rsidR="00617226" w:rsidRPr="008D0139">
        <w:rPr>
          <w:rFonts w:asciiTheme="minorHAnsi" w:hAnsiTheme="minorHAnsi"/>
          <w:iCs/>
          <w:snapToGrid w:val="0"/>
        </w:rPr>
        <w:t>he</w:t>
      </w:r>
      <w:r w:rsidR="0022544E" w:rsidRPr="008D0139">
        <w:rPr>
          <w:rFonts w:asciiTheme="minorHAnsi" w:hAnsiTheme="minorHAnsi"/>
          <w:iCs/>
          <w:snapToGrid w:val="0"/>
        </w:rPr>
        <w:t xml:space="preserve"> ESC</w:t>
      </w:r>
      <w:r w:rsidR="006C5F6A">
        <w:rPr>
          <w:rFonts w:asciiTheme="minorHAnsi" w:hAnsiTheme="minorHAnsi"/>
          <w:iCs/>
          <w:snapToGrid w:val="0"/>
        </w:rPr>
        <w:t xml:space="preserve"> </w:t>
      </w:r>
      <w:r w:rsidR="00910148" w:rsidRPr="008D0139">
        <w:rPr>
          <w:rFonts w:asciiTheme="minorHAnsi" w:hAnsiTheme="minorHAnsi"/>
          <w:iCs/>
          <w:snapToGrid w:val="0"/>
        </w:rPr>
        <w:t>agreed with the evaluation that the clinical criterion stating the patient must have relapsed or b</w:t>
      </w:r>
      <w:r w:rsidR="002044B0" w:rsidRPr="008D0139">
        <w:rPr>
          <w:rFonts w:asciiTheme="minorHAnsi" w:hAnsiTheme="minorHAnsi"/>
          <w:iCs/>
          <w:snapToGrid w:val="0"/>
        </w:rPr>
        <w:t xml:space="preserve">ecome refractory to at least one prior systemic therapy </w:t>
      </w:r>
      <w:r w:rsidR="006110C6" w:rsidRPr="008D0139">
        <w:rPr>
          <w:rFonts w:asciiTheme="minorHAnsi" w:hAnsiTheme="minorHAnsi"/>
          <w:iCs/>
          <w:snapToGrid w:val="0"/>
        </w:rPr>
        <w:t>wa</w:t>
      </w:r>
      <w:r w:rsidR="002044B0" w:rsidRPr="008D0139">
        <w:rPr>
          <w:rFonts w:asciiTheme="minorHAnsi" w:hAnsiTheme="minorHAnsi"/>
          <w:iCs/>
          <w:snapToGrid w:val="0"/>
        </w:rPr>
        <w:t xml:space="preserve">s </w:t>
      </w:r>
      <w:r w:rsidR="00734401" w:rsidRPr="008D0139">
        <w:rPr>
          <w:rFonts w:asciiTheme="minorHAnsi" w:hAnsiTheme="minorHAnsi"/>
          <w:iCs/>
          <w:snapToGrid w:val="0"/>
        </w:rPr>
        <w:t xml:space="preserve">redundant </w:t>
      </w:r>
      <w:r w:rsidR="00E0555A" w:rsidRPr="008D0139">
        <w:rPr>
          <w:rFonts w:asciiTheme="minorHAnsi" w:hAnsiTheme="minorHAnsi"/>
          <w:iCs/>
          <w:snapToGrid w:val="0"/>
        </w:rPr>
        <w:t xml:space="preserve">and could be removed </w:t>
      </w:r>
      <w:r w:rsidR="00734401" w:rsidRPr="008D0139">
        <w:rPr>
          <w:rFonts w:asciiTheme="minorHAnsi" w:hAnsiTheme="minorHAnsi"/>
          <w:iCs/>
          <w:snapToGrid w:val="0"/>
        </w:rPr>
        <w:t xml:space="preserve">as </w:t>
      </w:r>
      <w:r w:rsidR="006110C6" w:rsidRPr="008D0139">
        <w:rPr>
          <w:rFonts w:asciiTheme="minorHAnsi" w:hAnsiTheme="minorHAnsi"/>
          <w:iCs/>
          <w:snapToGrid w:val="0"/>
        </w:rPr>
        <w:t xml:space="preserve">the indication includes reference to the condition being relapsed or refractory and </w:t>
      </w:r>
      <w:r w:rsidR="00FA489E" w:rsidRPr="008D0139">
        <w:rPr>
          <w:rFonts w:asciiTheme="minorHAnsi" w:hAnsiTheme="minorHAnsi"/>
          <w:iCs/>
          <w:snapToGrid w:val="0"/>
        </w:rPr>
        <w:t xml:space="preserve">all </w:t>
      </w:r>
      <w:r w:rsidR="000F1E18" w:rsidRPr="008D0139">
        <w:rPr>
          <w:rFonts w:asciiTheme="minorHAnsi" w:hAnsiTheme="minorHAnsi"/>
          <w:iCs/>
          <w:snapToGrid w:val="0"/>
        </w:rPr>
        <w:t>first-line treatment for DLBCL is systemic.</w:t>
      </w:r>
      <w:bookmarkEnd w:id="20"/>
      <w:r w:rsidR="000F1E18" w:rsidRPr="008D0139">
        <w:rPr>
          <w:rFonts w:asciiTheme="minorHAnsi" w:hAnsiTheme="minorHAnsi"/>
          <w:iCs/>
          <w:snapToGrid w:val="0"/>
        </w:rPr>
        <w:t xml:space="preserve"> </w:t>
      </w:r>
    </w:p>
    <w:p w14:paraId="06297A21" w14:textId="2553B7EC" w:rsidR="00A73185" w:rsidRDefault="003D7A88" w:rsidP="00891C3C">
      <w:pPr>
        <w:numPr>
          <w:ilvl w:val="1"/>
          <w:numId w:val="1"/>
        </w:numPr>
        <w:spacing w:before="60" w:after="60"/>
        <w:rPr>
          <w:rFonts w:asciiTheme="minorHAnsi" w:hAnsiTheme="minorHAnsi"/>
          <w:iCs/>
          <w:snapToGrid w:val="0"/>
        </w:rPr>
      </w:pPr>
      <w:r>
        <w:rPr>
          <w:rFonts w:asciiTheme="minorHAnsi" w:hAnsiTheme="minorHAnsi"/>
          <w:iCs/>
          <w:snapToGrid w:val="0"/>
        </w:rPr>
        <w:t xml:space="preserve">The pre-PBAC response </w:t>
      </w:r>
      <w:r w:rsidR="00A2781C">
        <w:rPr>
          <w:rFonts w:asciiTheme="minorHAnsi" w:hAnsiTheme="minorHAnsi"/>
          <w:iCs/>
          <w:snapToGrid w:val="0"/>
        </w:rPr>
        <w:t xml:space="preserve">raised concerns regarding the Secretariat proposal to </w:t>
      </w:r>
      <w:r w:rsidR="006E3E45">
        <w:rPr>
          <w:rFonts w:asciiTheme="minorHAnsi" w:hAnsiTheme="minorHAnsi"/>
          <w:iCs/>
          <w:snapToGrid w:val="0"/>
        </w:rPr>
        <w:t xml:space="preserve">change the wording from ‘intended’ to ‘must’ be given in combination. The pre-PBAC response argued that this alteration may not be clinically appropriate as it does not adequately </w:t>
      </w:r>
      <w:r w:rsidR="001104E8">
        <w:rPr>
          <w:rFonts w:asciiTheme="minorHAnsi" w:hAnsiTheme="minorHAnsi"/>
          <w:iCs/>
          <w:snapToGrid w:val="0"/>
        </w:rPr>
        <w:t xml:space="preserve">account for the variability in individual patient safety and tolerability during chemotherapy treatment. The pre-PBAC response </w:t>
      </w:r>
      <w:r w:rsidR="002E2D87">
        <w:rPr>
          <w:rFonts w:asciiTheme="minorHAnsi" w:hAnsiTheme="minorHAnsi"/>
          <w:iCs/>
          <w:snapToGrid w:val="0"/>
        </w:rPr>
        <w:t>noted that data from the Glofit-GemOx arm of the STARGLO trial</w:t>
      </w:r>
      <w:r w:rsidR="00764FA4">
        <w:rPr>
          <w:rFonts w:asciiTheme="minorHAnsi" w:hAnsiTheme="minorHAnsi"/>
          <w:iCs/>
          <w:snapToGrid w:val="0"/>
        </w:rPr>
        <w:t xml:space="preserve"> reported that a significant number of patients required de-escalation </w:t>
      </w:r>
      <w:r w:rsidR="00834603">
        <w:rPr>
          <w:rFonts w:asciiTheme="minorHAnsi" w:hAnsiTheme="minorHAnsi"/>
          <w:iCs/>
          <w:snapToGrid w:val="0"/>
        </w:rPr>
        <w:t xml:space="preserve">(discontinuation, dose reduction or treatment breaks) for one or both chemotherapy components. </w:t>
      </w:r>
    </w:p>
    <w:p w14:paraId="6BB9304D" w14:textId="00C20F11" w:rsidR="008B2C83" w:rsidRPr="008B2C83" w:rsidRDefault="008B2C83" w:rsidP="008B2C83">
      <w:pPr>
        <w:numPr>
          <w:ilvl w:val="1"/>
          <w:numId w:val="1"/>
        </w:numPr>
        <w:spacing w:before="60" w:after="60"/>
        <w:rPr>
          <w:rFonts w:asciiTheme="minorHAnsi" w:hAnsiTheme="minorHAnsi"/>
          <w:iCs/>
          <w:snapToGrid w:val="0"/>
        </w:rPr>
      </w:pPr>
      <w:r w:rsidRPr="008D0139">
        <w:rPr>
          <w:rFonts w:asciiTheme="minorHAnsi" w:hAnsiTheme="minorHAnsi"/>
          <w:iCs/>
          <w:snapToGrid w:val="0"/>
        </w:rPr>
        <w:t>A grandfathering restriction was also requested for patients who would already be receiving treatment through a patient access program. The submission stated approximately 52 patients will be eligible for grandfathered treatment at the time of PBS listing. The proposed PBS restriction for grandfathering treatment was for continuing treatment only, as grandfathered patients would have already undergone step-up dosing in Cycle 1 during the patient access program. The submission did not provide any details of the patient access program’s eligibility criteria.</w:t>
      </w:r>
      <w:r>
        <w:rPr>
          <w:rFonts w:asciiTheme="minorHAnsi" w:hAnsiTheme="minorHAnsi"/>
          <w:iCs/>
          <w:snapToGrid w:val="0"/>
        </w:rPr>
        <w:t xml:space="preserve"> </w:t>
      </w:r>
    </w:p>
    <w:p w14:paraId="43316B4E" w14:textId="1A1C8AB4" w:rsidR="00272595" w:rsidRPr="008D0139" w:rsidRDefault="004154DB" w:rsidP="00891C3C">
      <w:pPr>
        <w:numPr>
          <w:ilvl w:val="1"/>
          <w:numId w:val="1"/>
        </w:numPr>
        <w:spacing w:before="60" w:after="60"/>
        <w:rPr>
          <w:rFonts w:asciiTheme="minorHAnsi" w:hAnsiTheme="minorHAnsi"/>
          <w:iCs/>
          <w:snapToGrid w:val="0"/>
        </w:rPr>
      </w:pPr>
      <w:r w:rsidRPr="008D0139">
        <w:rPr>
          <w:rFonts w:asciiTheme="minorHAnsi" w:hAnsiTheme="minorHAnsi"/>
          <w:iCs/>
          <w:snapToGrid w:val="0"/>
        </w:rPr>
        <w:t xml:space="preserve">In addition to the requested listing for glofitamab, the submission also requested listing of </w:t>
      </w:r>
      <w:r w:rsidR="00D871D3" w:rsidRPr="008D0139">
        <w:rPr>
          <w:rFonts w:asciiTheme="minorHAnsi" w:hAnsiTheme="minorHAnsi"/>
          <w:iCs/>
          <w:snapToGrid w:val="0"/>
        </w:rPr>
        <w:t>obinutuzumab</w:t>
      </w:r>
      <w:r w:rsidRPr="008D0139">
        <w:rPr>
          <w:rFonts w:asciiTheme="minorHAnsi" w:hAnsiTheme="minorHAnsi"/>
          <w:iCs/>
          <w:snapToGrid w:val="0"/>
        </w:rPr>
        <w:t xml:space="preserve"> (1 g/40 mL injection, 40 mL vial) on the PBS for R/R DLBCL to allow for the </w:t>
      </w:r>
      <w:r w:rsidR="008C0556" w:rsidRPr="008D0139">
        <w:rPr>
          <w:rFonts w:asciiTheme="minorHAnsi" w:hAnsiTheme="minorHAnsi"/>
          <w:iCs/>
          <w:snapToGrid w:val="0"/>
        </w:rPr>
        <w:t>pre-treatment</w:t>
      </w:r>
      <w:r w:rsidRPr="008D0139">
        <w:rPr>
          <w:rFonts w:asciiTheme="minorHAnsi" w:hAnsiTheme="minorHAnsi"/>
          <w:iCs/>
          <w:snapToGrid w:val="0"/>
        </w:rPr>
        <w:t xml:space="preserve"> dose in the Glofit-GemOx treatment regimen, which is required to reduce the risk of cytokine release syndrome (CRS). Obinutuzumab is currently listed on the PBS for the treatment</w:t>
      </w:r>
      <w:r w:rsidR="007715EE" w:rsidRPr="008D0139">
        <w:rPr>
          <w:rFonts w:asciiTheme="minorHAnsi" w:hAnsiTheme="minorHAnsi"/>
          <w:iCs/>
          <w:snapToGrid w:val="0"/>
        </w:rPr>
        <w:t xml:space="preserve"> of</w:t>
      </w:r>
      <w:r w:rsidRPr="008D0139">
        <w:rPr>
          <w:rFonts w:asciiTheme="minorHAnsi" w:hAnsiTheme="minorHAnsi"/>
          <w:iCs/>
          <w:snapToGrid w:val="0"/>
        </w:rPr>
        <w:t xml:space="preserve"> </w:t>
      </w:r>
      <w:r w:rsidR="003D04BF" w:rsidRPr="008D0139">
        <w:rPr>
          <w:rFonts w:asciiTheme="minorHAnsi" w:hAnsiTheme="minorHAnsi"/>
          <w:iCs/>
          <w:snapToGrid w:val="0"/>
        </w:rPr>
        <w:t>several</w:t>
      </w:r>
      <w:r w:rsidRPr="008D0139">
        <w:rPr>
          <w:rFonts w:asciiTheme="minorHAnsi" w:hAnsiTheme="minorHAnsi"/>
          <w:iCs/>
          <w:snapToGrid w:val="0"/>
        </w:rPr>
        <w:t xml:space="preserve"> haematological malignancies</w:t>
      </w:r>
      <w:r w:rsidR="007715EE" w:rsidRPr="008D0139">
        <w:rPr>
          <w:rFonts w:asciiTheme="minorHAnsi" w:hAnsiTheme="minorHAnsi"/>
          <w:iCs/>
          <w:snapToGrid w:val="0"/>
        </w:rPr>
        <w:t>,</w:t>
      </w:r>
      <w:r w:rsidRPr="008D0139">
        <w:rPr>
          <w:rFonts w:asciiTheme="minorHAnsi" w:hAnsiTheme="minorHAnsi"/>
          <w:iCs/>
          <w:snapToGrid w:val="0"/>
        </w:rPr>
        <w:t xml:space="preserve"> but there is no existing PBS listing that could enable the prescription of obinutuzumab for DLBCL. The submission proposed a new listing for R/R DLBCL restricting </w:t>
      </w:r>
      <w:r w:rsidR="00D871D3" w:rsidRPr="008D0139">
        <w:rPr>
          <w:rFonts w:asciiTheme="minorHAnsi" w:hAnsiTheme="minorHAnsi"/>
          <w:iCs/>
          <w:snapToGrid w:val="0"/>
        </w:rPr>
        <w:t>obinutuzumab</w:t>
      </w:r>
      <w:r w:rsidRPr="008D0139">
        <w:rPr>
          <w:rFonts w:asciiTheme="minorHAnsi" w:hAnsiTheme="minorHAnsi"/>
          <w:iCs/>
          <w:snapToGrid w:val="0"/>
        </w:rPr>
        <w:t xml:space="preserve"> to </w:t>
      </w:r>
      <w:r w:rsidR="008C0556" w:rsidRPr="008D0139">
        <w:rPr>
          <w:rFonts w:asciiTheme="minorHAnsi" w:hAnsiTheme="minorHAnsi"/>
          <w:iCs/>
          <w:snapToGrid w:val="0"/>
        </w:rPr>
        <w:t>pre-treatment</w:t>
      </w:r>
      <w:r w:rsidRPr="008D0139">
        <w:rPr>
          <w:rFonts w:asciiTheme="minorHAnsi" w:hAnsiTheme="minorHAnsi"/>
          <w:iCs/>
          <w:snapToGrid w:val="0"/>
        </w:rPr>
        <w:t xml:space="preserve"> prior to initiation of glofitamab in patients eligible to receive PBS subsidised glofitamab. </w:t>
      </w:r>
      <w:r w:rsidR="007B0398" w:rsidRPr="008D0139">
        <w:rPr>
          <w:rFonts w:asciiTheme="minorHAnsi" w:hAnsiTheme="minorHAnsi"/>
          <w:iCs/>
          <w:snapToGrid w:val="0"/>
        </w:rPr>
        <w:t xml:space="preserve">The ESC </w:t>
      </w:r>
      <w:r w:rsidR="006C4AE7" w:rsidRPr="008D0139">
        <w:rPr>
          <w:rFonts w:asciiTheme="minorHAnsi" w:hAnsiTheme="minorHAnsi"/>
          <w:iCs/>
          <w:snapToGrid w:val="0"/>
        </w:rPr>
        <w:t>agreed with the evaluation that</w:t>
      </w:r>
      <w:r w:rsidR="007B0398" w:rsidRPr="008D0139">
        <w:rPr>
          <w:rFonts w:asciiTheme="minorHAnsi" w:hAnsiTheme="minorHAnsi"/>
          <w:iCs/>
          <w:snapToGrid w:val="0"/>
        </w:rPr>
        <w:t xml:space="preserve"> t</w:t>
      </w:r>
      <w:r w:rsidRPr="008D0139">
        <w:rPr>
          <w:rFonts w:asciiTheme="minorHAnsi" w:hAnsiTheme="minorHAnsi"/>
          <w:iCs/>
          <w:snapToGrid w:val="0"/>
        </w:rPr>
        <w:t>his was reasonable.</w:t>
      </w:r>
    </w:p>
    <w:p w14:paraId="20289931" w14:textId="2BCE8D5E" w:rsidR="000A4D8C" w:rsidRDefault="000A4D8C" w:rsidP="00891C3C">
      <w:pPr>
        <w:numPr>
          <w:ilvl w:val="1"/>
          <w:numId w:val="1"/>
        </w:numPr>
        <w:spacing w:before="60" w:after="60"/>
        <w:rPr>
          <w:rFonts w:asciiTheme="minorHAnsi" w:hAnsiTheme="minorHAnsi"/>
          <w:iCs/>
          <w:snapToGrid w:val="0"/>
        </w:rPr>
      </w:pPr>
      <w:r w:rsidRPr="008D0139">
        <w:rPr>
          <w:rFonts w:asciiTheme="minorHAnsi" w:hAnsiTheme="minorHAnsi"/>
          <w:iCs/>
          <w:snapToGrid w:val="0"/>
        </w:rPr>
        <w:t xml:space="preserve">The </w:t>
      </w:r>
      <w:r w:rsidR="00EF061D" w:rsidRPr="008D0139">
        <w:rPr>
          <w:rFonts w:asciiTheme="minorHAnsi" w:hAnsiTheme="minorHAnsi"/>
          <w:iCs/>
          <w:snapToGrid w:val="0"/>
        </w:rPr>
        <w:t>ESC</w:t>
      </w:r>
      <w:r w:rsidRPr="008D0139">
        <w:rPr>
          <w:rFonts w:asciiTheme="minorHAnsi" w:hAnsiTheme="minorHAnsi"/>
          <w:iCs/>
          <w:snapToGrid w:val="0"/>
        </w:rPr>
        <w:t xml:space="preserve"> noted that the use of epcoritamab in the third-line setting is presumed to be for patients naïve to bispecific </w:t>
      </w:r>
      <w:r w:rsidR="00E031C3" w:rsidRPr="008D0139">
        <w:t>monoclonal</w:t>
      </w:r>
      <w:r w:rsidR="00E031C3" w:rsidRPr="008D0139">
        <w:rPr>
          <w:rFonts w:asciiTheme="minorHAnsi" w:hAnsiTheme="minorHAnsi"/>
          <w:iCs/>
          <w:snapToGrid w:val="0"/>
        </w:rPr>
        <w:t xml:space="preserve"> </w:t>
      </w:r>
      <w:r w:rsidRPr="008D0139">
        <w:rPr>
          <w:rFonts w:asciiTheme="minorHAnsi" w:hAnsiTheme="minorHAnsi"/>
          <w:iCs/>
          <w:snapToGrid w:val="0"/>
        </w:rPr>
        <w:t>antibodies as there is currently no data available for sequential use.</w:t>
      </w:r>
      <w:r w:rsidR="00CC394B" w:rsidRPr="008D0139">
        <w:rPr>
          <w:rFonts w:asciiTheme="minorHAnsi" w:hAnsiTheme="minorHAnsi"/>
          <w:iCs/>
          <w:snapToGrid w:val="0"/>
        </w:rPr>
        <w:t xml:space="preserve"> </w:t>
      </w:r>
      <w:r w:rsidR="00543740" w:rsidRPr="008D0139">
        <w:rPr>
          <w:rFonts w:asciiTheme="minorHAnsi" w:hAnsiTheme="minorHAnsi"/>
          <w:iCs/>
          <w:snapToGrid w:val="0"/>
        </w:rPr>
        <w:t xml:space="preserve">As such, the ESC advised that amendments to the epcoritamab restriction would be required </w:t>
      </w:r>
      <w:r w:rsidR="006B32EB" w:rsidRPr="008D0139">
        <w:rPr>
          <w:rFonts w:asciiTheme="minorHAnsi" w:hAnsiTheme="minorHAnsi"/>
          <w:iCs/>
          <w:snapToGrid w:val="0"/>
        </w:rPr>
        <w:t>to exclude use after second-line glofitamab</w:t>
      </w:r>
      <w:r w:rsidR="00274BAA" w:rsidRPr="008D0139">
        <w:rPr>
          <w:rFonts w:asciiTheme="minorHAnsi" w:hAnsiTheme="minorHAnsi"/>
          <w:iCs/>
          <w:snapToGrid w:val="0"/>
        </w:rPr>
        <w:t xml:space="preserve">. </w:t>
      </w:r>
      <w:r w:rsidR="00CC394B" w:rsidRPr="008D0139">
        <w:rPr>
          <w:rFonts w:asciiTheme="minorHAnsi" w:hAnsiTheme="minorHAnsi"/>
          <w:iCs/>
          <w:snapToGrid w:val="0"/>
        </w:rPr>
        <w:t xml:space="preserve"> </w:t>
      </w:r>
      <w:r w:rsidR="00EF061D" w:rsidRPr="008D0139">
        <w:rPr>
          <w:rFonts w:asciiTheme="minorHAnsi" w:hAnsiTheme="minorHAnsi"/>
          <w:iCs/>
          <w:snapToGrid w:val="0"/>
        </w:rPr>
        <w:t xml:space="preserve"> </w:t>
      </w:r>
    </w:p>
    <w:p w14:paraId="0D39474D" w14:textId="3FD5A7C7" w:rsidR="00A975A4" w:rsidRPr="008924A1" w:rsidRDefault="00A975A4" w:rsidP="008924A1">
      <w:pPr>
        <w:ind w:firstLine="709"/>
        <w:rPr>
          <w:rFonts w:asciiTheme="minorHAnsi" w:hAnsiTheme="minorHAnsi"/>
          <w:i/>
        </w:rPr>
      </w:pPr>
      <w:r w:rsidRPr="00C33D30">
        <w:rPr>
          <w:rFonts w:asciiTheme="minorHAnsi" w:hAnsiTheme="minorHAnsi"/>
          <w:i/>
        </w:rPr>
        <w:t>For more detail on PBAC’s view, see section 7 PBAC outcome.</w:t>
      </w:r>
    </w:p>
    <w:p w14:paraId="39E6A1CC" w14:textId="64A8C42B" w:rsidR="004154DB" w:rsidRPr="00407F2D" w:rsidDel="00195452" w:rsidRDefault="004154DB" w:rsidP="00BD2D2E">
      <w:pPr>
        <w:pStyle w:val="PBACESHeading1"/>
      </w:pPr>
      <w:bookmarkStart w:id="21" w:name="_Toc198716594"/>
      <w:r w:rsidDel="00195452">
        <w:t>Population and disease</w:t>
      </w:r>
      <w:bookmarkEnd w:id="17"/>
      <w:bookmarkEnd w:id="21"/>
    </w:p>
    <w:p w14:paraId="5FD9D58A" w14:textId="77777777" w:rsidR="004154DB" w:rsidRPr="008D0139" w:rsidRDefault="004154DB" w:rsidP="00891C3C">
      <w:pPr>
        <w:numPr>
          <w:ilvl w:val="1"/>
          <w:numId w:val="1"/>
        </w:numPr>
        <w:spacing w:before="60" w:after="60"/>
        <w:rPr>
          <w:rFonts w:asciiTheme="minorHAnsi" w:hAnsiTheme="minorHAnsi"/>
          <w:snapToGrid w:val="0"/>
        </w:rPr>
      </w:pPr>
      <w:bookmarkStart w:id="22" w:name="_Toc107927624"/>
      <w:r w:rsidRPr="008D0139">
        <w:t xml:space="preserve">DLBCL is an aggressive type of non-Hodgkin lymphoma (NHL) that develops from the B-cells </w:t>
      </w:r>
      <w:r w:rsidRPr="008D0139">
        <w:rPr>
          <w:rFonts w:asciiTheme="minorHAnsi" w:hAnsiTheme="minorHAnsi"/>
          <w:snapToGrid w:val="0"/>
        </w:rPr>
        <w:t>in the lymphatic system and has heterogeneous clinicopathology. DLBCL may occur de novo or arise from an underlying known or occult low-grade B-cell lymphoma. The incidence of DLBCL increases with age. Median age at diagnosis of DLBCL is mid-60s; 30% of patients are older than 75 years of age, but it may also occur in children or young adults. DLBCL affects a slightly higher proportion of males than females. Elderly patients with DLBCL have a poorer prognosis and inferior outcomes compared with younger patients with DLBCL, even with similar treatment. Without treatment, the median survival for DLBCL is approximately 6 months.</w:t>
      </w:r>
    </w:p>
    <w:p w14:paraId="42E20572" w14:textId="7AC60308" w:rsidR="004154DB" w:rsidRPr="008D0139" w:rsidRDefault="004154DB" w:rsidP="00891C3C">
      <w:pPr>
        <w:numPr>
          <w:ilvl w:val="1"/>
          <w:numId w:val="1"/>
        </w:numPr>
        <w:spacing w:before="60" w:after="60"/>
        <w:rPr>
          <w:rFonts w:asciiTheme="minorHAnsi" w:hAnsiTheme="minorHAnsi"/>
          <w:snapToGrid w:val="0"/>
        </w:rPr>
      </w:pPr>
      <w:r w:rsidRPr="008D0139">
        <w:rPr>
          <w:rFonts w:asciiTheme="minorHAnsi" w:hAnsiTheme="minorHAnsi"/>
          <w:snapToGrid w:val="0"/>
        </w:rPr>
        <w:t xml:space="preserve">Patients with DLBCL commonly present with swelling of the lymph nodes or with disease in affected organs such as the stomach, bowel, skin and lungs, which can cause swelling and discomfort. Symptoms vary based on </w:t>
      </w:r>
      <w:r w:rsidR="007715EE" w:rsidRPr="008D0139">
        <w:rPr>
          <w:rFonts w:asciiTheme="minorHAnsi" w:hAnsiTheme="minorHAnsi"/>
          <w:snapToGrid w:val="0"/>
        </w:rPr>
        <w:t xml:space="preserve">the </w:t>
      </w:r>
      <w:r w:rsidRPr="008D0139">
        <w:rPr>
          <w:rFonts w:asciiTheme="minorHAnsi" w:hAnsiTheme="minorHAnsi"/>
          <w:snapToGrid w:val="0"/>
        </w:rPr>
        <w:t>location of affected lymph nodes and the presence of disease outside the lymphatic system. Patients may experience systemic symptoms including fever, night sweats, skin rashes, unexplained weight loss, fatigue, and pain in the chest, abdomen, or bones. When bone marrow is involved, symptoms can include anaemia, severe fatigue, and increased susceptibility to infections and bleeding.</w:t>
      </w:r>
    </w:p>
    <w:p w14:paraId="01807BD5" w14:textId="4582B0B3" w:rsidR="004154DB" w:rsidRPr="008D0139" w:rsidRDefault="004154DB" w:rsidP="00891C3C">
      <w:pPr>
        <w:numPr>
          <w:ilvl w:val="1"/>
          <w:numId w:val="1"/>
        </w:numPr>
        <w:spacing w:before="60" w:after="60"/>
        <w:rPr>
          <w:rFonts w:asciiTheme="minorHAnsi" w:hAnsiTheme="minorHAnsi"/>
          <w:snapToGrid w:val="0"/>
        </w:rPr>
      </w:pPr>
      <w:r w:rsidRPr="008D0139">
        <w:rPr>
          <w:rFonts w:asciiTheme="minorHAnsi" w:hAnsiTheme="minorHAnsi"/>
          <w:snapToGrid w:val="0"/>
        </w:rPr>
        <w:t>While DLBCL is often curable with standard first-line chemoimmunotherapy, 30-40% of patients are either refractory to treatment or subsequently relapse</w:t>
      </w:r>
      <w:r w:rsidR="00272595" w:rsidRPr="008D0139">
        <w:rPr>
          <w:rFonts w:asciiTheme="minorHAnsi" w:hAnsiTheme="minorHAnsi"/>
          <w:snapToGrid w:val="0"/>
        </w:rPr>
        <w:t xml:space="preserve">. </w:t>
      </w:r>
      <w:r w:rsidRPr="008D0139">
        <w:rPr>
          <w:rFonts w:asciiTheme="minorHAnsi" w:hAnsiTheme="minorHAnsi"/>
          <w:snapToGrid w:val="0"/>
        </w:rPr>
        <w:t>The submission highlighted two recent changes to publicly funded treatment options for patients with R/R DLBCL in Australia:</w:t>
      </w:r>
    </w:p>
    <w:p w14:paraId="391B5D97" w14:textId="05A65C89" w:rsidR="004154DB" w:rsidRPr="008D0139" w:rsidRDefault="004154DB" w:rsidP="007368C9">
      <w:pPr>
        <w:pStyle w:val="3-BodyText"/>
        <w:numPr>
          <w:ilvl w:val="0"/>
          <w:numId w:val="19"/>
        </w:numPr>
        <w:ind w:left="1134" w:hanging="425"/>
      </w:pPr>
      <w:r w:rsidRPr="008D0139">
        <w:rPr>
          <w:lang w:val="en-US"/>
        </w:rPr>
        <w:t xml:space="preserve">Following a positive recommendation by the PBAC in November 2024, the Sponsor anticipated that epcoritamab – a bispecific </w:t>
      </w:r>
      <w:r w:rsidRPr="008D0139">
        <w:t>monoclonal antibody</w:t>
      </w:r>
      <w:r w:rsidRPr="008D0139">
        <w:rPr>
          <w:lang w:val="en-US"/>
        </w:rPr>
        <w:t xml:space="preserve"> similar to glofitamab – would be listed on the PBS in 2025 for the treatment of patients with R/R DLBCL after ≥2 lines of systemic therapy (i.e. as a third-line treatment for DLBCL), who have previously received or are currently unable to receive CAR</w:t>
      </w:r>
      <w:r w:rsidR="00002160" w:rsidRPr="008D0139">
        <w:rPr>
          <w:lang w:val="en-US"/>
        </w:rPr>
        <w:t>-</w:t>
      </w:r>
      <w:r w:rsidRPr="008D0139">
        <w:rPr>
          <w:lang w:val="en-US"/>
        </w:rPr>
        <w:t>T</w:t>
      </w:r>
      <w:r w:rsidR="00002160" w:rsidRPr="008D0139">
        <w:rPr>
          <w:lang w:val="en-US"/>
        </w:rPr>
        <w:t xml:space="preserve"> </w:t>
      </w:r>
      <w:r w:rsidRPr="008D0139">
        <w:rPr>
          <w:lang w:val="en-US"/>
        </w:rPr>
        <w:t>cell therapy (Epcoritamab PSD</w:t>
      </w:r>
      <w:r w:rsidR="000D6C21" w:rsidRPr="008D0139">
        <w:rPr>
          <w:lang w:val="en-US"/>
        </w:rPr>
        <w:t>,</w:t>
      </w:r>
      <w:r w:rsidRPr="008D0139">
        <w:rPr>
          <w:lang w:val="en-US"/>
        </w:rPr>
        <w:t xml:space="preserve"> November 2024</w:t>
      </w:r>
      <w:r w:rsidR="000D6C21" w:rsidRPr="008D0139">
        <w:rPr>
          <w:lang w:val="en-US"/>
        </w:rPr>
        <w:t xml:space="preserve"> PBAC Meeting</w:t>
      </w:r>
      <w:r w:rsidRPr="008D0139">
        <w:rPr>
          <w:lang w:val="en-US"/>
        </w:rPr>
        <w:t>). Epcoritamab was listed on the PBS for this indication in May 2025.</w:t>
      </w:r>
    </w:p>
    <w:p w14:paraId="69E24112" w14:textId="63F26966" w:rsidR="004154DB" w:rsidRPr="008D0139" w:rsidRDefault="004154DB" w:rsidP="007368C9">
      <w:pPr>
        <w:pStyle w:val="3-BodyText"/>
        <w:numPr>
          <w:ilvl w:val="0"/>
          <w:numId w:val="19"/>
        </w:numPr>
        <w:ind w:left="1134" w:hanging="425"/>
      </w:pPr>
      <w:r w:rsidRPr="008D0139">
        <w:t xml:space="preserve">Following a positive recommendation by the MSAC in April 2024, the Sponsor anticipated that the </w:t>
      </w:r>
      <w:r w:rsidR="000940C3">
        <w:t>CAR-T cell therapy</w:t>
      </w:r>
      <w:r w:rsidRPr="008D0139">
        <w:t xml:space="preserve"> </w:t>
      </w:r>
      <w:proofErr w:type="spellStart"/>
      <w:r w:rsidRPr="008D0139">
        <w:t>axicabtagene</w:t>
      </w:r>
      <w:proofErr w:type="spellEnd"/>
      <w:r w:rsidRPr="008D0139">
        <w:t xml:space="preserve"> </w:t>
      </w:r>
      <w:proofErr w:type="spellStart"/>
      <w:r w:rsidRPr="008D0139">
        <w:t>ciloleucel</w:t>
      </w:r>
      <w:proofErr w:type="spellEnd"/>
      <w:r w:rsidRPr="008D0139">
        <w:t xml:space="preserve"> (</w:t>
      </w:r>
      <w:proofErr w:type="spellStart"/>
      <w:r w:rsidRPr="008D0139">
        <w:t>Yescarta</w:t>
      </w:r>
      <w:proofErr w:type="spellEnd"/>
      <w:r w:rsidRPr="008D0139">
        <w:t xml:space="preserve">) would be funded on the Highly Specialised Therapies (HST) program under the National Health Reform Agreement (NHRA) for patients with R/R DLBCL, as a second-line treatment for DLBCL, in addition to the current funding in the third-line setting. </w:t>
      </w:r>
      <w:proofErr w:type="spellStart"/>
      <w:r w:rsidRPr="008D0139">
        <w:t>Axicabtagene</w:t>
      </w:r>
      <w:proofErr w:type="spellEnd"/>
      <w:r w:rsidRPr="008D0139">
        <w:t xml:space="preserve"> </w:t>
      </w:r>
      <w:proofErr w:type="spellStart"/>
      <w:r w:rsidRPr="008D0139">
        <w:t>ciloleucel</w:t>
      </w:r>
      <w:proofErr w:type="spellEnd"/>
      <w:r w:rsidRPr="008D0139">
        <w:t xml:space="preserve"> was </w:t>
      </w:r>
      <w:r w:rsidR="00DC78A7" w:rsidRPr="008D0139">
        <w:t xml:space="preserve">made </w:t>
      </w:r>
      <w:r w:rsidRPr="008D0139">
        <w:t xml:space="preserve">available as a second-line treatment through the HST </w:t>
      </w:r>
      <w:r w:rsidR="00DC78A7" w:rsidRPr="008D0139">
        <w:t xml:space="preserve">in </w:t>
      </w:r>
      <w:r w:rsidRPr="008D0139">
        <w:t>December 2024.</w:t>
      </w:r>
    </w:p>
    <w:p w14:paraId="27E74554" w14:textId="3D576C87" w:rsidR="004154DB" w:rsidRPr="008D0139" w:rsidRDefault="004154DB" w:rsidP="00891C3C">
      <w:pPr>
        <w:numPr>
          <w:ilvl w:val="1"/>
          <w:numId w:val="1"/>
        </w:numPr>
        <w:spacing w:before="60" w:after="60"/>
        <w:rPr>
          <w:rFonts w:asciiTheme="minorHAnsi" w:hAnsiTheme="minorHAnsi"/>
          <w:snapToGrid w:val="0"/>
        </w:rPr>
      </w:pPr>
      <w:r w:rsidRPr="008D0139">
        <w:rPr>
          <w:rFonts w:asciiTheme="minorHAnsi" w:hAnsiTheme="minorHAnsi"/>
          <w:snapToGrid w:val="0"/>
        </w:rPr>
        <w:fldChar w:fldCharType="begin" w:fldLock="1"/>
      </w:r>
      <w:r w:rsidRPr="008D0139">
        <w:rPr>
          <w:rFonts w:asciiTheme="minorHAnsi" w:hAnsiTheme="minorHAnsi"/>
          <w:snapToGrid w:val="0"/>
        </w:rPr>
        <w:instrText xml:space="preserve"> REF _Ref196684075 \h </w:instrText>
      </w:r>
      <w:r w:rsidR="00891C3C" w:rsidRPr="008D0139">
        <w:rPr>
          <w:rFonts w:asciiTheme="minorHAnsi" w:hAnsiTheme="minorHAnsi"/>
          <w:snapToGrid w:val="0"/>
        </w:rPr>
        <w:instrText xml:space="preserve"> \* MERGEFORMAT </w:instrText>
      </w:r>
      <w:r w:rsidRPr="008D0139">
        <w:rPr>
          <w:rFonts w:asciiTheme="minorHAnsi" w:hAnsiTheme="minorHAnsi"/>
          <w:snapToGrid w:val="0"/>
        </w:rPr>
      </w:r>
      <w:r w:rsidRPr="008D0139">
        <w:rPr>
          <w:rFonts w:asciiTheme="minorHAnsi" w:hAnsiTheme="minorHAnsi"/>
          <w:snapToGrid w:val="0"/>
        </w:rPr>
        <w:fldChar w:fldCharType="separate"/>
      </w:r>
      <w:r w:rsidR="003C21E7" w:rsidRPr="003C21E7">
        <w:rPr>
          <w:rFonts w:asciiTheme="minorHAnsi" w:hAnsiTheme="minorHAnsi"/>
          <w:snapToGrid w:val="0"/>
        </w:rPr>
        <w:t>Figure 1</w:t>
      </w:r>
      <w:r w:rsidRPr="008D0139">
        <w:rPr>
          <w:rFonts w:asciiTheme="minorHAnsi" w:hAnsiTheme="minorHAnsi"/>
          <w:snapToGrid w:val="0"/>
        </w:rPr>
        <w:fldChar w:fldCharType="end"/>
      </w:r>
      <w:r w:rsidRPr="008D0139">
        <w:rPr>
          <w:rFonts w:asciiTheme="minorHAnsi" w:hAnsiTheme="minorHAnsi"/>
          <w:snapToGrid w:val="0"/>
        </w:rPr>
        <w:t xml:space="preserve"> presents the proposed clinical management algorithm presented in the submission, based on the 2025 National Comprehensive Cancer Network (NCCN) guidelines for B-cell Lymphomas and the treatment algorithm published by Westin and Sehn (2022). After failure of first-line treatment, the choice of second-line treatment depends on the refractoriness and timing of relapse, and whether the patient is a candidate for ASCT or </w:t>
      </w:r>
      <w:r w:rsidR="000940C3">
        <w:rPr>
          <w:rFonts w:asciiTheme="minorHAnsi" w:hAnsiTheme="minorHAnsi"/>
          <w:snapToGrid w:val="0"/>
        </w:rPr>
        <w:t>CAR-T cell therapy</w:t>
      </w:r>
      <w:r w:rsidR="0003398B" w:rsidRPr="008D0139">
        <w:rPr>
          <w:rFonts w:asciiTheme="minorHAnsi" w:hAnsiTheme="minorHAnsi"/>
          <w:snapToGrid w:val="0"/>
        </w:rPr>
        <w:t xml:space="preserve">: (i) </w:t>
      </w:r>
      <w:r w:rsidRPr="008D0139">
        <w:rPr>
          <w:rFonts w:asciiTheme="minorHAnsi" w:hAnsiTheme="minorHAnsi"/>
          <w:snapToGrid w:val="0"/>
        </w:rPr>
        <w:t xml:space="preserve">Patients with primary refractory disease or relapse ≤12 months (early relapse) would receive second-line CAR-T if eligible; </w:t>
      </w:r>
      <w:r w:rsidR="0003398B" w:rsidRPr="008D0139">
        <w:rPr>
          <w:rFonts w:asciiTheme="minorHAnsi" w:hAnsiTheme="minorHAnsi"/>
          <w:snapToGrid w:val="0"/>
        </w:rPr>
        <w:t xml:space="preserve">(ii) </w:t>
      </w:r>
      <w:r w:rsidRPr="008D0139">
        <w:rPr>
          <w:rFonts w:asciiTheme="minorHAnsi" w:hAnsiTheme="minorHAnsi"/>
          <w:snapToGrid w:val="0"/>
        </w:rPr>
        <w:t xml:space="preserve">patients with relapsed disease &gt;12 months (late relapse) would receive second-line ASCT if eligible; and </w:t>
      </w:r>
      <w:r w:rsidR="0003398B" w:rsidRPr="008D0139">
        <w:rPr>
          <w:rFonts w:asciiTheme="minorHAnsi" w:hAnsiTheme="minorHAnsi"/>
          <w:snapToGrid w:val="0"/>
        </w:rPr>
        <w:t xml:space="preserve">(iii) </w:t>
      </w:r>
      <w:r w:rsidRPr="008D0139">
        <w:rPr>
          <w:rFonts w:asciiTheme="minorHAnsi" w:hAnsiTheme="minorHAnsi"/>
          <w:snapToGrid w:val="0"/>
        </w:rPr>
        <w:t>patients ineligible for both CAR-T and ASCT would receive second-line Glofit-GemOx or other treatment (including R-</w:t>
      </w:r>
      <w:proofErr w:type="spellStart"/>
      <w:r w:rsidRPr="008D0139">
        <w:rPr>
          <w:rFonts w:asciiTheme="minorHAnsi" w:hAnsiTheme="minorHAnsi"/>
          <w:snapToGrid w:val="0"/>
        </w:rPr>
        <w:t>GemOx</w:t>
      </w:r>
      <w:proofErr w:type="spellEnd"/>
      <w:r w:rsidRPr="008D0139">
        <w:rPr>
          <w:rFonts w:asciiTheme="minorHAnsi" w:hAnsiTheme="minorHAnsi"/>
          <w:snapToGrid w:val="0"/>
        </w:rPr>
        <w:t xml:space="preserve"> or salvage chemotherapy). Third-line treatments include </w:t>
      </w:r>
      <w:r w:rsidR="000940C3">
        <w:rPr>
          <w:rFonts w:asciiTheme="minorHAnsi" w:hAnsiTheme="minorHAnsi"/>
          <w:snapToGrid w:val="0"/>
        </w:rPr>
        <w:t>CAR-T cell therapy</w:t>
      </w:r>
      <w:r w:rsidRPr="008D0139">
        <w:rPr>
          <w:rFonts w:asciiTheme="minorHAnsi" w:hAnsiTheme="minorHAnsi"/>
          <w:snapToGrid w:val="0"/>
        </w:rPr>
        <w:t xml:space="preserve"> (if not given previously), Glofit-GemOx (if not given previously), epcoritamab (if glofitamab not given previously) or salvage chemotherapy. The submission noted that the use of glofitamab or epcoritamab in the third</w:t>
      </w:r>
      <w:r w:rsidR="0003398B" w:rsidRPr="008D0139">
        <w:rPr>
          <w:rFonts w:asciiTheme="minorHAnsi" w:hAnsiTheme="minorHAnsi"/>
          <w:snapToGrid w:val="0"/>
        </w:rPr>
        <w:t>-</w:t>
      </w:r>
      <w:r w:rsidRPr="008D0139">
        <w:rPr>
          <w:rFonts w:asciiTheme="minorHAnsi" w:hAnsiTheme="minorHAnsi"/>
          <w:snapToGrid w:val="0"/>
        </w:rPr>
        <w:t xml:space="preserve">line setting is presumed to be for patients naïve to bispecific </w:t>
      </w:r>
      <w:r w:rsidR="00902C36">
        <w:rPr>
          <w:rFonts w:asciiTheme="minorHAnsi" w:hAnsiTheme="minorHAnsi"/>
          <w:snapToGrid w:val="0"/>
        </w:rPr>
        <w:t xml:space="preserve">monoclonal </w:t>
      </w:r>
      <w:r w:rsidRPr="008D0139">
        <w:rPr>
          <w:rFonts w:asciiTheme="minorHAnsi" w:hAnsiTheme="minorHAnsi"/>
          <w:snapToGrid w:val="0"/>
        </w:rPr>
        <w:t>antibodies as there is currently no data available for sequential use.</w:t>
      </w:r>
      <w:r w:rsidR="00FF1BE7" w:rsidRPr="008D0139">
        <w:rPr>
          <w:rFonts w:asciiTheme="minorHAnsi" w:hAnsiTheme="minorHAnsi"/>
          <w:snapToGrid w:val="0"/>
        </w:rPr>
        <w:t xml:space="preserve"> </w:t>
      </w:r>
    </w:p>
    <w:p w14:paraId="6E5B6FAB" w14:textId="77777777" w:rsidR="004154DB" w:rsidRPr="008D0139" w:rsidRDefault="004154DB" w:rsidP="004154DB">
      <w:pPr>
        <w:pStyle w:val="3-BodyText"/>
      </w:pPr>
    </w:p>
    <w:p w14:paraId="44D7F040" w14:textId="175B1C35" w:rsidR="004154DB" w:rsidRPr="008D0139" w:rsidRDefault="004154DB" w:rsidP="004154DB">
      <w:pPr>
        <w:pStyle w:val="Caption"/>
        <w:rPr>
          <w:b w:val="0"/>
          <w:bCs w:val="0"/>
          <w:szCs w:val="20"/>
        </w:rPr>
      </w:pPr>
      <w:bookmarkStart w:id="23" w:name="_Ref196684075"/>
      <w:r w:rsidRPr="008D0139">
        <w:t xml:space="preserve">Figure </w:t>
      </w:r>
      <w:r w:rsidR="00A53E6E" w:rsidRPr="008D0139">
        <w:fldChar w:fldCharType="begin" w:fldLock="1"/>
      </w:r>
      <w:r w:rsidR="00A53E6E" w:rsidRPr="008D0139">
        <w:instrText xml:space="preserve"> SEQ Figure \* ARABIC </w:instrText>
      </w:r>
      <w:r w:rsidR="00A53E6E" w:rsidRPr="008D0139">
        <w:fldChar w:fldCharType="separate"/>
      </w:r>
      <w:r w:rsidR="003C21E7">
        <w:rPr>
          <w:noProof/>
        </w:rPr>
        <w:t>1</w:t>
      </w:r>
      <w:r w:rsidR="00A53E6E" w:rsidRPr="008D0139">
        <w:rPr>
          <w:noProof/>
        </w:rPr>
        <w:fldChar w:fldCharType="end"/>
      </w:r>
      <w:bookmarkEnd w:id="23"/>
      <w:r w:rsidRPr="008D0139">
        <w:rPr>
          <w:szCs w:val="20"/>
        </w:rPr>
        <w:t>: Proposed clinical management algorithm</w:t>
      </w:r>
    </w:p>
    <w:p w14:paraId="2B28AE47" w14:textId="77777777" w:rsidR="004154DB" w:rsidRPr="008D0139" w:rsidRDefault="004154DB" w:rsidP="004154DB">
      <w:pPr>
        <w:jc w:val="left"/>
      </w:pPr>
      <w:r w:rsidRPr="008D0139">
        <w:rPr>
          <w:noProof/>
          <w:lang w:val="en-GB" w:eastAsia="en-GB"/>
        </w:rPr>
        <w:drawing>
          <wp:inline distT="0" distB="0" distL="0" distR="0" wp14:anchorId="0809BF4E" wp14:editId="3CDAFA2C">
            <wp:extent cx="5732145" cy="3066546"/>
            <wp:effectExtent l="0" t="0" r="1905" b="635"/>
            <wp:docPr id="37" name="Picture 37" descr="Figure 1: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igure 1: Proposed clinical management algorithm"/>
                    <pic:cNvPicPr/>
                  </pic:nvPicPr>
                  <pic:blipFill rotWithShape="1">
                    <a:blip r:embed="rId11"/>
                    <a:srcRect t="7059" r="-16"/>
                    <a:stretch/>
                  </pic:blipFill>
                  <pic:spPr bwMode="auto">
                    <a:xfrm>
                      <a:off x="0" y="0"/>
                      <a:ext cx="5732145" cy="3066546"/>
                    </a:xfrm>
                    <a:prstGeom prst="rect">
                      <a:avLst/>
                    </a:prstGeom>
                    <a:ln>
                      <a:noFill/>
                    </a:ln>
                    <a:extLst>
                      <a:ext uri="{53640926-AAD7-44D8-BBD7-CCE9431645EC}">
                        <a14:shadowObscured xmlns:a14="http://schemas.microsoft.com/office/drawing/2010/main"/>
                      </a:ext>
                    </a:extLst>
                  </pic:spPr>
                </pic:pic>
              </a:graphicData>
            </a:graphic>
          </wp:inline>
        </w:drawing>
      </w:r>
    </w:p>
    <w:p w14:paraId="52B2AA44" w14:textId="77777777" w:rsidR="004154DB" w:rsidRPr="008D0139" w:rsidRDefault="004154DB" w:rsidP="004154DB">
      <w:pPr>
        <w:rPr>
          <w:rFonts w:ascii="Arial Narrow" w:hAnsi="Arial Narrow"/>
          <w:sz w:val="18"/>
          <w:szCs w:val="18"/>
        </w:rPr>
      </w:pPr>
      <w:r w:rsidRPr="008D0139">
        <w:rPr>
          <w:rFonts w:ascii="Arial Narrow" w:hAnsi="Arial Narrow"/>
          <w:sz w:val="18"/>
          <w:szCs w:val="18"/>
        </w:rPr>
        <w:t>Source: Figure 1.6, p18 of the submission</w:t>
      </w:r>
    </w:p>
    <w:p w14:paraId="2B3ACFB1" w14:textId="4FCDFC07" w:rsidR="004154DB" w:rsidRDefault="004154DB" w:rsidP="00891C3C">
      <w:pPr>
        <w:numPr>
          <w:ilvl w:val="1"/>
          <w:numId w:val="1"/>
        </w:numPr>
        <w:spacing w:before="60" w:after="60"/>
        <w:rPr>
          <w:rFonts w:asciiTheme="minorHAnsi" w:hAnsiTheme="minorHAnsi"/>
          <w:snapToGrid w:val="0"/>
        </w:rPr>
      </w:pPr>
      <w:r w:rsidRPr="008D0139">
        <w:rPr>
          <w:rFonts w:asciiTheme="minorHAnsi" w:hAnsiTheme="minorHAnsi"/>
          <w:snapToGrid w:val="0"/>
        </w:rPr>
        <w:t xml:space="preserve">Glofitamab is a T-cell engaging bispecific (TCB) monoclonal antibody with a 2:1 (CD20:CD3) format for bivalent binding to CD20 on the surface of B cells (including malignant and non-malignant B-cells) and monovalent binding to CD3 on T cells, which induces the formation of an immunologic synapse between these cells, resulting in direct activation of the T-cell response and lysis of CD20-expressing B-cells. Glofit-GemOx is administered intravenously for up to 12 cycles, which includes eight cycles of glofitamab in combination with gemcitabine plus oxaliplatin plus four cycles of glofitamab monotherapy. Each cycle is 21-days. To mitigate the risk of CRS, the draft product information (PI) recommends all patients receive a single IV dose of obinutuzumab 1000mg on day 1 of cycle 1 (7 days before first glofitamab dose) and a step-up dose schedule as follows: 2.5mg on Day 8 and 10mg on Day 15 of Cycle 1, then 30mg on Day 1 </w:t>
      </w:r>
      <w:r w:rsidR="003D04BF" w:rsidRPr="008D0139">
        <w:rPr>
          <w:rFonts w:asciiTheme="minorHAnsi" w:hAnsiTheme="minorHAnsi"/>
          <w:snapToGrid w:val="0"/>
        </w:rPr>
        <w:t xml:space="preserve">of </w:t>
      </w:r>
      <w:r w:rsidRPr="008D0139">
        <w:rPr>
          <w:rFonts w:asciiTheme="minorHAnsi" w:hAnsiTheme="minorHAnsi"/>
          <w:snapToGrid w:val="0"/>
        </w:rPr>
        <w:t>Cycles 2 to 12.</w:t>
      </w:r>
      <w:r w:rsidR="00A975A4">
        <w:rPr>
          <w:rFonts w:asciiTheme="minorHAnsi" w:hAnsiTheme="minorHAnsi"/>
          <w:snapToGrid w:val="0"/>
        </w:rPr>
        <w:t xml:space="preserve"> </w:t>
      </w:r>
    </w:p>
    <w:p w14:paraId="37B2AA37" w14:textId="79E33002" w:rsidR="00A975A4" w:rsidRPr="00C41063" w:rsidRDefault="00A975A4" w:rsidP="00C41063">
      <w:pPr>
        <w:ind w:firstLine="709"/>
        <w:rPr>
          <w:rFonts w:asciiTheme="minorHAnsi" w:hAnsiTheme="minorHAnsi"/>
          <w:i/>
        </w:rPr>
      </w:pPr>
      <w:r w:rsidRPr="00C33D30">
        <w:rPr>
          <w:rFonts w:asciiTheme="minorHAnsi" w:hAnsiTheme="minorHAnsi"/>
          <w:i/>
        </w:rPr>
        <w:t>For more detail on PBAC’s view, see section 7 PBAC outcome.</w:t>
      </w:r>
    </w:p>
    <w:p w14:paraId="0A3E7CBD" w14:textId="77777777" w:rsidR="004154DB" w:rsidRPr="00407F2D" w:rsidRDefault="004154DB" w:rsidP="00BD2D2E">
      <w:pPr>
        <w:pStyle w:val="PBACESHeading1"/>
      </w:pPr>
      <w:bookmarkStart w:id="24" w:name="_Toc198716595"/>
      <w:r w:rsidRPr="00407F2D">
        <w:t>Comparator</w:t>
      </w:r>
      <w:bookmarkEnd w:id="22"/>
      <w:bookmarkEnd w:id="24"/>
    </w:p>
    <w:p w14:paraId="1A44246C" w14:textId="21944290" w:rsidR="004154DB" w:rsidRPr="008D0139" w:rsidRDefault="004154DB" w:rsidP="004154DB">
      <w:pPr>
        <w:numPr>
          <w:ilvl w:val="1"/>
          <w:numId w:val="1"/>
        </w:numPr>
        <w:spacing w:before="60" w:after="60"/>
        <w:rPr>
          <w:rFonts w:asciiTheme="minorHAnsi" w:hAnsiTheme="minorHAnsi"/>
          <w:lang w:val="en-US"/>
        </w:rPr>
      </w:pPr>
      <w:bookmarkStart w:id="25" w:name="_Ref201061281"/>
      <w:bookmarkStart w:id="26" w:name="_Ref203990536"/>
      <w:bookmarkStart w:id="27" w:name="_Toc107927625"/>
      <w:bookmarkStart w:id="28" w:name="_Toc22897640"/>
      <w:r w:rsidRPr="008D0139">
        <w:rPr>
          <w:rFonts w:asciiTheme="minorHAnsi" w:hAnsiTheme="minorHAnsi"/>
          <w:lang w:val="en-US"/>
        </w:rPr>
        <w:t xml:space="preserve">The submission </w:t>
      </w:r>
      <w:proofErr w:type="gramStart"/>
      <w:r w:rsidRPr="008D0139">
        <w:rPr>
          <w:rFonts w:asciiTheme="minorHAnsi" w:hAnsiTheme="minorHAnsi"/>
          <w:lang w:val="en-US"/>
        </w:rPr>
        <w:t>appropriately</w:t>
      </w:r>
      <w:proofErr w:type="gramEnd"/>
      <w:r w:rsidRPr="008D0139">
        <w:rPr>
          <w:rFonts w:asciiTheme="minorHAnsi" w:hAnsiTheme="minorHAnsi"/>
          <w:lang w:val="en-US"/>
        </w:rPr>
        <w:t xml:space="preserve"> nominated rituximab in combination with gemcitabine plus oxaliplatin (R-</w:t>
      </w:r>
      <w:proofErr w:type="spellStart"/>
      <w:r w:rsidRPr="008D0139">
        <w:rPr>
          <w:rFonts w:asciiTheme="minorHAnsi" w:hAnsiTheme="minorHAnsi"/>
          <w:lang w:val="en-US"/>
        </w:rPr>
        <w:t>GemOx</w:t>
      </w:r>
      <w:proofErr w:type="spellEnd"/>
      <w:r w:rsidRPr="008D0139">
        <w:rPr>
          <w:rFonts w:asciiTheme="minorHAnsi" w:hAnsiTheme="minorHAnsi"/>
          <w:lang w:val="en-US"/>
        </w:rPr>
        <w:t>) as the main comparator. The submission stated that R-</w:t>
      </w:r>
      <w:proofErr w:type="spellStart"/>
      <w:r w:rsidRPr="008D0139">
        <w:rPr>
          <w:rFonts w:asciiTheme="minorHAnsi" w:hAnsiTheme="minorHAnsi"/>
          <w:lang w:val="en-US"/>
        </w:rPr>
        <w:t>GemOx</w:t>
      </w:r>
      <w:proofErr w:type="spellEnd"/>
      <w:r w:rsidRPr="008D0139">
        <w:rPr>
          <w:rFonts w:asciiTheme="minorHAnsi" w:hAnsiTheme="minorHAnsi"/>
          <w:lang w:val="en-US"/>
        </w:rPr>
        <w:t xml:space="preserve"> is commonly administered second line in </w:t>
      </w:r>
      <w:proofErr w:type="gramStart"/>
      <w:r w:rsidRPr="008D0139">
        <w:rPr>
          <w:rFonts w:asciiTheme="minorHAnsi" w:hAnsiTheme="minorHAnsi"/>
          <w:lang w:val="en-US"/>
        </w:rPr>
        <w:t>patients</w:t>
      </w:r>
      <w:proofErr w:type="gramEnd"/>
      <w:r w:rsidRPr="008D0139">
        <w:rPr>
          <w:rFonts w:asciiTheme="minorHAnsi" w:hAnsiTheme="minorHAnsi"/>
          <w:lang w:val="en-US"/>
        </w:rPr>
        <w:t xml:space="preserve"> ineligible for ASCT or who have relapsed after </w:t>
      </w:r>
      <w:r w:rsidR="00795471" w:rsidRPr="008D0139">
        <w:rPr>
          <w:rFonts w:asciiTheme="minorHAnsi" w:hAnsiTheme="minorHAnsi"/>
          <w:lang w:val="en-US"/>
        </w:rPr>
        <w:t>ASCT and</w:t>
      </w:r>
      <w:r w:rsidRPr="008D0139">
        <w:rPr>
          <w:rFonts w:asciiTheme="minorHAnsi" w:hAnsiTheme="minorHAnsi"/>
          <w:lang w:val="en-US"/>
        </w:rPr>
        <w:t xml:space="preserve"> would be the treatment most likely to be replaced by Glofit-GemOx.</w:t>
      </w:r>
      <w:r w:rsidR="006341A3" w:rsidRPr="008D0139">
        <w:rPr>
          <w:rFonts w:asciiTheme="minorHAnsi" w:hAnsiTheme="minorHAnsi"/>
          <w:lang w:val="en-US"/>
        </w:rPr>
        <w:t xml:space="preserve"> </w:t>
      </w:r>
      <w:r w:rsidR="006A22E8" w:rsidRPr="008D0139">
        <w:rPr>
          <w:rFonts w:asciiTheme="minorHAnsi" w:hAnsiTheme="minorHAnsi"/>
          <w:lang w:val="en-US"/>
        </w:rPr>
        <w:t>The</w:t>
      </w:r>
      <w:r w:rsidR="006341A3" w:rsidRPr="008D0139">
        <w:t xml:space="preserve"> </w:t>
      </w:r>
      <w:r w:rsidR="006A22E8" w:rsidRPr="008D0139">
        <w:t>R-</w:t>
      </w:r>
      <w:proofErr w:type="spellStart"/>
      <w:r w:rsidR="006A22E8" w:rsidRPr="008D0139">
        <w:t>GemOx</w:t>
      </w:r>
      <w:proofErr w:type="spellEnd"/>
      <w:r w:rsidR="006A22E8" w:rsidRPr="008D0139">
        <w:t xml:space="preserve"> </w:t>
      </w:r>
      <w:r w:rsidR="006341A3" w:rsidRPr="008D0139">
        <w:t>21-day cycle length was used in STARGLO to align with the Glofit-GemOx 21-day cycle</w:t>
      </w:r>
      <w:r w:rsidR="006A22E8" w:rsidRPr="008D0139">
        <w:t xml:space="preserve"> length</w:t>
      </w:r>
      <w:r w:rsidR="006341A3" w:rsidRPr="008D0139">
        <w:t>, instead of the usual 14-day cycle length recommended in practice</w:t>
      </w:r>
      <w:r w:rsidR="006A22E8" w:rsidRPr="008D0139">
        <w:t xml:space="preserve"> for NHL</w:t>
      </w:r>
      <w:r w:rsidR="006341A3" w:rsidRPr="008D0139">
        <w:t>.</w:t>
      </w:r>
      <w:r w:rsidR="006341A3" w:rsidRPr="008D0139">
        <w:rPr>
          <w:vertAlign w:val="superscript"/>
        </w:rPr>
        <w:footnoteReference w:id="2"/>
      </w:r>
      <w:r w:rsidR="006341A3" w:rsidRPr="008D0139">
        <w:t xml:space="preserve"> </w:t>
      </w:r>
      <w:bookmarkStart w:id="29" w:name="_Hlk198538515"/>
      <w:bookmarkEnd w:id="25"/>
      <w:r w:rsidR="00540261">
        <w:t xml:space="preserve">The Pre-PBAC Response </w:t>
      </w:r>
      <w:r w:rsidR="00E8708F">
        <w:t>provided the ratified ACM advice, which stated the ACM agreed that 3-weekly R-</w:t>
      </w:r>
      <w:proofErr w:type="spellStart"/>
      <w:r w:rsidR="00E8708F">
        <w:t>GemOx</w:t>
      </w:r>
      <w:proofErr w:type="spellEnd"/>
      <w:r w:rsidR="00E8708F">
        <w:t xml:space="preserve"> cycles were reasonable for patients with relapsed/refractory DLBCL who are not eligible for ASCT.</w:t>
      </w:r>
      <w:bookmarkEnd w:id="26"/>
      <w:r w:rsidR="00E8708F">
        <w:t xml:space="preserve"> </w:t>
      </w:r>
    </w:p>
    <w:bookmarkEnd w:id="29"/>
    <w:p w14:paraId="4335FAD5" w14:textId="16CA4E42" w:rsidR="004154DB" w:rsidRPr="008D0139" w:rsidRDefault="004154DB" w:rsidP="004154DB">
      <w:pPr>
        <w:numPr>
          <w:ilvl w:val="1"/>
          <w:numId w:val="1"/>
        </w:numPr>
        <w:spacing w:before="60" w:after="60"/>
        <w:rPr>
          <w:rFonts w:asciiTheme="minorHAnsi" w:hAnsiTheme="minorHAnsi"/>
          <w:lang w:val="en-US"/>
        </w:rPr>
      </w:pPr>
      <w:r w:rsidRPr="008D0139">
        <w:rPr>
          <w:rFonts w:asciiTheme="minorHAnsi" w:hAnsiTheme="minorHAnsi"/>
          <w:lang w:val="en-US"/>
        </w:rPr>
        <w:t>The nomination of R-</w:t>
      </w:r>
      <w:proofErr w:type="spellStart"/>
      <w:r w:rsidRPr="008D0139">
        <w:rPr>
          <w:rFonts w:asciiTheme="minorHAnsi" w:hAnsiTheme="minorHAnsi"/>
          <w:lang w:val="en-US"/>
        </w:rPr>
        <w:t>GemOx</w:t>
      </w:r>
      <w:proofErr w:type="spellEnd"/>
      <w:r w:rsidRPr="008D0139">
        <w:rPr>
          <w:rFonts w:asciiTheme="minorHAnsi" w:hAnsiTheme="minorHAnsi"/>
          <w:lang w:val="en-US"/>
        </w:rPr>
        <w:t xml:space="preserve"> as the main comparator was reasonable, however, other chemotherapy regimens would also likely be replaced in practice such as R-ICE (rituximab + </w:t>
      </w:r>
      <w:proofErr w:type="spellStart"/>
      <w:r w:rsidRPr="008D0139">
        <w:rPr>
          <w:rFonts w:asciiTheme="minorHAnsi" w:hAnsiTheme="minorHAnsi"/>
          <w:lang w:val="en-US"/>
        </w:rPr>
        <w:t>ifosfamide</w:t>
      </w:r>
      <w:proofErr w:type="spellEnd"/>
      <w:r w:rsidRPr="008D0139">
        <w:rPr>
          <w:rFonts w:asciiTheme="minorHAnsi" w:hAnsiTheme="minorHAnsi"/>
          <w:lang w:val="en-US"/>
        </w:rPr>
        <w:t xml:space="preserve"> + carboplatin + etoposide), R-DHAC (rituximab + dexamethasone cytarabine carboplatin</w:t>
      </w:r>
      <w:r w:rsidR="00663FC7" w:rsidRPr="008D0139">
        <w:rPr>
          <w:rFonts w:asciiTheme="minorHAnsi" w:hAnsiTheme="minorHAnsi"/>
          <w:lang w:val="en-US"/>
        </w:rPr>
        <w:t>)</w:t>
      </w:r>
      <w:r w:rsidRPr="008D0139">
        <w:rPr>
          <w:rFonts w:asciiTheme="minorHAnsi" w:hAnsiTheme="minorHAnsi"/>
          <w:lang w:val="en-US"/>
        </w:rPr>
        <w:t xml:space="preserve"> and R-CHOP 21 (rituximab + cyclophosphamide + hydroxydaunorubicin + vincristine + prednisolone</w:t>
      </w:r>
      <w:r w:rsidR="00663FC7" w:rsidRPr="008D0139">
        <w:rPr>
          <w:rFonts w:asciiTheme="minorHAnsi" w:hAnsiTheme="minorHAnsi"/>
          <w:lang w:val="en-US"/>
        </w:rPr>
        <w:t>)</w:t>
      </w:r>
      <w:r w:rsidRPr="008D0139">
        <w:rPr>
          <w:rFonts w:asciiTheme="minorHAnsi" w:hAnsiTheme="minorHAnsi"/>
          <w:lang w:val="en-US"/>
        </w:rPr>
        <w:t>. Data from the Lymphoma and Related Diseases Registry reported the use of R-</w:t>
      </w:r>
      <w:proofErr w:type="spellStart"/>
      <w:r w:rsidRPr="008D0139">
        <w:rPr>
          <w:rFonts w:asciiTheme="minorHAnsi" w:hAnsiTheme="minorHAnsi"/>
          <w:lang w:val="en-US"/>
        </w:rPr>
        <w:t>GemOx</w:t>
      </w:r>
      <w:proofErr w:type="spellEnd"/>
      <w:r w:rsidRPr="008D0139">
        <w:rPr>
          <w:rFonts w:asciiTheme="minorHAnsi" w:hAnsiTheme="minorHAnsi"/>
          <w:lang w:val="en-US"/>
        </w:rPr>
        <w:t xml:space="preserve"> as a second-line treatment in 22% (20/91) of non-transplanted patients (Chen et al., 2022). The PBAC had previously accepted R-</w:t>
      </w:r>
      <w:proofErr w:type="spellStart"/>
      <w:r w:rsidRPr="008D0139">
        <w:rPr>
          <w:rFonts w:asciiTheme="minorHAnsi" w:hAnsiTheme="minorHAnsi"/>
          <w:lang w:val="en-US"/>
        </w:rPr>
        <w:t>GemOx</w:t>
      </w:r>
      <w:proofErr w:type="spellEnd"/>
      <w:r w:rsidR="008E0BA5" w:rsidRPr="008D0139">
        <w:rPr>
          <w:rFonts w:asciiTheme="minorHAnsi" w:hAnsiTheme="minorHAnsi"/>
          <w:lang w:val="en-US"/>
        </w:rPr>
        <w:t xml:space="preserve"> (14-day cycle length)</w:t>
      </w:r>
      <w:r w:rsidRPr="008D0139">
        <w:rPr>
          <w:rFonts w:asciiTheme="minorHAnsi" w:hAnsiTheme="minorHAnsi"/>
          <w:lang w:val="en-US"/>
        </w:rPr>
        <w:t xml:space="preserve"> as an acceptable comparator for epcoritamab in the third-line setting (paragraph 5.2, epcoritamab PSD, November 2024).</w:t>
      </w:r>
    </w:p>
    <w:p w14:paraId="08E48EAE" w14:textId="4FCA5305" w:rsidR="004154DB" w:rsidRPr="008D0139" w:rsidRDefault="004154DB" w:rsidP="004154DB">
      <w:pPr>
        <w:numPr>
          <w:ilvl w:val="1"/>
          <w:numId w:val="1"/>
        </w:numPr>
        <w:spacing w:before="60" w:after="60"/>
        <w:rPr>
          <w:rFonts w:asciiTheme="minorHAnsi" w:hAnsiTheme="minorHAnsi"/>
          <w:lang w:val="en-US"/>
        </w:rPr>
      </w:pPr>
      <w:r w:rsidRPr="008D0139">
        <w:rPr>
          <w:rFonts w:asciiTheme="minorHAnsi" w:hAnsiTheme="minorHAnsi"/>
          <w:lang w:val="en-US"/>
        </w:rPr>
        <w:t xml:space="preserve">The submission </w:t>
      </w:r>
      <w:r w:rsidR="00E95507" w:rsidRPr="008D0139">
        <w:rPr>
          <w:rFonts w:asciiTheme="minorHAnsi" w:hAnsiTheme="minorHAnsi"/>
          <w:lang w:val="en-US"/>
        </w:rPr>
        <w:t xml:space="preserve">appropriately </w:t>
      </w:r>
      <w:r w:rsidRPr="008D0139">
        <w:rPr>
          <w:rFonts w:asciiTheme="minorHAnsi" w:hAnsiTheme="minorHAnsi"/>
          <w:lang w:val="en-US"/>
        </w:rPr>
        <w:t xml:space="preserve">nominated epcoritamab as a </w:t>
      </w:r>
      <w:r w:rsidR="00E95507" w:rsidRPr="008D0139">
        <w:rPr>
          <w:rFonts w:asciiTheme="minorHAnsi" w:hAnsiTheme="minorHAnsi"/>
          <w:lang w:val="en-US"/>
        </w:rPr>
        <w:t>‘</w:t>
      </w:r>
      <w:r w:rsidRPr="008D0139">
        <w:rPr>
          <w:rFonts w:asciiTheme="minorHAnsi" w:hAnsiTheme="minorHAnsi"/>
          <w:lang w:val="en-US"/>
        </w:rPr>
        <w:t>near market</w:t>
      </w:r>
      <w:r w:rsidR="00E95507" w:rsidRPr="008D0139">
        <w:rPr>
          <w:rFonts w:asciiTheme="minorHAnsi" w:hAnsiTheme="minorHAnsi"/>
          <w:lang w:val="en-US"/>
        </w:rPr>
        <w:t>’</w:t>
      </w:r>
      <w:r w:rsidRPr="008D0139">
        <w:rPr>
          <w:rFonts w:asciiTheme="minorHAnsi" w:hAnsiTheme="minorHAnsi"/>
          <w:lang w:val="en-US"/>
        </w:rPr>
        <w:t xml:space="preserve"> comparator in the third-line setting, given the positive recommendation by the PBAC in November 2024 for patients after ≥2 lines of systemic therapy. The submission </w:t>
      </w:r>
      <w:r w:rsidR="00E95507" w:rsidRPr="008D0139">
        <w:rPr>
          <w:rFonts w:asciiTheme="minorHAnsi" w:hAnsiTheme="minorHAnsi"/>
          <w:lang w:val="en-US"/>
        </w:rPr>
        <w:t xml:space="preserve">stated that </w:t>
      </w:r>
      <w:r w:rsidRPr="008D0139">
        <w:rPr>
          <w:rFonts w:asciiTheme="minorHAnsi" w:hAnsiTheme="minorHAnsi"/>
          <w:lang w:val="en-US"/>
        </w:rPr>
        <w:t xml:space="preserve">a small group of patients may become eligible for either Glofit-GemOx or epcoritamab, after second-line treatment with either ASCT, </w:t>
      </w:r>
      <w:r w:rsidR="000940C3">
        <w:rPr>
          <w:rFonts w:asciiTheme="minorHAnsi" w:hAnsiTheme="minorHAnsi"/>
          <w:lang w:val="en-US"/>
        </w:rPr>
        <w:t>CAR-T cell therapy</w:t>
      </w:r>
      <w:r w:rsidRPr="008D0139">
        <w:rPr>
          <w:rFonts w:asciiTheme="minorHAnsi" w:hAnsiTheme="minorHAnsi"/>
          <w:lang w:val="en-US"/>
        </w:rPr>
        <w:t xml:space="preserve"> or other second-line chemotherapy. </w:t>
      </w:r>
      <w:r w:rsidR="006B201D" w:rsidRPr="008D0139">
        <w:rPr>
          <w:rFonts w:asciiTheme="minorHAnsi" w:hAnsiTheme="minorHAnsi"/>
          <w:lang w:val="en-US"/>
        </w:rPr>
        <w:t xml:space="preserve">As noted above, </w:t>
      </w:r>
      <w:r w:rsidRPr="008D0139">
        <w:rPr>
          <w:rFonts w:asciiTheme="minorHAnsi" w:hAnsiTheme="minorHAnsi"/>
          <w:lang w:val="en-US"/>
        </w:rPr>
        <w:t xml:space="preserve">epcoritamab was listed </w:t>
      </w:r>
      <w:r w:rsidR="006B201D" w:rsidRPr="008D0139">
        <w:rPr>
          <w:rFonts w:asciiTheme="minorHAnsi" w:hAnsiTheme="minorHAnsi"/>
          <w:lang w:val="en-US"/>
        </w:rPr>
        <w:t xml:space="preserve">on the PBS </w:t>
      </w:r>
      <w:r w:rsidRPr="008D0139">
        <w:rPr>
          <w:rFonts w:asciiTheme="minorHAnsi" w:hAnsiTheme="minorHAnsi"/>
          <w:lang w:val="en-US"/>
        </w:rPr>
        <w:t xml:space="preserve">in May 2025. The submission presented an unanchored </w:t>
      </w:r>
      <w:r w:rsidR="00D14063">
        <w:rPr>
          <w:rFonts w:asciiTheme="minorHAnsi" w:hAnsiTheme="minorHAnsi"/>
          <w:lang w:val="en-US"/>
        </w:rPr>
        <w:t>-</w:t>
      </w:r>
      <w:r w:rsidR="00D14063" w:rsidRPr="008D0139">
        <w:rPr>
          <w:rFonts w:asciiTheme="minorHAnsi" w:hAnsiTheme="minorHAnsi"/>
          <w:lang w:val="en-US"/>
        </w:rPr>
        <w:t xml:space="preserve"> </w:t>
      </w:r>
      <w:r w:rsidRPr="008D0139">
        <w:rPr>
          <w:rFonts w:asciiTheme="minorHAnsi" w:hAnsiTheme="minorHAnsi"/>
          <w:lang w:val="en-US"/>
        </w:rPr>
        <w:t>comparison and cost per course analysis between Glofit-GemOx versus epcoritamab as supplementary analyses.</w:t>
      </w:r>
    </w:p>
    <w:p w14:paraId="43425FC2" w14:textId="7ABB5A62" w:rsidR="004154DB" w:rsidRPr="008D0139" w:rsidRDefault="004154DB" w:rsidP="004154DB">
      <w:pPr>
        <w:numPr>
          <w:ilvl w:val="1"/>
          <w:numId w:val="1"/>
        </w:numPr>
        <w:spacing w:before="60" w:after="60"/>
        <w:rPr>
          <w:rFonts w:asciiTheme="minorHAnsi" w:hAnsiTheme="minorHAnsi"/>
          <w:snapToGrid w:val="0"/>
        </w:rPr>
      </w:pPr>
      <w:r w:rsidRPr="008D0139">
        <w:rPr>
          <w:rFonts w:asciiTheme="minorHAnsi" w:hAnsiTheme="minorHAnsi"/>
          <w:snapToGrid w:val="0"/>
        </w:rPr>
        <w:t xml:space="preserve">The submission argued that </w:t>
      </w:r>
      <w:r w:rsidR="000940C3">
        <w:rPr>
          <w:rFonts w:asciiTheme="minorHAnsi" w:hAnsiTheme="minorHAnsi"/>
          <w:snapToGrid w:val="0"/>
        </w:rPr>
        <w:t>CAR-T cell therapy</w:t>
      </w:r>
      <w:r w:rsidRPr="008D0139">
        <w:rPr>
          <w:rFonts w:asciiTheme="minorHAnsi" w:hAnsiTheme="minorHAnsi"/>
          <w:snapToGrid w:val="0"/>
        </w:rPr>
        <w:t xml:space="preserve"> was not an appropriate comparator, with particular reference to the second-line setting, on the basis of insufficient overlap between patients eligible for CAR-T and patients eligible for Glofit-GemOx in the clinical trial evidence. The submission noted that the recommendation to fund </w:t>
      </w:r>
      <w:proofErr w:type="spellStart"/>
      <w:r w:rsidRPr="008D0139">
        <w:rPr>
          <w:rFonts w:asciiTheme="minorHAnsi" w:hAnsiTheme="minorHAnsi"/>
          <w:snapToGrid w:val="0"/>
        </w:rPr>
        <w:t>axicabtagene</w:t>
      </w:r>
      <w:proofErr w:type="spellEnd"/>
      <w:r w:rsidRPr="008D0139">
        <w:rPr>
          <w:rFonts w:asciiTheme="minorHAnsi" w:hAnsiTheme="minorHAnsi"/>
          <w:snapToGrid w:val="0"/>
        </w:rPr>
        <w:t xml:space="preserve"> </w:t>
      </w:r>
      <w:proofErr w:type="spellStart"/>
      <w:r w:rsidRPr="008D0139">
        <w:rPr>
          <w:rFonts w:asciiTheme="minorHAnsi" w:hAnsiTheme="minorHAnsi"/>
          <w:snapToGrid w:val="0"/>
        </w:rPr>
        <w:t>ciloleucel</w:t>
      </w:r>
      <w:proofErr w:type="spellEnd"/>
      <w:r w:rsidRPr="008D0139">
        <w:rPr>
          <w:rFonts w:asciiTheme="minorHAnsi" w:hAnsiTheme="minorHAnsi"/>
          <w:snapToGrid w:val="0"/>
        </w:rPr>
        <w:t xml:space="preserve"> (</w:t>
      </w:r>
      <w:proofErr w:type="spellStart"/>
      <w:r w:rsidRPr="008D0139">
        <w:rPr>
          <w:rFonts w:asciiTheme="minorHAnsi" w:hAnsiTheme="minorHAnsi"/>
          <w:snapToGrid w:val="0"/>
        </w:rPr>
        <w:t>Yescarta</w:t>
      </w:r>
      <w:proofErr w:type="spellEnd"/>
      <w:r w:rsidRPr="008D0139">
        <w:rPr>
          <w:rFonts w:asciiTheme="minorHAnsi" w:hAnsiTheme="minorHAnsi"/>
          <w:snapToGrid w:val="0"/>
        </w:rPr>
        <w:t>) in the second-line setting was based on the ZUMA-7 trial, which enrolled patients ‘eligible’ for ASCT. In contrast, the proposed listing for Glofit-GemOx in the second-line setting was based on the STARGLO trial, which enrolled patients ‘ineligible’ for ASCT.</w:t>
      </w:r>
    </w:p>
    <w:p w14:paraId="6460784E" w14:textId="0ED79E7D" w:rsidR="004154DB" w:rsidRPr="008D0139" w:rsidRDefault="004154DB" w:rsidP="004154DB">
      <w:pPr>
        <w:numPr>
          <w:ilvl w:val="1"/>
          <w:numId w:val="1"/>
        </w:numPr>
        <w:spacing w:before="60" w:after="60"/>
        <w:rPr>
          <w:rFonts w:asciiTheme="minorHAnsi" w:hAnsiTheme="minorHAnsi"/>
          <w:snapToGrid w:val="0"/>
        </w:rPr>
      </w:pPr>
      <w:bookmarkStart w:id="30" w:name="_Ref197513409"/>
      <w:r w:rsidRPr="008D0139">
        <w:rPr>
          <w:rFonts w:asciiTheme="minorHAnsi" w:hAnsiTheme="minorHAnsi"/>
          <w:snapToGrid w:val="0"/>
        </w:rPr>
        <w:t xml:space="preserve">The submission’s argument as to why </w:t>
      </w:r>
      <w:r w:rsidR="000940C3">
        <w:rPr>
          <w:rFonts w:asciiTheme="minorHAnsi" w:hAnsiTheme="minorHAnsi"/>
          <w:snapToGrid w:val="0"/>
        </w:rPr>
        <w:t>CAR-T cell therapy</w:t>
      </w:r>
      <w:r w:rsidRPr="008D0139">
        <w:rPr>
          <w:rFonts w:asciiTheme="minorHAnsi" w:hAnsiTheme="minorHAnsi"/>
          <w:snapToGrid w:val="0"/>
        </w:rPr>
        <w:t xml:space="preserve"> would not be a potentially relevant comparator, at least for some patients, requires consideration:</w:t>
      </w:r>
      <w:bookmarkEnd w:id="30"/>
    </w:p>
    <w:p w14:paraId="63F43894" w14:textId="739AFDDA" w:rsidR="004154DB" w:rsidRPr="008D0139" w:rsidRDefault="004154DB" w:rsidP="007368C9">
      <w:pPr>
        <w:numPr>
          <w:ilvl w:val="0"/>
          <w:numId w:val="17"/>
        </w:numPr>
        <w:spacing w:before="60" w:after="60"/>
        <w:rPr>
          <w:rFonts w:asciiTheme="minorHAnsi" w:hAnsiTheme="minorHAnsi"/>
          <w:snapToGrid w:val="0"/>
        </w:rPr>
      </w:pPr>
      <w:r w:rsidRPr="008D0139">
        <w:rPr>
          <w:rFonts w:asciiTheme="minorHAnsi" w:hAnsiTheme="minorHAnsi"/>
          <w:snapToGrid w:val="0"/>
        </w:rPr>
        <w:t>Under the current wording of the requested PBS restriction, Glofit-GemOx</w:t>
      </w:r>
      <w:r w:rsidRPr="008D0139" w:rsidDel="00321CEF">
        <w:rPr>
          <w:rFonts w:asciiTheme="minorHAnsi" w:hAnsiTheme="minorHAnsi"/>
          <w:snapToGrid w:val="0"/>
        </w:rPr>
        <w:t xml:space="preserve"> </w:t>
      </w:r>
      <w:r w:rsidRPr="008D0139">
        <w:rPr>
          <w:rFonts w:asciiTheme="minorHAnsi" w:hAnsiTheme="minorHAnsi"/>
          <w:snapToGrid w:val="0"/>
        </w:rPr>
        <w:t xml:space="preserve">would be an alternative second-line treatment to </w:t>
      </w:r>
      <w:r w:rsidR="000940C3">
        <w:rPr>
          <w:rFonts w:asciiTheme="minorHAnsi" w:hAnsiTheme="minorHAnsi"/>
          <w:snapToGrid w:val="0"/>
        </w:rPr>
        <w:t>CAR-T cell therapy</w:t>
      </w:r>
      <w:r w:rsidRPr="008D0139">
        <w:rPr>
          <w:rFonts w:asciiTheme="minorHAnsi" w:hAnsiTheme="minorHAnsi"/>
          <w:snapToGrid w:val="0"/>
        </w:rPr>
        <w:t xml:space="preserve"> for some patients. The submission argued that the proposed clinical criterion, “patients must be ineligible for ASCT” would also exclude patients eligible for </w:t>
      </w:r>
      <w:r w:rsidR="000940C3">
        <w:rPr>
          <w:rFonts w:asciiTheme="minorHAnsi" w:hAnsiTheme="minorHAnsi"/>
          <w:snapToGrid w:val="0"/>
        </w:rPr>
        <w:t>CAR-T cell therapy</w:t>
      </w:r>
      <w:r w:rsidRPr="008D0139">
        <w:rPr>
          <w:rFonts w:asciiTheme="minorHAnsi" w:hAnsiTheme="minorHAnsi"/>
          <w:snapToGrid w:val="0"/>
        </w:rPr>
        <w:t xml:space="preserve">, but this may not be true in all cases. In practice, there are likely a number of circumstances where patients may be ineligible for ASCT but remain eligible for </w:t>
      </w:r>
      <w:r w:rsidR="000940C3">
        <w:rPr>
          <w:rFonts w:asciiTheme="minorHAnsi" w:hAnsiTheme="minorHAnsi"/>
          <w:snapToGrid w:val="0"/>
        </w:rPr>
        <w:t>CAR-T cell therapy</w:t>
      </w:r>
      <w:r w:rsidRPr="008D0139">
        <w:rPr>
          <w:rFonts w:asciiTheme="minorHAnsi" w:hAnsiTheme="minorHAnsi"/>
          <w:snapToGrid w:val="0"/>
        </w:rPr>
        <w:t>. For example, patient age &gt;70 years is often a barrier to ASCT but not necessarily a barrier for CAR-T if the patient is o</w:t>
      </w:r>
      <w:r w:rsidR="00E15EF4" w:rsidRPr="008D0139">
        <w:rPr>
          <w:rFonts w:asciiTheme="minorHAnsi" w:hAnsiTheme="minorHAnsi"/>
          <w:snapToGrid w:val="0"/>
        </w:rPr>
        <w:t>ther</w:t>
      </w:r>
      <w:r w:rsidRPr="008D0139">
        <w:rPr>
          <w:rFonts w:asciiTheme="minorHAnsi" w:hAnsiTheme="minorHAnsi"/>
          <w:snapToGrid w:val="0"/>
        </w:rPr>
        <w:t xml:space="preserve">wise fit. Other factors (such as poor stem cell mobilisation, poor bone marrow reserve, worse organ dysfunction) may also exclude ASCT but not necessarily exclude CAR-T on a case-by-case basis. Indeed, some patients enrolled in the STARGLO trial who were ‘ineligible’ for ASCT at baseline subsequently received CAR-T as </w:t>
      </w:r>
      <w:r w:rsidR="006775BD">
        <w:rPr>
          <w:rFonts w:asciiTheme="minorHAnsi" w:hAnsiTheme="minorHAnsi"/>
          <w:snapToGrid w:val="0"/>
        </w:rPr>
        <w:t>3L</w:t>
      </w:r>
      <w:r w:rsidRPr="008D0139">
        <w:rPr>
          <w:rFonts w:asciiTheme="minorHAnsi" w:hAnsiTheme="minorHAnsi"/>
          <w:snapToGrid w:val="0"/>
        </w:rPr>
        <w:t xml:space="preserve"> therapy (e.g. 13.2% in the R-</w:t>
      </w:r>
      <w:proofErr w:type="spellStart"/>
      <w:r w:rsidRPr="008D0139">
        <w:rPr>
          <w:rFonts w:asciiTheme="minorHAnsi" w:hAnsiTheme="minorHAnsi"/>
          <w:snapToGrid w:val="0"/>
        </w:rPr>
        <w:t>GemOx</w:t>
      </w:r>
      <w:proofErr w:type="spellEnd"/>
      <w:r w:rsidRPr="008D0139">
        <w:rPr>
          <w:rFonts w:asciiTheme="minorHAnsi" w:hAnsiTheme="minorHAnsi"/>
          <w:snapToGrid w:val="0"/>
        </w:rPr>
        <w:t xml:space="preserve"> arm). Similarly, the 2025 NCCN clinical guidelines recommend </w:t>
      </w:r>
      <w:r w:rsidR="000940C3">
        <w:rPr>
          <w:rFonts w:asciiTheme="minorHAnsi" w:hAnsiTheme="minorHAnsi"/>
          <w:snapToGrid w:val="0"/>
        </w:rPr>
        <w:t>CAR-T cell therapy</w:t>
      </w:r>
      <w:r w:rsidRPr="008D0139">
        <w:rPr>
          <w:rFonts w:asciiTheme="minorHAnsi" w:hAnsiTheme="minorHAnsi"/>
          <w:snapToGrid w:val="0"/>
        </w:rPr>
        <w:t xml:space="preserve"> (if eligible) as the preferred second-line treatment option in patients when there is “no intention to proceed to transplant”.</w:t>
      </w:r>
      <w:r w:rsidR="00C071AA" w:rsidRPr="008D0139">
        <w:rPr>
          <w:rFonts w:asciiTheme="minorHAnsi" w:hAnsiTheme="minorHAnsi"/>
          <w:snapToGrid w:val="0"/>
        </w:rPr>
        <w:t xml:space="preserve"> </w:t>
      </w:r>
      <w:r w:rsidR="00FE1B71" w:rsidRPr="008D0139">
        <w:t xml:space="preserve">The ESC acknowledged that in clinical practice the definition of ASCT eligibility and </w:t>
      </w:r>
      <w:r w:rsidR="000940C3">
        <w:t>CAR-T cell therapy</w:t>
      </w:r>
      <w:r w:rsidR="007864A0" w:rsidRPr="008D0139">
        <w:t xml:space="preserve"> </w:t>
      </w:r>
      <w:r w:rsidR="00FE1B71" w:rsidRPr="008D0139">
        <w:t xml:space="preserve">suitability are a clinical decision and flexible. </w:t>
      </w:r>
      <w:r w:rsidR="003447BA" w:rsidRPr="008D0139">
        <w:t xml:space="preserve">As such, the ESC considered that in practice </w:t>
      </w:r>
      <w:r w:rsidR="000940C3">
        <w:t>CAR-T cell therapy</w:t>
      </w:r>
      <w:r w:rsidR="007864A0" w:rsidRPr="008D0139">
        <w:t xml:space="preserve"> </w:t>
      </w:r>
      <w:r w:rsidR="003D4AB8" w:rsidRPr="008D0139">
        <w:t xml:space="preserve">may have a wider population than those who are ASCT eligible. </w:t>
      </w:r>
      <w:r w:rsidR="00C4293F" w:rsidRPr="008D0139">
        <w:t xml:space="preserve">However, the ESC agreed with the </w:t>
      </w:r>
      <w:r w:rsidR="006A5CB8" w:rsidRPr="006A5CB8">
        <w:t xml:space="preserve">Pre-Sub-Committee Response </w:t>
      </w:r>
      <w:r w:rsidR="006A5CB8">
        <w:t>(</w:t>
      </w:r>
      <w:r w:rsidR="00C4293F" w:rsidRPr="008D0139">
        <w:t>PSCR</w:t>
      </w:r>
      <w:r w:rsidR="006A5CB8">
        <w:t>)</w:t>
      </w:r>
      <w:r w:rsidR="00C4293F" w:rsidRPr="008D0139">
        <w:t xml:space="preserve"> that the number of patients who could be considered ineligible for ASCT but eligible for </w:t>
      </w:r>
      <w:r w:rsidR="000940C3">
        <w:t>CAR-T cell therapy</w:t>
      </w:r>
      <w:r w:rsidR="007864A0" w:rsidRPr="008D0139">
        <w:t xml:space="preserve"> </w:t>
      </w:r>
      <w:r w:rsidR="00C4293F" w:rsidRPr="008D0139">
        <w:t xml:space="preserve">would likely be small. The ESC considered that amendment of the proposed restriction to include reference to </w:t>
      </w:r>
      <w:r w:rsidR="000940C3">
        <w:t>CAR-T cell therapy</w:t>
      </w:r>
      <w:r w:rsidR="00C4293F" w:rsidRPr="008D0139">
        <w:t xml:space="preserve"> suitability further clarified the intended eligible PBS population. </w:t>
      </w:r>
    </w:p>
    <w:p w14:paraId="2B2B635A" w14:textId="2E74FBFF" w:rsidR="004154DB" w:rsidRPr="00A975A4" w:rsidRDefault="004154DB" w:rsidP="007368C9">
      <w:pPr>
        <w:numPr>
          <w:ilvl w:val="0"/>
          <w:numId w:val="17"/>
        </w:numPr>
        <w:spacing w:before="60" w:after="60"/>
        <w:rPr>
          <w:rFonts w:asciiTheme="minorHAnsi" w:hAnsiTheme="minorHAnsi"/>
          <w:snapToGrid w:val="0"/>
        </w:rPr>
      </w:pPr>
      <w:r w:rsidRPr="008D0139">
        <w:rPr>
          <w:rFonts w:asciiTheme="minorHAnsi" w:hAnsiTheme="minorHAnsi"/>
          <w:snapToGrid w:val="0"/>
        </w:rPr>
        <w:t>Whether Glofit-GemOx</w:t>
      </w:r>
      <w:r w:rsidRPr="008D0139" w:rsidDel="006D6AA5">
        <w:rPr>
          <w:rFonts w:asciiTheme="minorHAnsi" w:hAnsiTheme="minorHAnsi"/>
          <w:snapToGrid w:val="0"/>
        </w:rPr>
        <w:t xml:space="preserve"> </w:t>
      </w:r>
      <w:r w:rsidRPr="008D0139">
        <w:rPr>
          <w:rFonts w:asciiTheme="minorHAnsi" w:hAnsiTheme="minorHAnsi"/>
          <w:snapToGrid w:val="0"/>
        </w:rPr>
        <w:t xml:space="preserve">would actually substitute for CAR-T in practice is another question. Should some patients, who would otherwise be eligible for CAR-T, choose to undergo treatment with Glofit-GemOx instead of CAR-T due to patient preferences, then CAR-T (i.e. </w:t>
      </w:r>
      <w:proofErr w:type="spellStart"/>
      <w:r w:rsidRPr="008D0139">
        <w:rPr>
          <w:rFonts w:asciiTheme="minorHAnsi" w:hAnsiTheme="minorHAnsi"/>
          <w:snapToGrid w:val="0"/>
        </w:rPr>
        <w:t>axicabtagene</w:t>
      </w:r>
      <w:proofErr w:type="spellEnd"/>
      <w:r w:rsidRPr="008D0139">
        <w:rPr>
          <w:rFonts w:asciiTheme="minorHAnsi" w:hAnsiTheme="minorHAnsi"/>
          <w:snapToGrid w:val="0"/>
        </w:rPr>
        <w:t xml:space="preserve"> </w:t>
      </w:r>
      <w:proofErr w:type="spellStart"/>
      <w:r w:rsidRPr="008D0139">
        <w:rPr>
          <w:rFonts w:asciiTheme="minorHAnsi" w:hAnsiTheme="minorHAnsi"/>
          <w:snapToGrid w:val="0"/>
        </w:rPr>
        <w:t>ciloleucel</w:t>
      </w:r>
      <w:proofErr w:type="spellEnd"/>
      <w:r w:rsidRPr="008D0139">
        <w:rPr>
          <w:rFonts w:asciiTheme="minorHAnsi" w:hAnsiTheme="minorHAnsi"/>
          <w:snapToGrid w:val="0"/>
        </w:rPr>
        <w:t xml:space="preserve">) may be considered as an appropriate comparator in those patients. The delivery of </w:t>
      </w:r>
      <w:r w:rsidR="000940C3">
        <w:rPr>
          <w:rFonts w:asciiTheme="minorHAnsi" w:hAnsiTheme="minorHAnsi"/>
          <w:snapToGrid w:val="0"/>
        </w:rPr>
        <w:t>CAR-T cell therapy</w:t>
      </w:r>
      <w:r w:rsidRPr="008D0139">
        <w:rPr>
          <w:rFonts w:asciiTheme="minorHAnsi" w:hAnsiTheme="minorHAnsi"/>
          <w:snapToGrid w:val="0"/>
        </w:rPr>
        <w:t xml:space="preserve"> in Australia is currently via six accredited tertiary hospital treatment centres, of which four are located in capital cities. The PBAC had previously heard clinician and consumer comments highlighting the current barriers to access at the November 2024 PBAC Meeting</w:t>
      </w:r>
      <w:r w:rsidR="00017D6D" w:rsidRPr="008D0139">
        <w:rPr>
          <w:rFonts w:asciiTheme="minorHAnsi" w:hAnsiTheme="minorHAnsi"/>
          <w:snapToGrid w:val="0"/>
        </w:rPr>
        <w:t xml:space="preserve"> </w:t>
      </w:r>
      <w:r w:rsidRPr="008D0139">
        <w:rPr>
          <w:rFonts w:asciiTheme="minorHAnsi" w:hAnsiTheme="minorHAnsi"/>
          <w:snapToGrid w:val="0"/>
        </w:rPr>
        <w:t>and acknowledged the high clinical need for additional treatments for this condition that has a very poor prognosis (paragraph 7.2, epcoritamab PSD, November 2024).</w:t>
      </w:r>
      <w:r w:rsidR="00722690" w:rsidRPr="008D0139">
        <w:rPr>
          <w:rFonts w:asciiTheme="minorHAnsi" w:hAnsiTheme="minorHAnsi"/>
          <w:snapToGrid w:val="0"/>
        </w:rPr>
        <w:t xml:space="preserve"> </w:t>
      </w:r>
      <w:r w:rsidR="00722690" w:rsidRPr="008D0139">
        <w:t xml:space="preserve">The ESC acknowledged the evaluators concern that glofitamab may be used in preference to </w:t>
      </w:r>
      <w:r w:rsidR="000940C3">
        <w:t>CAR-T cell therapy</w:t>
      </w:r>
      <w:r w:rsidR="00722690" w:rsidRPr="008D0139">
        <w:t xml:space="preserve"> in some situations and that this may have implications for the comparator but</w:t>
      </w:r>
      <w:r w:rsidR="00615673" w:rsidRPr="008D0139">
        <w:t>, as outlined above,</w:t>
      </w:r>
      <w:r w:rsidR="00722690" w:rsidRPr="008D0139">
        <w:t xml:space="preserve"> considered that this would only be relevant for a small number of patients.</w:t>
      </w:r>
      <w:r w:rsidR="00A975A4">
        <w:t xml:space="preserve"> </w:t>
      </w:r>
    </w:p>
    <w:p w14:paraId="25C5CA8E" w14:textId="413A9E67" w:rsidR="00A975A4" w:rsidRPr="005867D6" w:rsidRDefault="00A975A4" w:rsidP="005867D6">
      <w:pPr>
        <w:ind w:firstLine="709"/>
        <w:rPr>
          <w:rFonts w:asciiTheme="minorHAnsi" w:hAnsiTheme="minorHAnsi"/>
          <w:i/>
        </w:rPr>
      </w:pPr>
      <w:r w:rsidRPr="00C33D30">
        <w:rPr>
          <w:rFonts w:asciiTheme="minorHAnsi" w:hAnsiTheme="minorHAnsi"/>
          <w:i/>
        </w:rPr>
        <w:t>For more detail on PBAC’s view, see section 7 PBAC outcome.</w:t>
      </w:r>
    </w:p>
    <w:p w14:paraId="3A8F4884" w14:textId="77777777" w:rsidR="004154DB" w:rsidRPr="00407F2D" w:rsidRDefault="004154DB" w:rsidP="00BD2D2E">
      <w:pPr>
        <w:pStyle w:val="PBACESHeading1"/>
      </w:pPr>
      <w:bookmarkStart w:id="31" w:name="_Toc198716596"/>
      <w:r>
        <w:t>C</w:t>
      </w:r>
      <w:r w:rsidRPr="00407F2D">
        <w:t>onsideration of the evidence</w:t>
      </w:r>
      <w:bookmarkEnd w:id="27"/>
      <w:bookmarkEnd w:id="31"/>
    </w:p>
    <w:p w14:paraId="479C39AF" w14:textId="77777777" w:rsidR="000912C4" w:rsidRPr="006E1229" w:rsidRDefault="000912C4" w:rsidP="000912C4">
      <w:pPr>
        <w:pStyle w:val="3-SubsectionHeading"/>
        <w:outlineLvl w:val="1"/>
        <w:rPr>
          <w:lang w:eastAsia="en-AU"/>
        </w:rPr>
      </w:pPr>
      <w:bookmarkStart w:id="32" w:name="_Hlk76375935"/>
      <w:bookmarkStart w:id="33" w:name="_Toc107927626"/>
      <w:bookmarkStart w:id="34" w:name="_Toc198716597"/>
      <w:r w:rsidRPr="006E1229">
        <w:rPr>
          <w:lang w:eastAsia="en-AU"/>
        </w:rPr>
        <w:t>Sponsor hearing</w:t>
      </w:r>
    </w:p>
    <w:p w14:paraId="4F5DDA3F" w14:textId="1F0A5638" w:rsidR="000912C4" w:rsidRPr="00836F75" w:rsidRDefault="00574E45" w:rsidP="000912C4">
      <w:pPr>
        <w:widowControl w:val="0"/>
        <w:numPr>
          <w:ilvl w:val="1"/>
          <w:numId w:val="1"/>
        </w:numPr>
        <w:spacing w:after="120"/>
        <w:rPr>
          <w:rFonts w:asciiTheme="minorHAnsi" w:hAnsiTheme="minorHAnsi"/>
          <w:bCs/>
          <w:snapToGrid w:val="0"/>
        </w:rPr>
      </w:pPr>
      <w:bookmarkStart w:id="35" w:name="_Hlk76382586"/>
      <w:r w:rsidRPr="00574E45">
        <w:rPr>
          <w:rFonts w:asciiTheme="minorHAnsi" w:hAnsiTheme="minorHAnsi"/>
          <w:bCs/>
          <w:snapToGrid w:val="0"/>
        </w:rPr>
        <w:t xml:space="preserve">The Sponsor requested a hearing for this item. The clinician discussed the Australian cohort of the pivotal </w:t>
      </w:r>
      <w:r w:rsidR="00DC3CDC">
        <w:rPr>
          <w:rFonts w:asciiTheme="minorHAnsi" w:hAnsiTheme="minorHAnsi"/>
          <w:bCs/>
          <w:snapToGrid w:val="0"/>
        </w:rPr>
        <w:t>STARGLO trial</w:t>
      </w:r>
      <w:r w:rsidRPr="00574E45">
        <w:rPr>
          <w:rFonts w:asciiTheme="minorHAnsi" w:hAnsiTheme="minorHAnsi"/>
          <w:bCs/>
          <w:snapToGrid w:val="0"/>
        </w:rPr>
        <w:t xml:space="preserve"> and the results</w:t>
      </w:r>
      <w:r w:rsidR="0029762A">
        <w:rPr>
          <w:rFonts w:asciiTheme="minorHAnsi" w:hAnsiTheme="minorHAnsi"/>
          <w:bCs/>
          <w:snapToGrid w:val="0"/>
        </w:rPr>
        <w:t xml:space="preserve"> reported for</w:t>
      </w:r>
      <w:r w:rsidRPr="00574E45">
        <w:rPr>
          <w:rFonts w:asciiTheme="minorHAnsi" w:hAnsiTheme="minorHAnsi"/>
          <w:bCs/>
          <w:snapToGrid w:val="0"/>
        </w:rPr>
        <w:t xml:space="preserve"> both for the Australian subgroup and the whole trial population</w:t>
      </w:r>
      <w:r w:rsidR="007F0CF8">
        <w:rPr>
          <w:rFonts w:asciiTheme="minorHAnsi" w:hAnsiTheme="minorHAnsi"/>
          <w:bCs/>
          <w:snapToGrid w:val="0"/>
        </w:rPr>
        <w:t>. The clinician</w:t>
      </w:r>
      <w:r w:rsidRPr="00574E45">
        <w:rPr>
          <w:rFonts w:asciiTheme="minorHAnsi" w:hAnsiTheme="minorHAnsi"/>
          <w:bCs/>
          <w:snapToGrid w:val="0"/>
        </w:rPr>
        <w:t xml:space="preserve"> also addressed </w:t>
      </w:r>
      <w:r w:rsidR="0029762A">
        <w:rPr>
          <w:rFonts w:asciiTheme="minorHAnsi" w:hAnsiTheme="minorHAnsi"/>
          <w:bCs/>
          <w:snapToGrid w:val="0"/>
        </w:rPr>
        <w:t xml:space="preserve">questions </w:t>
      </w:r>
      <w:r w:rsidR="00FD313A">
        <w:rPr>
          <w:rFonts w:asciiTheme="minorHAnsi" w:hAnsiTheme="minorHAnsi"/>
          <w:bCs/>
          <w:snapToGrid w:val="0"/>
        </w:rPr>
        <w:t>in relation to the anticipated uptake of glofitamab</w:t>
      </w:r>
      <w:r w:rsidR="00306FBA">
        <w:rPr>
          <w:rFonts w:asciiTheme="minorHAnsi" w:hAnsiTheme="minorHAnsi"/>
          <w:bCs/>
          <w:snapToGrid w:val="0"/>
        </w:rPr>
        <w:t xml:space="preserve"> and the </w:t>
      </w:r>
      <w:r w:rsidRPr="00574E45">
        <w:rPr>
          <w:rFonts w:asciiTheme="minorHAnsi" w:hAnsiTheme="minorHAnsi"/>
          <w:bCs/>
          <w:snapToGrid w:val="0"/>
        </w:rPr>
        <w:t xml:space="preserve">relative place of </w:t>
      </w:r>
      <w:r w:rsidR="000940C3">
        <w:rPr>
          <w:rFonts w:asciiTheme="minorHAnsi" w:hAnsiTheme="minorHAnsi"/>
          <w:bCs/>
          <w:snapToGrid w:val="0"/>
        </w:rPr>
        <w:t>CAR-T cell therapy</w:t>
      </w:r>
      <w:r w:rsidRPr="00574E45">
        <w:rPr>
          <w:rFonts w:asciiTheme="minorHAnsi" w:hAnsiTheme="minorHAnsi"/>
          <w:bCs/>
          <w:snapToGrid w:val="0"/>
        </w:rPr>
        <w:t xml:space="preserve"> and glofitamab in practice. </w:t>
      </w:r>
    </w:p>
    <w:bookmarkEnd w:id="35"/>
    <w:p w14:paraId="5FE585ED" w14:textId="4B6CF630" w:rsidR="000912C4" w:rsidRPr="006E1229" w:rsidRDefault="000912C4" w:rsidP="000912C4">
      <w:pPr>
        <w:pStyle w:val="3-SubsectionHeading"/>
        <w:outlineLvl w:val="1"/>
        <w:rPr>
          <w:lang w:eastAsia="en-AU"/>
        </w:rPr>
      </w:pPr>
      <w:r w:rsidRPr="006E1229">
        <w:rPr>
          <w:lang w:eastAsia="en-AU"/>
        </w:rPr>
        <w:t>Consumer comments</w:t>
      </w:r>
    </w:p>
    <w:p w14:paraId="74E744FD" w14:textId="160E6343" w:rsidR="0028154B" w:rsidRDefault="00142F53" w:rsidP="0028154B">
      <w:pPr>
        <w:widowControl w:val="0"/>
        <w:numPr>
          <w:ilvl w:val="1"/>
          <w:numId w:val="1"/>
        </w:numPr>
        <w:spacing w:after="120"/>
        <w:rPr>
          <w:rFonts w:asciiTheme="minorHAnsi" w:hAnsiTheme="minorHAnsi"/>
          <w:bCs/>
          <w:snapToGrid w:val="0"/>
        </w:rPr>
      </w:pPr>
      <w:bookmarkStart w:id="36" w:name="_Hlk76382618"/>
      <w:r w:rsidRPr="00142F53">
        <w:rPr>
          <w:rFonts w:asciiTheme="minorHAnsi" w:hAnsiTheme="minorHAnsi"/>
          <w:bCs/>
          <w:snapToGrid w:val="0"/>
        </w:rPr>
        <w:t xml:space="preserve">The PBAC noted and welcomed the input from health </w:t>
      </w:r>
      <w:r w:rsidR="001E474C">
        <w:rPr>
          <w:rFonts w:asciiTheme="minorHAnsi" w:hAnsiTheme="minorHAnsi"/>
          <w:bCs/>
          <w:snapToGrid w:val="0"/>
        </w:rPr>
        <w:t xml:space="preserve">care </w:t>
      </w:r>
      <w:r w:rsidRPr="00142F53">
        <w:rPr>
          <w:rFonts w:asciiTheme="minorHAnsi" w:hAnsiTheme="minorHAnsi"/>
          <w:bCs/>
          <w:snapToGrid w:val="0"/>
        </w:rPr>
        <w:t xml:space="preserve">professionals (2) and </w:t>
      </w:r>
      <w:r w:rsidR="00C565C4">
        <w:rPr>
          <w:rFonts w:asciiTheme="minorHAnsi" w:hAnsiTheme="minorHAnsi"/>
          <w:bCs/>
          <w:snapToGrid w:val="0"/>
        </w:rPr>
        <w:t xml:space="preserve">organisations (4) </w:t>
      </w:r>
      <w:r w:rsidR="00B42154">
        <w:rPr>
          <w:rFonts w:asciiTheme="minorHAnsi" w:hAnsiTheme="minorHAnsi"/>
          <w:bCs/>
          <w:snapToGrid w:val="0"/>
        </w:rPr>
        <w:t xml:space="preserve">via the Consumer </w:t>
      </w:r>
      <w:r w:rsidR="007471BF">
        <w:rPr>
          <w:rFonts w:asciiTheme="minorHAnsi" w:hAnsiTheme="minorHAnsi"/>
          <w:bCs/>
          <w:snapToGrid w:val="0"/>
        </w:rPr>
        <w:t xml:space="preserve">Comments facility on the PBS website. </w:t>
      </w:r>
      <w:r w:rsidRPr="003E6BC8">
        <w:rPr>
          <w:rFonts w:asciiTheme="minorHAnsi" w:hAnsiTheme="minorHAnsi"/>
          <w:bCs/>
          <w:snapToGrid w:val="0"/>
        </w:rPr>
        <w:t xml:space="preserve">The PBAC noted the input from health </w:t>
      </w:r>
      <w:r w:rsidR="001E474C">
        <w:rPr>
          <w:rFonts w:asciiTheme="minorHAnsi" w:hAnsiTheme="minorHAnsi"/>
          <w:bCs/>
          <w:snapToGrid w:val="0"/>
        </w:rPr>
        <w:t xml:space="preserve">care </w:t>
      </w:r>
      <w:r w:rsidRPr="003E6BC8">
        <w:rPr>
          <w:rFonts w:asciiTheme="minorHAnsi" w:hAnsiTheme="minorHAnsi"/>
          <w:bCs/>
          <w:snapToGrid w:val="0"/>
        </w:rPr>
        <w:t>professionals outlined the</w:t>
      </w:r>
      <w:r w:rsidR="007B5D4D" w:rsidRPr="003E6BC8">
        <w:rPr>
          <w:rFonts w:asciiTheme="minorHAnsi" w:hAnsiTheme="minorHAnsi"/>
          <w:bCs/>
          <w:snapToGrid w:val="0"/>
        </w:rPr>
        <w:t xml:space="preserve"> effi</w:t>
      </w:r>
      <w:r w:rsidR="00855C43" w:rsidRPr="003E6BC8">
        <w:rPr>
          <w:rFonts w:asciiTheme="minorHAnsi" w:hAnsiTheme="minorHAnsi"/>
          <w:bCs/>
          <w:snapToGrid w:val="0"/>
        </w:rPr>
        <w:t>cacy</w:t>
      </w:r>
      <w:r w:rsidRPr="003E6BC8">
        <w:rPr>
          <w:rFonts w:asciiTheme="minorHAnsi" w:hAnsiTheme="minorHAnsi"/>
          <w:bCs/>
          <w:snapToGrid w:val="0"/>
        </w:rPr>
        <w:t xml:space="preserve"> rates of first line treatment for DLBCL, and the high need for additional treatment options</w:t>
      </w:r>
      <w:r w:rsidR="00855C43" w:rsidRPr="003E6BC8">
        <w:rPr>
          <w:rFonts w:asciiTheme="minorHAnsi" w:hAnsiTheme="minorHAnsi"/>
          <w:bCs/>
          <w:snapToGrid w:val="0"/>
        </w:rPr>
        <w:t xml:space="preserve"> in later lines</w:t>
      </w:r>
      <w:r w:rsidRPr="003E6BC8">
        <w:rPr>
          <w:rFonts w:asciiTheme="minorHAnsi" w:hAnsiTheme="minorHAnsi"/>
          <w:bCs/>
          <w:snapToGrid w:val="0"/>
        </w:rPr>
        <w:t xml:space="preserve">, especially for </w:t>
      </w:r>
      <w:r w:rsidR="00EB5BD4">
        <w:rPr>
          <w:rFonts w:asciiTheme="minorHAnsi" w:hAnsiTheme="minorHAnsi"/>
          <w:bCs/>
          <w:snapToGrid w:val="0"/>
        </w:rPr>
        <w:t>individuals</w:t>
      </w:r>
      <w:r w:rsidRPr="003E6BC8">
        <w:rPr>
          <w:rFonts w:asciiTheme="minorHAnsi" w:hAnsiTheme="minorHAnsi"/>
          <w:bCs/>
          <w:snapToGrid w:val="0"/>
        </w:rPr>
        <w:t xml:space="preserve"> who are not suitable for ASCT or CAR-T </w:t>
      </w:r>
      <w:r w:rsidR="00167EF3">
        <w:rPr>
          <w:rFonts w:asciiTheme="minorHAnsi" w:hAnsiTheme="minorHAnsi"/>
          <w:bCs/>
          <w:snapToGrid w:val="0"/>
        </w:rPr>
        <w:t xml:space="preserve">cell </w:t>
      </w:r>
      <w:r w:rsidRPr="003E6BC8">
        <w:rPr>
          <w:rFonts w:asciiTheme="minorHAnsi" w:hAnsiTheme="minorHAnsi"/>
          <w:bCs/>
          <w:snapToGrid w:val="0"/>
        </w:rPr>
        <w:t>therapy</w:t>
      </w:r>
      <w:r w:rsidR="00167EF3">
        <w:rPr>
          <w:rFonts w:asciiTheme="minorHAnsi" w:hAnsiTheme="minorHAnsi"/>
          <w:bCs/>
          <w:snapToGrid w:val="0"/>
        </w:rPr>
        <w:t xml:space="preserve">. </w:t>
      </w:r>
      <w:r w:rsidR="009D238F">
        <w:rPr>
          <w:rFonts w:asciiTheme="minorHAnsi" w:hAnsiTheme="minorHAnsi"/>
          <w:bCs/>
          <w:snapToGrid w:val="0"/>
        </w:rPr>
        <w:t xml:space="preserve">The input described the </w:t>
      </w:r>
      <w:r w:rsidRPr="003E6BC8">
        <w:rPr>
          <w:rFonts w:asciiTheme="minorHAnsi" w:hAnsiTheme="minorHAnsi"/>
          <w:bCs/>
          <w:snapToGrid w:val="0"/>
        </w:rPr>
        <w:t xml:space="preserve">efficacy </w:t>
      </w:r>
      <w:r w:rsidR="00481F80">
        <w:rPr>
          <w:rFonts w:asciiTheme="minorHAnsi" w:hAnsiTheme="minorHAnsi"/>
          <w:bCs/>
          <w:snapToGrid w:val="0"/>
        </w:rPr>
        <w:t xml:space="preserve">of glofitamab based on the </w:t>
      </w:r>
      <w:r w:rsidRPr="003E6BC8">
        <w:rPr>
          <w:rFonts w:asciiTheme="minorHAnsi" w:hAnsiTheme="minorHAnsi"/>
          <w:bCs/>
          <w:snapToGrid w:val="0"/>
        </w:rPr>
        <w:t xml:space="preserve">results of the STARGLO trial. The health </w:t>
      </w:r>
      <w:r w:rsidR="001E474C">
        <w:rPr>
          <w:rFonts w:asciiTheme="minorHAnsi" w:hAnsiTheme="minorHAnsi"/>
          <w:bCs/>
          <w:snapToGrid w:val="0"/>
        </w:rPr>
        <w:t xml:space="preserve">care </w:t>
      </w:r>
      <w:r w:rsidRPr="003E6BC8">
        <w:rPr>
          <w:rFonts w:asciiTheme="minorHAnsi" w:hAnsiTheme="minorHAnsi"/>
          <w:bCs/>
          <w:snapToGrid w:val="0"/>
        </w:rPr>
        <w:t xml:space="preserve">professionals also noted the risk of </w:t>
      </w:r>
      <w:r w:rsidR="00E438E7">
        <w:rPr>
          <w:rFonts w:asciiTheme="minorHAnsi" w:hAnsiTheme="minorHAnsi"/>
          <w:bCs/>
          <w:snapToGrid w:val="0"/>
        </w:rPr>
        <w:t>CRS</w:t>
      </w:r>
      <w:r w:rsidRPr="003E6BC8">
        <w:rPr>
          <w:rFonts w:asciiTheme="minorHAnsi" w:hAnsiTheme="minorHAnsi"/>
          <w:bCs/>
          <w:snapToGrid w:val="0"/>
        </w:rPr>
        <w:t xml:space="preserve"> identified in the trial and </w:t>
      </w:r>
      <w:r w:rsidR="00BC2320">
        <w:rPr>
          <w:rFonts w:asciiTheme="minorHAnsi" w:hAnsiTheme="minorHAnsi"/>
          <w:bCs/>
          <w:snapToGrid w:val="0"/>
        </w:rPr>
        <w:t xml:space="preserve">described this as manageable </w:t>
      </w:r>
      <w:r w:rsidR="002E34BF">
        <w:rPr>
          <w:rFonts w:asciiTheme="minorHAnsi" w:hAnsiTheme="minorHAnsi"/>
          <w:bCs/>
          <w:snapToGrid w:val="0"/>
        </w:rPr>
        <w:t xml:space="preserve">but acknowledged there was an additional burden of care due to the need to remain </w:t>
      </w:r>
      <w:r w:rsidRPr="003E6BC8">
        <w:rPr>
          <w:rFonts w:asciiTheme="minorHAnsi" w:hAnsiTheme="minorHAnsi"/>
          <w:bCs/>
          <w:snapToGrid w:val="0"/>
        </w:rPr>
        <w:t xml:space="preserve">in the care setting for an extended duration on the day of treatment. </w:t>
      </w:r>
    </w:p>
    <w:p w14:paraId="246B2DBB" w14:textId="0D1233E4" w:rsidR="00A52418" w:rsidRDefault="00142F53" w:rsidP="00A52418">
      <w:pPr>
        <w:widowControl w:val="0"/>
        <w:numPr>
          <w:ilvl w:val="1"/>
          <w:numId w:val="1"/>
        </w:numPr>
        <w:spacing w:after="120"/>
        <w:rPr>
          <w:rFonts w:asciiTheme="minorHAnsi" w:hAnsiTheme="minorHAnsi"/>
          <w:bCs/>
          <w:snapToGrid w:val="0"/>
        </w:rPr>
      </w:pPr>
      <w:r w:rsidRPr="0028154B">
        <w:rPr>
          <w:bCs/>
        </w:rPr>
        <w:t xml:space="preserve">The input from Rare Cancers Australia highlighted the </w:t>
      </w:r>
      <w:r w:rsidR="0028154B">
        <w:rPr>
          <w:bCs/>
        </w:rPr>
        <w:t xml:space="preserve">impact on </w:t>
      </w:r>
      <w:r w:rsidR="007E527F">
        <w:rPr>
          <w:bCs/>
        </w:rPr>
        <w:t>individuals</w:t>
      </w:r>
      <w:r w:rsidRPr="0028154B">
        <w:rPr>
          <w:bCs/>
        </w:rPr>
        <w:t xml:space="preserve"> of </w:t>
      </w:r>
      <w:r w:rsidR="0028154B">
        <w:rPr>
          <w:bCs/>
        </w:rPr>
        <w:t>A</w:t>
      </w:r>
      <w:r w:rsidRPr="0028154B">
        <w:rPr>
          <w:bCs/>
        </w:rPr>
        <w:t xml:space="preserve">SCT, </w:t>
      </w:r>
      <w:r w:rsidR="0028154B">
        <w:rPr>
          <w:bCs/>
        </w:rPr>
        <w:br/>
      </w:r>
      <w:r w:rsidRPr="0028154B">
        <w:rPr>
          <w:bCs/>
        </w:rPr>
        <w:t xml:space="preserve">CAR-T </w:t>
      </w:r>
      <w:r w:rsidR="0028154B">
        <w:rPr>
          <w:bCs/>
        </w:rPr>
        <w:t xml:space="preserve">cell </w:t>
      </w:r>
      <w:r w:rsidRPr="0028154B">
        <w:rPr>
          <w:bCs/>
        </w:rPr>
        <w:t>therapy and current chemo</w:t>
      </w:r>
      <w:r w:rsidR="00500B09">
        <w:rPr>
          <w:bCs/>
        </w:rPr>
        <w:t>immuno</w:t>
      </w:r>
      <w:r w:rsidRPr="0028154B">
        <w:rPr>
          <w:bCs/>
        </w:rPr>
        <w:t>therapy options</w:t>
      </w:r>
      <w:r w:rsidR="0028154B">
        <w:rPr>
          <w:bCs/>
        </w:rPr>
        <w:t xml:space="preserve">. The input </w:t>
      </w:r>
      <w:r w:rsidRPr="0028154B">
        <w:rPr>
          <w:bCs/>
        </w:rPr>
        <w:t xml:space="preserve">discussed the benefits of glofitamab for </w:t>
      </w:r>
      <w:r w:rsidR="007D36D5">
        <w:rPr>
          <w:bCs/>
        </w:rPr>
        <w:t>those</w:t>
      </w:r>
      <w:r w:rsidRPr="0028154B">
        <w:rPr>
          <w:bCs/>
        </w:rPr>
        <w:t xml:space="preserve"> who are frail and cannot handle the harsh side effects of other treatment options. The input also discussed the side effects of glofitamab and how these will be managed in practice. </w:t>
      </w:r>
    </w:p>
    <w:p w14:paraId="30C84013" w14:textId="22A1B513" w:rsidR="003D0AE4" w:rsidRDefault="00142F53" w:rsidP="003D0AE4">
      <w:pPr>
        <w:widowControl w:val="0"/>
        <w:numPr>
          <w:ilvl w:val="1"/>
          <w:numId w:val="1"/>
        </w:numPr>
        <w:spacing w:after="120"/>
        <w:rPr>
          <w:rFonts w:asciiTheme="minorHAnsi" w:hAnsiTheme="minorHAnsi"/>
          <w:bCs/>
          <w:snapToGrid w:val="0"/>
        </w:rPr>
      </w:pPr>
      <w:r w:rsidRPr="00A52418">
        <w:rPr>
          <w:bCs/>
        </w:rPr>
        <w:t xml:space="preserve">The input from the Leukaemia Foundation discussed current standard of care and </w:t>
      </w:r>
      <w:r w:rsidR="00813C67">
        <w:rPr>
          <w:bCs/>
        </w:rPr>
        <w:t xml:space="preserve">emphasised </w:t>
      </w:r>
      <w:r w:rsidRPr="00A52418">
        <w:rPr>
          <w:bCs/>
        </w:rPr>
        <w:t xml:space="preserve">the need for additional treatment options for </w:t>
      </w:r>
      <w:r w:rsidR="000B02FE">
        <w:rPr>
          <w:bCs/>
        </w:rPr>
        <w:t>individuals</w:t>
      </w:r>
      <w:r w:rsidRPr="00A52418">
        <w:rPr>
          <w:bCs/>
        </w:rPr>
        <w:t xml:space="preserve"> who are not suitable for ASCT or CAR-T</w:t>
      </w:r>
      <w:r w:rsidR="00704D2E">
        <w:rPr>
          <w:bCs/>
        </w:rPr>
        <w:t xml:space="preserve"> cell</w:t>
      </w:r>
      <w:r w:rsidRPr="00A52418">
        <w:rPr>
          <w:bCs/>
        </w:rPr>
        <w:t xml:space="preserve"> therapy</w:t>
      </w:r>
      <w:r w:rsidR="00704D2E">
        <w:rPr>
          <w:bCs/>
        </w:rPr>
        <w:t>.</w:t>
      </w:r>
      <w:r w:rsidRPr="00A52418">
        <w:rPr>
          <w:bCs/>
        </w:rPr>
        <w:t xml:space="preserve"> The input also shared comments from </w:t>
      </w:r>
      <w:r w:rsidR="003B0DAD">
        <w:rPr>
          <w:bCs/>
        </w:rPr>
        <w:t>individuals</w:t>
      </w:r>
      <w:r w:rsidRPr="00A52418">
        <w:rPr>
          <w:bCs/>
        </w:rPr>
        <w:t xml:space="preserve"> living with DLBCL</w:t>
      </w:r>
      <w:r w:rsidR="00857DAF">
        <w:rPr>
          <w:bCs/>
        </w:rPr>
        <w:t xml:space="preserve"> </w:t>
      </w:r>
      <w:r w:rsidR="00216486">
        <w:rPr>
          <w:bCs/>
        </w:rPr>
        <w:t xml:space="preserve">which described the stress associated with the condition </w:t>
      </w:r>
      <w:r w:rsidR="00783C72">
        <w:rPr>
          <w:bCs/>
        </w:rPr>
        <w:t xml:space="preserve">and </w:t>
      </w:r>
      <w:r w:rsidR="00857DAF">
        <w:rPr>
          <w:bCs/>
        </w:rPr>
        <w:t xml:space="preserve">its impact on </w:t>
      </w:r>
      <w:r w:rsidR="005C01D5">
        <w:rPr>
          <w:bCs/>
        </w:rPr>
        <w:t xml:space="preserve">their </w:t>
      </w:r>
      <w:r w:rsidR="00857DAF">
        <w:rPr>
          <w:bCs/>
        </w:rPr>
        <w:t>quality of life</w:t>
      </w:r>
      <w:r w:rsidR="003B0DAD">
        <w:rPr>
          <w:bCs/>
        </w:rPr>
        <w:t xml:space="preserve">. </w:t>
      </w:r>
      <w:r w:rsidR="00951ADE">
        <w:rPr>
          <w:bCs/>
        </w:rPr>
        <w:t xml:space="preserve">The feedback from individuals </w:t>
      </w:r>
      <w:r w:rsidR="00862C5C">
        <w:rPr>
          <w:bCs/>
        </w:rPr>
        <w:t xml:space="preserve">living </w:t>
      </w:r>
      <w:r w:rsidR="00951ADE">
        <w:rPr>
          <w:bCs/>
        </w:rPr>
        <w:t xml:space="preserve">with DLBCL </w:t>
      </w:r>
      <w:r w:rsidR="00E03048">
        <w:rPr>
          <w:bCs/>
        </w:rPr>
        <w:t>highlighted concerns around the</w:t>
      </w:r>
      <w:r w:rsidRPr="00A52418">
        <w:rPr>
          <w:bCs/>
        </w:rPr>
        <w:t xml:space="preserve"> effects of current chemo</w:t>
      </w:r>
      <w:r w:rsidR="000C5668">
        <w:rPr>
          <w:bCs/>
        </w:rPr>
        <w:t>immuno</w:t>
      </w:r>
      <w:r w:rsidRPr="00A52418">
        <w:rPr>
          <w:bCs/>
        </w:rPr>
        <w:t xml:space="preserve">therapy treatment and about </w:t>
      </w:r>
      <w:r w:rsidR="000C5668">
        <w:rPr>
          <w:bCs/>
        </w:rPr>
        <w:t xml:space="preserve">the </w:t>
      </w:r>
      <w:r w:rsidR="003D0AE4">
        <w:rPr>
          <w:bCs/>
        </w:rPr>
        <w:t xml:space="preserve">potential </w:t>
      </w:r>
      <w:r w:rsidR="000C5668">
        <w:rPr>
          <w:bCs/>
        </w:rPr>
        <w:t xml:space="preserve">toxicity of future </w:t>
      </w:r>
      <w:r w:rsidR="00E60AB6">
        <w:rPr>
          <w:bCs/>
        </w:rPr>
        <w:t xml:space="preserve">treatments as they have become refractory to </w:t>
      </w:r>
      <w:r w:rsidR="0016225A">
        <w:rPr>
          <w:bCs/>
        </w:rPr>
        <w:t>their current therapy</w:t>
      </w:r>
      <w:r w:rsidRPr="00A52418">
        <w:rPr>
          <w:bCs/>
        </w:rPr>
        <w:t xml:space="preserve">. </w:t>
      </w:r>
    </w:p>
    <w:p w14:paraId="2DD3F49D" w14:textId="34A94A2C" w:rsidR="00BC0A67" w:rsidRDefault="00142F53" w:rsidP="00BC0A67">
      <w:pPr>
        <w:widowControl w:val="0"/>
        <w:numPr>
          <w:ilvl w:val="1"/>
          <w:numId w:val="1"/>
        </w:numPr>
        <w:spacing w:after="120"/>
        <w:rPr>
          <w:rFonts w:asciiTheme="minorHAnsi" w:hAnsiTheme="minorHAnsi"/>
          <w:bCs/>
          <w:snapToGrid w:val="0"/>
        </w:rPr>
      </w:pPr>
      <w:r w:rsidRPr="003D0AE4">
        <w:rPr>
          <w:bCs/>
        </w:rPr>
        <w:t xml:space="preserve">The input from Lymphoma Australia discussed how the DLBCL treatment landscape has changed for </w:t>
      </w:r>
      <w:r w:rsidR="00675AFD">
        <w:rPr>
          <w:bCs/>
        </w:rPr>
        <w:t>individuals</w:t>
      </w:r>
      <w:r w:rsidRPr="003D0AE4">
        <w:rPr>
          <w:bCs/>
        </w:rPr>
        <w:t xml:space="preserve"> with relapsed/refractory disease with </w:t>
      </w:r>
      <w:r w:rsidR="000940C3" w:rsidRPr="003D0AE4">
        <w:rPr>
          <w:bCs/>
        </w:rPr>
        <w:t>CAR-T cell therapy</w:t>
      </w:r>
      <w:r w:rsidRPr="003D0AE4">
        <w:rPr>
          <w:bCs/>
        </w:rPr>
        <w:t>, but highlighted variability in access to treatment across different jurisdictions</w:t>
      </w:r>
      <w:r w:rsidR="00B551CE">
        <w:rPr>
          <w:bCs/>
        </w:rPr>
        <w:t xml:space="preserve">. The input </w:t>
      </w:r>
      <w:r w:rsidR="008D0981">
        <w:rPr>
          <w:bCs/>
        </w:rPr>
        <w:t>described</w:t>
      </w:r>
      <w:r w:rsidRPr="003D0AE4">
        <w:rPr>
          <w:bCs/>
        </w:rPr>
        <w:t xml:space="preserve"> the need for additional treatments option for </w:t>
      </w:r>
      <w:r w:rsidR="000F6220">
        <w:rPr>
          <w:bCs/>
        </w:rPr>
        <w:t>individuals</w:t>
      </w:r>
      <w:r w:rsidRPr="003D0AE4">
        <w:rPr>
          <w:bCs/>
        </w:rPr>
        <w:t xml:space="preserve"> who can't receive or access </w:t>
      </w:r>
      <w:r w:rsidR="000940C3" w:rsidRPr="003D0AE4">
        <w:rPr>
          <w:bCs/>
        </w:rPr>
        <w:t>CAR-T cell therapy</w:t>
      </w:r>
      <w:r w:rsidRPr="003D0AE4">
        <w:rPr>
          <w:bCs/>
        </w:rPr>
        <w:t xml:space="preserve">. </w:t>
      </w:r>
    </w:p>
    <w:p w14:paraId="4C325C0F" w14:textId="599D1B99" w:rsidR="00142F53" w:rsidRPr="00BC0A67" w:rsidRDefault="00142F53" w:rsidP="00BC0A67">
      <w:pPr>
        <w:widowControl w:val="0"/>
        <w:numPr>
          <w:ilvl w:val="1"/>
          <w:numId w:val="1"/>
        </w:numPr>
        <w:spacing w:after="120"/>
        <w:rPr>
          <w:rFonts w:asciiTheme="minorHAnsi" w:hAnsiTheme="minorHAnsi"/>
          <w:bCs/>
          <w:snapToGrid w:val="0"/>
        </w:rPr>
      </w:pPr>
      <w:r w:rsidRPr="00BC0A67">
        <w:rPr>
          <w:bCs/>
        </w:rPr>
        <w:t xml:space="preserve">The input from </w:t>
      </w:r>
      <w:r w:rsidR="0032012D">
        <w:rPr>
          <w:bCs/>
        </w:rPr>
        <w:t xml:space="preserve">the Australasian Leukaemia &amp; Lymphoma group </w:t>
      </w:r>
      <w:r w:rsidRPr="00BC0A67">
        <w:rPr>
          <w:bCs/>
        </w:rPr>
        <w:t>highlighted the difference in overall survival observed in the STARGLO trial and suggested the Glofit-GemOx regimen would prevent deaths as well as the need for subsequent high-cost therapies</w:t>
      </w:r>
      <w:r w:rsidR="00BD4976">
        <w:rPr>
          <w:bCs/>
        </w:rPr>
        <w:t xml:space="preserve">. </w:t>
      </w:r>
      <w:r w:rsidR="00390890">
        <w:rPr>
          <w:bCs/>
        </w:rPr>
        <w:t xml:space="preserve">The input </w:t>
      </w:r>
      <w:r w:rsidR="006F6A87">
        <w:rPr>
          <w:bCs/>
        </w:rPr>
        <w:t xml:space="preserve">stated that the efficacy benefits were achieved with a tolerable rate of toxicity in the </w:t>
      </w:r>
      <w:r w:rsidR="00FD744D">
        <w:rPr>
          <w:bCs/>
        </w:rPr>
        <w:t xml:space="preserve">investigational arm. The input </w:t>
      </w:r>
      <w:r w:rsidR="001917F5">
        <w:rPr>
          <w:bCs/>
        </w:rPr>
        <w:t xml:space="preserve">highlighted the clinical need for glofitamab </w:t>
      </w:r>
      <w:r w:rsidR="009545FA">
        <w:rPr>
          <w:bCs/>
        </w:rPr>
        <w:t xml:space="preserve">in </w:t>
      </w:r>
      <w:r w:rsidR="000F6220">
        <w:rPr>
          <w:bCs/>
        </w:rPr>
        <w:t>individuals</w:t>
      </w:r>
      <w:r w:rsidR="009545FA">
        <w:rPr>
          <w:bCs/>
        </w:rPr>
        <w:t xml:space="preserve"> who are </w:t>
      </w:r>
      <w:r w:rsidRPr="00BC0A67">
        <w:rPr>
          <w:bCs/>
        </w:rPr>
        <w:t xml:space="preserve">transplant ineligible or unable to access </w:t>
      </w:r>
      <w:r w:rsidR="000940C3" w:rsidRPr="00BC0A67">
        <w:rPr>
          <w:bCs/>
        </w:rPr>
        <w:t>CAR-T cell therapy</w:t>
      </w:r>
      <w:r w:rsidRPr="00BC0A67">
        <w:rPr>
          <w:bCs/>
        </w:rPr>
        <w:t xml:space="preserve"> for </w:t>
      </w:r>
      <w:r w:rsidR="00DB54E4">
        <w:rPr>
          <w:bCs/>
        </w:rPr>
        <w:t xml:space="preserve">either </w:t>
      </w:r>
      <w:r w:rsidRPr="00BC0A67">
        <w:rPr>
          <w:bCs/>
        </w:rPr>
        <w:t>clinical or non-clinical (</w:t>
      </w:r>
      <w:r w:rsidR="00AD3EED">
        <w:rPr>
          <w:bCs/>
        </w:rPr>
        <w:t xml:space="preserve">e.g. </w:t>
      </w:r>
      <w:r w:rsidR="00B23970">
        <w:rPr>
          <w:bCs/>
        </w:rPr>
        <w:t xml:space="preserve">living in a rural or remote </w:t>
      </w:r>
      <w:r w:rsidRPr="00BC0A67">
        <w:rPr>
          <w:bCs/>
        </w:rPr>
        <w:t>location</w:t>
      </w:r>
      <w:r w:rsidR="00B23970">
        <w:rPr>
          <w:bCs/>
        </w:rPr>
        <w:t>) reasons.</w:t>
      </w:r>
    </w:p>
    <w:bookmarkEnd w:id="32"/>
    <w:bookmarkEnd w:id="36"/>
    <w:p w14:paraId="25DDBB1C" w14:textId="77777777" w:rsidR="004154DB" w:rsidRPr="00C9624D" w:rsidRDefault="004154DB" w:rsidP="004154DB">
      <w:pPr>
        <w:pStyle w:val="4-SubsectionHeading"/>
      </w:pPr>
      <w:r w:rsidRPr="00C9624D">
        <w:t>Clinical trials</w:t>
      </w:r>
      <w:bookmarkEnd w:id="28"/>
      <w:bookmarkEnd w:id="33"/>
      <w:bookmarkEnd w:id="34"/>
    </w:p>
    <w:p w14:paraId="465FDBC4" w14:textId="240402F2" w:rsidR="004154DB" w:rsidRPr="008D0139" w:rsidRDefault="004154DB" w:rsidP="004154DB">
      <w:pPr>
        <w:numPr>
          <w:ilvl w:val="1"/>
          <w:numId w:val="1"/>
        </w:numPr>
        <w:spacing w:before="60" w:after="60"/>
        <w:rPr>
          <w:rFonts w:asciiTheme="minorHAnsi" w:hAnsiTheme="minorHAnsi"/>
          <w:snapToGrid w:val="0"/>
        </w:rPr>
      </w:pPr>
      <w:bookmarkStart w:id="37" w:name="_Toc22897641"/>
      <w:bookmarkStart w:id="38" w:name="_Toc107927627"/>
      <w:r w:rsidRPr="008D0139">
        <w:rPr>
          <w:rFonts w:asciiTheme="minorHAnsi" w:hAnsiTheme="minorHAnsi"/>
          <w:lang w:val="en-US"/>
        </w:rPr>
        <w:t>The submission was based on one head-to-head trial comparing Glofit-GemOx to R-</w:t>
      </w:r>
      <w:r w:rsidR="004B1D0D" w:rsidRPr="008D0139">
        <w:rPr>
          <w:rFonts w:asciiTheme="minorHAnsi" w:hAnsiTheme="minorHAnsi"/>
          <w:lang w:val="en-US"/>
        </w:rPr>
        <w:t> </w:t>
      </w:r>
      <w:proofErr w:type="spellStart"/>
      <w:r w:rsidRPr="008D0139">
        <w:rPr>
          <w:rFonts w:asciiTheme="minorHAnsi" w:hAnsiTheme="minorHAnsi"/>
          <w:lang w:val="en-US"/>
        </w:rPr>
        <w:t>GemOx</w:t>
      </w:r>
      <w:proofErr w:type="spellEnd"/>
      <w:r w:rsidRPr="008D0139">
        <w:rPr>
          <w:rFonts w:asciiTheme="minorHAnsi" w:hAnsiTheme="minorHAnsi"/>
          <w:lang w:val="en-US"/>
        </w:rPr>
        <w:t xml:space="preserve"> in patients with R/R DLBCL after at least one prior line of therapy and who were considered ineligible for ASCT (STARGLO).</w:t>
      </w:r>
    </w:p>
    <w:p w14:paraId="667EC9B0" w14:textId="3A308409" w:rsidR="004154DB" w:rsidRPr="008D0139" w:rsidRDefault="004154DB" w:rsidP="004154DB">
      <w:pPr>
        <w:numPr>
          <w:ilvl w:val="1"/>
          <w:numId w:val="1"/>
        </w:numPr>
        <w:spacing w:before="60" w:after="60"/>
        <w:rPr>
          <w:rFonts w:asciiTheme="minorHAnsi" w:hAnsiTheme="minorHAnsi"/>
          <w:snapToGrid w:val="0"/>
        </w:rPr>
      </w:pPr>
      <w:r w:rsidRPr="008D0139">
        <w:rPr>
          <w:rFonts w:asciiTheme="minorHAnsi" w:hAnsiTheme="minorHAnsi"/>
          <w:lang w:val="en-US"/>
        </w:rPr>
        <w:t xml:space="preserve">Details of the STARGLO trial presented in the submission are provided in </w:t>
      </w:r>
      <w:r w:rsidRPr="008D0139">
        <w:rPr>
          <w:rFonts w:asciiTheme="minorHAnsi" w:hAnsiTheme="minorHAnsi"/>
          <w:lang w:val="en-US"/>
        </w:rPr>
        <w:fldChar w:fldCharType="begin" w:fldLock="1"/>
      </w:r>
      <w:r w:rsidRPr="008D0139">
        <w:rPr>
          <w:rFonts w:asciiTheme="minorHAnsi" w:hAnsiTheme="minorHAnsi"/>
          <w:lang w:val="en-US"/>
        </w:rPr>
        <w:instrText xml:space="preserve"> REF _Ref196597213 \h </w:instrText>
      </w:r>
      <w:r w:rsidR="008D0139" w:rsidRPr="008D0139">
        <w:rPr>
          <w:rFonts w:asciiTheme="minorHAnsi" w:hAnsiTheme="minorHAnsi"/>
          <w:lang w:val="en-US"/>
        </w:rPr>
        <w:instrText xml:space="preserve"> \* MERGEFORMAT </w:instrText>
      </w:r>
      <w:r w:rsidRPr="008D0139">
        <w:rPr>
          <w:rFonts w:asciiTheme="minorHAnsi" w:hAnsiTheme="minorHAnsi"/>
          <w:lang w:val="en-US"/>
        </w:rPr>
      </w:r>
      <w:r w:rsidRPr="008D0139">
        <w:rPr>
          <w:rFonts w:asciiTheme="minorHAnsi" w:hAnsiTheme="minorHAnsi"/>
          <w:lang w:val="en-US"/>
        </w:rPr>
        <w:fldChar w:fldCharType="separate"/>
      </w:r>
      <w:r w:rsidR="003C21E7" w:rsidRPr="008D0139">
        <w:t xml:space="preserve">Table </w:t>
      </w:r>
      <w:r w:rsidR="003C21E7">
        <w:rPr>
          <w:noProof/>
        </w:rPr>
        <w:t>2</w:t>
      </w:r>
      <w:r w:rsidRPr="008D0139">
        <w:rPr>
          <w:rFonts w:asciiTheme="minorHAnsi" w:hAnsiTheme="minorHAnsi"/>
          <w:lang w:val="en-US"/>
        </w:rPr>
        <w:fldChar w:fldCharType="end"/>
      </w:r>
      <w:r w:rsidRPr="008D0139">
        <w:rPr>
          <w:rFonts w:asciiTheme="minorHAnsi" w:hAnsiTheme="minorHAnsi"/>
          <w:lang w:val="en-US"/>
        </w:rPr>
        <w:t>.</w:t>
      </w:r>
    </w:p>
    <w:p w14:paraId="290C5CD3" w14:textId="37EE893F" w:rsidR="004154DB" w:rsidRPr="008D0139" w:rsidRDefault="004154DB" w:rsidP="00773071">
      <w:pPr>
        <w:pStyle w:val="Caption"/>
        <w:widowControl w:val="0"/>
        <w:rPr>
          <w:rFonts w:eastAsiaTheme="majorEastAsia" w:cstheme="majorBidi"/>
          <w:b w:val="0"/>
          <w:bCs w:val="0"/>
        </w:rPr>
      </w:pPr>
      <w:bookmarkStart w:id="39" w:name="_Ref196597213"/>
      <w:bookmarkStart w:id="40" w:name="_Ref104803956"/>
      <w:r w:rsidRPr="008D0139">
        <w:t xml:space="preserve">Table </w:t>
      </w:r>
      <w:r w:rsidR="00F257F5" w:rsidRPr="008D0139">
        <w:fldChar w:fldCharType="begin" w:fldLock="1"/>
      </w:r>
      <w:r w:rsidR="00F257F5" w:rsidRPr="008D0139">
        <w:instrText xml:space="preserve"> SEQ Table \* ARABIC </w:instrText>
      </w:r>
      <w:r w:rsidR="00F257F5" w:rsidRPr="008D0139">
        <w:fldChar w:fldCharType="separate"/>
      </w:r>
      <w:r w:rsidR="003C21E7">
        <w:rPr>
          <w:noProof/>
        </w:rPr>
        <w:t>2</w:t>
      </w:r>
      <w:r w:rsidR="00F257F5" w:rsidRPr="008D0139">
        <w:rPr>
          <w:noProof/>
        </w:rPr>
        <w:fldChar w:fldCharType="end"/>
      </w:r>
      <w:bookmarkEnd w:id="39"/>
      <w:bookmarkEnd w:id="40"/>
      <w:r w:rsidRPr="008D0139">
        <w:rPr>
          <w:rFonts w:eastAsiaTheme="majorEastAsia" w:cstheme="majorBidi"/>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4154DB" w:rsidRPr="008D0139" w14:paraId="56E6FB21" w14:textId="77777777" w:rsidTr="00F274C6">
        <w:trPr>
          <w:tblHeader/>
        </w:trPr>
        <w:tc>
          <w:tcPr>
            <w:tcW w:w="796" w:type="pct"/>
            <w:tcBorders>
              <w:bottom w:val="single" w:sz="4" w:space="0" w:color="auto"/>
            </w:tcBorders>
            <w:vAlign w:val="center"/>
          </w:tcPr>
          <w:p w14:paraId="5A51D61B" w14:textId="77777777" w:rsidR="004154DB" w:rsidRPr="008D0139" w:rsidRDefault="004154DB" w:rsidP="00773071">
            <w:pPr>
              <w:keepNext/>
              <w:keepLines/>
              <w:widowControl w:val="0"/>
              <w:jc w:val="left"/>
              <w:rPr>
                <w:rFonts w:ascii="Arial Narrow" w:eastAsiaTheme="majorEastAsia" w:hAnsi="Arial Narrow" w:cs="Times New Roman"/>
                <w:b/>
                <w:sz w:val="20"/>
                <w:lang w:val="en-US"/>
              </w:rPr>
            </w:pPr>
            <w:r w:rsidRPr="008D0139">
              <w:rPr>
                <w:rFonts w:ascii="Arial Narrow" w:eastAsiaTheme="majorEastAsia" w:hAnsi="Arial Narrow" w:cs="Times New Roman"/>
                <w:b/>
                <w:sz w:val="20"/>
                <w:lang w:val="en-US"/>
              </w:rPr>
              <w:t>Trial ID</w:t>
            </w:r>
          </w:p>
        </w:tc>
        <w:tc>
          <w:tcPr>
            <w:tcW w:w="3027" w:type="pct"/>
            <w:tcBorders>
              <w:bottom w:val="single" w:sz="4" w:space="0" w:color="auto"/>
            </w:tcBorders>
            <w:vAlign w:val="center"/>
          </w:tcPr>
          <w:p w14:paraId="108FA047" w14:textId="77777777" w:rsidR="004154DB" w:rsidRPr="008D0139" w:rsidRDefault="004154DB" w:rsidP="00773071">
            <w:pPr>
              <w:keepNext/>
              <w:keepLines/>
              <w:widowControl w:val="0"/>
              <w:jc w:val="left"/>
              <w:rPr>
                <w:rFonts w:ascii="Arial Narrow" w:eastAsiaTheme="majorEastAsia" w:hAnsi="Arial Narrow" w:cs="Times New Roman"/>
                <w:b/>
                <w:sz w:val="20"/>
                <w:lang w:val="en-US"/>
              </w:rPr>
            </w:pPr>
            <w:r w:rsidRPr="008D0139">
              <w:rPr>
                <w:rFonts w:ascii="Arial Narrow" w:eastAsiaTheme="majorEastAsia" w:hAnsi="Arial Narrow" w:cs="Times New Roman"/>
                <w:b/>
                <w:sz w:val="20"/>
                <w:lang w:val="en-US"/>
              </w:rPr>
              <w:t>Protocol title/ Publication title</w:t>
            </w:r>
          </w:p>
        </w:tc>
        <w:tc>
          <w:tcPr>
            <w:tcW w:w="1177" w:type="pct"/>
            <w:tcBorders>
              <w:bottom w:val="single" w:sz="4" w:space="0" w:color="auto"/>
            </w:tcBorders>
            <w:vAlign w:val="center"/>
          </w:tcPr>
          <w:p w14:paraId="71048ECB" w14:textId="77777777" w:rsidR="004154DB" w:rsidRPr="008D0139" w:rsidRDefault="004154DB" w:rsidP="00773071">
            <w:pPr>
              <w:keepNext/>
              <w:keepLines/>
              <w:widowControl w:val="0"/>
              <w:jc w:val="left"/>
              <w:rPr>
                <w:rFonts w:ascii="Arial Narrow" w:eastAsiaTheme="majorEastAsia" w:hAnsi="Arial Narrow" w:cs="Times New Roman"/>
                <w:b/>
                <w:sz w:val="20"/>
                <w:lang w:val="en-US"/>
              </w:rPr>
            </w:pPr>
            <w:r w:rsidRPr="008D0139">
              <w:rPr>
                <w:rFonts w:ascii="Arial Narrow" w:eastAsiaTheme="majorEastAsia" w:hAnsi="Arial Narrow" w:cs="Times New Roman"/>
                <w:b/>
                <w:sz w:val="20"/>
                <w:lang w:val="en-US"/>
              </w:rPr>
              <w:t>Publication citation</w:t>
            </w:r>
          </w:p>
        </w:tc>
      </w:tr>
      <w:tr w:rsidR="004154DB" w:rsidRPr="008D0139" w14:paraId="476EFB53" w14:textId="77777777" w:rsidTr="00F274C6">
        <w:tc>
          <w:tcPr>
            <w:tcW w:w="796" w:type="pct"/>
            <w:vMerge w:val="restart"/>
            <w:vAlign w:val="center"/>
          </w:tcPr>
          <w:p w14:paraId="763D04B7" w14:textId="77777777" w:rsidR="004154DB" w:rsidRPr="008D0139" w:rsidRDefault="004154DB" w:rsidP="00773071">
            <w:pPr>
              <w:keepNext/>
              <w:keepLines/>
              <w:widowControl w:val="0"/>
              <w:jc w:val="left"/>
              <w:rPr>
                <w:rFonts w:ascii="Arial Narrow" w:eastAsiaTheme="majorEastAsia" w:hAnsi="Arial Narrow" w:cstheme="majorBidi"/>
                <w:bCs/>
                <w:sz w:val="20"/>
              </w:rPr>
            </w:pPr>
            <w:r w:rsidRPr="008D0139">
              <w:rPr>
                <w:rFonts w:ascii="Arial Narrow" w:eastAsiaTheme="majorEastAsia" w:hAnsi="Arial Narrow" w:cstheme="majorBidi"/>
                <w:bCs/>
                <w:sz w:val="20"/>
              </w:rPr>
              <w:t>GO41944</w:t>
            </w:r>
          </w:p>
          <w:p w14:paraId="1DEAD79E" w14:textId="77777777" w:rsidR="004154DB" w:rsidRPr="008D0139" w:rsidRDefault="004154DB" w:rsidP="00773071">
            <w:pPr>
              <w:keepNext/>
              <w:keepLines/>
              <w:widowControl w:val="0"/>
              <w:jc w:val="left"/>
              <w:rPr>
                <w:rFonts w:ascii="Arial Narrow" w:eastAsiaTheme="majorEastAsia" w:hAnsi="Arial Narrow" w:cstheme="majorBidi"/>
                <w:bCs/>
                <w:sz w:val="20"/>
              </w:rPr>
            </w:pPr>
            <w:r w:rsidRPr="008D0139">
              <w:rPr>
                <w:rFonts w:ascii="Arial Narrow" w:eastAsiaTheme="majorEastAsia" w:hAnsi="Arial Narrow" w:cstheme="majorBidi"/>
                <w:bCs/>
                <w:sz w:val="20"/>
              </w:rPr>
              <w:t>(STARGLO)</w:t>
            </w:r>
          </w:p>
          <w:p w14:paraId="555E9B0B" w14:textId="77777777" w:rsidR="004154DB" w:rsidRPr="008D0139" w:rsidRDefault="004154DB" w:rsidP="00773071">
            <w:pPr>
              <w:keepNext/>
              <w:keepLines/>
              <w:widowControl w:val="0"/>
              <w:jc w:val="left"/>
              <w:rPr>
                <w:rFonts w:ascii="Arial Narrow" w:eastAsiaTheme="majorEastAsia" w:hAnsi="Arial Narrow" w:cstheme="majorBidi"/>
                <w:bCs/>
                <w:sz w:val="20"/>
              </w:rPr>
            </w:pPr>
            <w:r w:rsidRPr="008D0139">
              <w:rPr>
                <w:rFonts w:ascii="Arial Narrow" w:eastAsiaTheme="majorEastAsia" w:hAnsi="Arial Narrow" w:cstheme="majorBidi"/>
                <w:bCs/>
                <w:sz w:val="20"/>
              </w:rPr>
              <w:t>NCT04408638</w:t>
            </w:r>
          </w:p>
        </w:tc>
        <w:tc>
          <w:tcPr>
            <w:tcW w:w="3027" w:type="pct"/>
            <w:tcBorders>
              <w:bottom w:val="single" w:sz="4" w:space="0" w:color="auto"/>
            </w:tcBorders>
            <w:vAlign w:val="center"/>
          </w:tcPr>
          <w:p w14:paraId="296EDC40" w14:textId="77777777" w:rsidR="004154DB" w:rsidRPr="008D0139" w:rsidRDefault="004154DB" w:rsidP="00773071">
            <w:pPr>
              <w:keepNext/>
              <w:keepLines/>
              <w:widowControl w:val="0"/>
              <w:jc w:val="left"/>
              <w:rPr>
                <w:rFonts w:ascii="Arial Narrow" w:eastAsiaTheme="majorEastAsia" w:hAnsi="Arial Narrow" w:cstheme="majorBidi"/>
                <w:bCs/>
                <w:sz w:val="20"/>
                <w:szCs w:val="18"/>
              </w:rPr>
            </w:pPr>
            <w:r w:rsidRPr="008D0139">
              <w:rPr>
                <w:rFonts w:ascii="Arial Narrow" w:eastAsiaTheme="majorEastAsia" w:hAnsi="Arial Narrow" w:cstheme="majorBidi"/>
                <w:bCs/>
                <w:sz w:val="20"/>
                <w:szCs w:val="18"/>
              </w:rPr>
              <w:t>Study GO41944 (STARGLO) – A Phase III, Open-Label, Multicenter, Randomized Study Evaluating The Efficacy And Safety Of Glofitamab In Combination With Gemcitabine Plus Oxaliplatin Versus Rituximab In Combination With Gemcitabine And Oxaliplatin In Patients With Relapsed/Refractory Diffuse Large B Cell Lymphoma.</w:t>
            </w:r>
          </w:p>
        </w:tc>
        <w:tc>
          <w:tcPr>
            <w:tcW w:w="1177" w:type="pct"/>
            <w:tcBorders>
              <w:bottom w:val="single" w:sz="4" w:space="0" w:color="auto"/>
            </w:tcBorders>
            <w:vAlign w:val="center"/>
          </w:tcPr>
          <w:p w14:paraId="1D044244" w14:textId="77777777" w:rsidR="004154DB" w:rsidRPr="008D0139" w:rsidRDefault="004154DB" w:rsidP="00773071">
            <w:pPr>
              <w:keepNext/>
              <w:keepLines/>
              <w:widowControl w:val="0"/>
              <w:jc w:val="left"/>
              <w:rPr>
                <w:rFonts w:ascii="Arial Narrow" w:eastAsiaTheme="majorEastAsia" w:hAnsi="Arial Narrow" w:cstheme="majorBidi"/>
                <w:bCs/>
                <w:sz w:val="20"/>
              </w:rPr>
            </w:pPr>
            <w:r w:rsidRPr="008D0139">
              <w:rPr>
                <w:rFonts w:ascii="Arial Narrow" w:eastAsiaTheme="majorEastAsia" w:hAnsi="Arial Narrow" w:cstheme="majorBidi"/>
                <w:bCs/>
                <w:sz w:val="20"/>
              </w:rPr>
              <w:t>Primary CSR March 2023</w:t>
            </w:r>
          </w:p>
        </w:tc>
      </w:tr>
      <w:tr w:rsidR="004154DB" w:rsidRPr="008D0139" w14:paraId="1ED123B3" w14:textId="77777777" w:rsidTr="00F274C6">
        <w:tc>
          <w:tcPr>
            <w:tcW w:w="796" w:type="pct"/>
            <w:vMerge/>
            <w:vAlign w:val="center"/>
          </w:tcPr>
          <w:p w14:paraId="07AC8A14" w14:textId="77777777" w:rsidR="004154DB" w:rsidRPr="008D0139" w:rsidRDefault="004154DB" w:rsidP="00773071">
            <w:pPr>
              <w:keepNext/>
              <w:keepLines/>
              <w:widowControl w:val="0"/>
              <w:jc w:val="left"/>
              <w:rPr>
                <w:rFonts w:ascii="Arial Narrow" w:eastAsiaTheme="majorEastAsia" w:hAnsi="Arial Narrow" w:cstheme="majorBidi"/>
                <w:bCs/>
                <w:sz w:val="20"/>
              </w:rPr>
            </w:pPr>
          </w:p>
        </w:tc>
        <w:tc>
          <w:tcPr>
            <w:tcW w:w="3027" w:type="pct"/>
            <w:tcBorders>
              <w:bottom w:val="single" w:sz="4" w:space="0" w:color="auto"/>
            </w:tcBorders>
            <w:vAlign w:val="center"/>
          </w:tcPr>
          <w:p w14:paraId="0139DC77" w14:textId="77777777" w:rsidR="004154DB" w:rsidRPr="008D0139" w:rsidRDefault="004154DB" w:rsidP="00773071">
            <w:pPr>
              <w:keepNext/>
              <w:keepLines/>
              <w:widowControl w:val="0"/>
              <w:jc w:val="left"/>
              <w:rPr>
                <w:rFonts w:ascii="Arial Narrow" w:eastAsiaTheme="majorEastAsia" w:hAnsi="Arial Narrow" w:cstheme="majorBidi"/>
                <w:bCs/>
                <w:sz w:val="20"/>
                <w:szCs w:val="18"/>
              </w:rPr>
            </w:pPr>
            <w:r w:rsidRPr="008D0139">
              <w:rPr>
                <w:rFonts w:ascii="Arial Narrow" w:eastAsiaTheme="majorEastAsia" w:hAnsi="Arial Narrow" w:cstheme="majorBidi"/>
                <w:bCs/>
                <w:sz w:val="20"/>
                <w:szCs w:val="18"/>
              </w:rPr>
              <w:t>Study GO41944: A Phase III, Open-Label, Multicenter, Randomized</w:t>
            </w:r>
          </w:p>
          <w:p w14:paraId="23CB6160" w14:textId="77777777" w:rsidR="004154DB" w:rsidRPr="008D0139" w:rsidRDefault="004154DB" w:rsidP="00773071">
            <w:pPr>
              <w:keepNext/>
              <w:keepLines/>
              <w:widowControl w:val="0"/>
              <w:jc w:val="left"/>
              <w:rPr>
                <w:rFonts w:ascii="Arial Narrow" w:eastAsiaTheme="majorEastAsia" w:hAnsi="Arial Narrow" w:cstheme="majorBidi"/>
                <w:bCs/>
                <w:sz w:val="20"/>
                <w:szCs w:val="18"/>
              </w:rPr>
            </w:pPr>
            <w:r w:rsidRPr="008D0139">
              <w:rPr>
                <w:rFonts w:ascii="Arial Narrow" w:eastAsiaTheme="majorEastAsia" w:hAnsi="Arial Narrow" w:cstheme="majorBidi"/>
                <w:bCs/>
                <w:sz w:val="20"/>
                <w:szCs w:val="18"/>
              </w:rPr>
              <w:t>Study Evaluating The Efficacy And Safety Of Glofitamab In Combination With Gemcitabine Plus Oxaliplatin Versus Rituximab In Combination With Gemcitabine And Oxaliplatin In Patients With Relapsed/Refractory Diffuse Large B Cell Lymphoma.</w:t>
            </w:r>
          </w:p>
        </w:tc>
        <w:tc>
          <w:tcPr>
            <w:tcW w:w="1177" w:type="pct"/>
            <w:tcBorders>
              <w:bottom w:val="single" w:sz="4" w:space="0" w:color="auto"/>
            </w:tcBorders>
            <w:vAlign w:val="center"/>
          </w:tcPr>
          <w:p w14:paraId="4C6376CB" w14:textId="77777777" w:rsidR="004154DB" w:rsidRPr="008D0139" w:rsidRDefault="004154DB" w:rsidP="00773071">
            <w:pPr>
              <w:keepNext/>
              <w:keepLines/>
              <w:widowControl w:val="0"/>
              <w:jc w:val="left"/>
              <w:rPr>
                <w:rFonts w:ascii="Arial Narrow" w:eastAsiaTheme="majorEastAsia" w:hAnsi="Arial Narrow" w:cstheme="majorBidi"/>
                <w:bCs/>
                <w:sz w:val="20"/>
              </w:rPr>
            </w:pPr>
            <w:r w:rsidRPr="008D0139">
              <w:rPr>
                <w:rFonts w:ascii="Arial Narrow" w:eastAsiaTheme="majorEastAsia" w:hAnsi="Arial Narrow" w:cstheme="majorBidi"/>
                <w:bCs/>
                <w:sz w:val="20"/>
              </w:rPr>
              <w:t>Updated CSR February 2024</w:t>
            </w:r>
          </w:p>
        </w:tc>
      </w:tr>
      <w:tr w:rsidR="004154DB" w:rsidRPr="008D0139" w14:paraId="07BB2151" w14:textId="77777777" w:rsidTr="00F274C6">
        <w:tc>
          <w:tcPr>
            <w:tcW w:w="796" w:type="pct"/>
            <w:vMerge/>
            <w:vAlign w:val="center"/>
          </w:tcPr>
          <w:p w14:paraId="58535302" w14:textId="77777777" w:rsidR="004154DB" w:rsidRPr="008D0139" w:rsidRDefault="004154DB" w:rsidP="00773071">
            <w:pPr>
              <w:keepNext/>
              <w:keepLines/>
              <w:widowControl w:val="0"/>
              <w:jc w:val="left"/>
              <w:rPr>
                <w:rFonts w:ascii="Arial Narrow" w:eastAsiaTheme="majorEastAsia" w:hAnsi="Arial Narrow" w:cstheme="majorBidi"/>
                <w:bCs/>
                <w:sz w:val="20"/>
              </w:rPr>
            </w:pPr>
          </w:p>
        </w:tc>
        <w:tc>
          <w:tcPr>
            <w:tcW w:w="3027" w:type="pct"/>
            <w:tcBorders>
              <w:top w:val="single" w:sz="4" w:space="0" w:color="auto"/>
              <w:bottom w:val="nil"/>
            </w:tcBorders>
            <w:vAlign w:val="center"/>
          </w:tcPr>
          <w:p w14:paraId="0FA44A6C" w14:textId="77777777" w:rsidR="004154DB" w:rsidRPr="008D0139" w:rsidRDefault="004154DB" w:rsidP="00773071">
            <w:pPr>
              <w:keepNext/>
              <w:keepLines/>
              <w:widowControl w:val="0"/>
              <w:jc w:val="left"/>
              <w:rPr>
                <w:rFonts w:ascii="Arial Narrow" w:eastAsiaTheme="majorEastAsia" w:hAnsi="Arial Narrow" w:cstheme="majorBidi"/>
                <w:bCs/>
                <w:sz w:val="20"/>
                <w:szCs w:val="18"/>
              </w:rPr>
            </w:pPr>
            <w:r w:rsidRPr="008D0139">
              <w:rPr>
                <w:rFonts w:ascii="Arial Narrow" w:eastAsiaTheme="majorEastAsia" w:hAnsi="Arial Narrow" w:cstheme="majorBidi"/>
                <w:bCs/>
                <w:sz w:val="20"/>
                <w:szCs w:val="18"/>
              </w:rPr>
              <w:t>Abramson JS, Ku M, Hertzberg M et al. Glofitamab plus gemcitabine and oxaliplatin (</w:t>
            </w:r>
            <w:proofErr w:type="spellStart"/>
            <w:r w:rsidRPr="008D0139">
              <w:rPr>
                <w:rFonts w:ascii="Arial Narrow" w:eastAsiaTheme="majorEastAsia" w:hAnsi="Arial Narrow" w:cstheme="majorBidi"/>
                <w:bCs/>
                <w:sz w:val="20"/>
                <w:szCs w:val="18"/>
              </w:rPr>
              <w:t>GemOx</w:t>
            </w:r>
            <w:proofErr w:type="spellEnd"/>
            <w:r w:rsidRPr="008D0139">
              <w:rPr>
                <w:rFonts w:ascii="Arial Narrow" w:eastAsiaTheme="majorEastAsia" w:hAnsi="Arial Narrow" w:cstheme="majorBidi"/>
                <w:bCs/>
                <w:sz w:val="20"/>
                <w:szCs w:val="18"/>
              </w:rPr>
              <w:t>) versus rituximab-</w:t>
            </w:r>
            <w:proofErr w:type="spellStart"/>
            <w:r w:rsidRPr="008D0139">
              <w:rPr>
                <w:rFonts w:ascii="Arial Narrow" w:eastAsiaTheme="majorEastAsia" w:hAnsi="Arial Narrow" w:cstheme="majorBidi"/>
                <w:bCs/>
                <w:sz w:val="20"/>
                <w:szCs w:val="18"/>
              </w:rPr>
              <w:t>GemOx</w:t>
            </w:r>
            <w:proofErr w:type="spellEnd"/>
            <w:r w:rsidRPr="008D0139">
              <w:rPr>
                <w:rFonts w:ascii="Arial Narrow" w:eastAsiaTheme="majorEastAsia" w:hAnsi="Arial Narrow" w:cstheme="majorBidi"/>
                <w:bCs/>
                <w:sz w:val="20"/>
                <w:szCs w:val="18"/>
              </w:rPr>
              <w:t xml:space="preserve"> for relapsed or refractory diffuse large B-cell lymphoma (STARGLO): a global phase 3, randomised, open-label trial</w:t>
            </w:r>
          </w:p>
        </w:tc>
        <w:tc>
          <w:tcPr>
            <w:tcW w:w="1177" w:type="pct"/>
            <w:tcBorders>
              <w:top w:val="single" w:sz="4" w:space="0" w:color="auto"/>
              <w:bottom w:val="nil"/>
            </w:tcBorders>
            <w:vAlign w:val="center"/>
          </w:tcPr>
          <w:p w14:paraId="2CC7CAC8" w14:textId="77777777" w:rsidR="004154DB" w:rsidRPr="008D0139" w:rsidRDefault="004154DB" w:rsidP="00773071">
            <w:pPr>
              <w:keepNext/>
              <w:keepLines/>
              <w:widowControl w:val="0"/>
              <w:jc w:val="left"/>
              <w:rPr>
                <w:rFonts w:ascii="Arial Narrow" w:eastAsiaTheme="majorEastAsia" w:hAnsi="Arial Narrow" w:cstheme="majorBidi"/>
                <w:bCs/>
                <w:sz w:val="20"/>
                <w:szCs w:val="18"/>
              </w:rPr>
            </w:pPr>
            <w:r w:rsidRPr="008D0139">
              <w:rPr>
                <w:rFonts w:ascii="Arial Narrow" w:eastAsiaTheme="majorEastAsia" w:hAnsi="Arial Narrow" w:cstheme="majorBidi"/>
                <w:bCs/>
                <w:sz w:val="20"/>
                <w:szCs w:val="18"/>
              </w:rPr>
              <w:t>Lancet 2024; 404:1940-54</w:t>
            </w:r>
          </w:p>
        </w:tc>
      </w:tr>
      <w:tr w:rsidR="004154DB" w:rsidRPr="008D0139" w14:paraId="58D1E4EB" w14:textId="77777777" w:rsidTr="00F274C6">
        <w:tc>
          <w:tcPr>
            <w:tcW w:w="796" w:type="pct"/>
            <w:vMerge/>
            <w:vAlign w:val="center"/>
          </w:tcPr>
          <w:p w14:paraId="30F9DEEB" w14:textId="77777777" w:rsidR="004154DB" w:rsidRPr="008D0139" w:rsidRDefault="004154DB" w:rsidP="00773071">
            <w:pPr>
              <w:keepNext/>
              <w:keepLines/>
              <w:widowControl w:val="0"/>
              <w:jc w:val="left"/>
              <w:rPr>
                <w:rFonts w:ascii="Arial Narrow" w:eastAsiaTheme="majorEastAsia" w:hAnsi="Arial Narrow" w:cstheme="majorBidi"/>
                <w:bCs/>
                <w:sz w:val="20"/>
              </w:rPr>
            </w:pPr>
          </w:p>
        </w:tc>
        <w:tc>
          <w:tcPr>
            <w:tcW w:w="3027" w:type="pct"/>
            <w:tcBorders>
              <w:top w:val="nil"/>
              <w:bottom w:val="nil"/>
            </w:tcBorders>
            <w:vAlign w:val="center"/>
          </w:tcPr>
          <w:p w14:paraId="7CE9A393" w14:textId="71188C27" w:rsidR="004154DB" w:rsidRPr="008D0139" w:rsidRDefault="004154DB" w:rsidP="00773071">
            <w:pPr>
              <w:keepNext/>
              <w:keepLines/>
              <w:widowControl w:val="0"/>
              <w:jc w:val="left"/>
              <w:rPr>
                <w:rFonts w:ascii="Arial Narrow" w:eastAsiaTheme="majorEastAsia" w:hAnsi="Arial Narrow" w:cstheme="majorBidi"/>
                <w:bCs/>
                <w:sz w:val="20"/>
                <w:szCs w:val="18"/>
                <w:lang w:val="en-US"/>
              </w:rPr>
            </w:pPr>
            <w:r w:rsidRPr="008D0139">
              <w:rPr>
                <w:rFonts w:ascii="Arial Narrow" w:eastAsiaTheme="majorEastAsia" w:hAnsi="Arial Narrow" w:cstheme="majorBidi"/>
                <w:bCs/>
                <w:sz w:val="20"/>
                <w:szCs w:val="18"/>
                <w:lang w:val="en-US"/>
              </w:rPr>
              <w:t xml:space="preserve">Hertzberg M et al. A phase III trial of glofitamab plus gemcitabine and oxaliplatin (GEMOX) vs rituximab plus </w:t>
            </w:r>
            <w:proofErr w:type="spellStart"/>
            <w:r w:rsidR="00C9102D" w:rsidRPr="008D0139">
              <w:rPr>
                <w:rFonts w:ascii="Arial Narrow" w:eastAsiaTheme="majorEastAsia" w:hAnsi="Arial Narrow" w:cstheme="majorBidi"/>
                <w:bCs/>
                <w:sz w:val="20"/>
                <w:szCs w:val="18"/>
                <w:lang w:val="en-US"/>
              </w:rPr>
              <w:t>GemOx</w:t>
            </w:r>
            <w:proofErr w:type="spellEnd"/>
            <w:r w:rsidRPr="008D0139">
              <w:rPr>
                <w:rFonts w:ascii="Arial Narrow" w:eastAsiaTheme="majorEastAsia" w:hAnsi="Arial Narrow" w:cstheme="majorBidi"/>
                <w:bCs/>
                <w:sz w:val="20"/>
                <w:szCs w:val="18"/>
                <w:lang w:val="en-US"/>
              </w:rPr>
              <w:t xml:space="preserve"> for relapsed/refractory diffuse large B-cell lymphoma.</w:t>
            </w:r>
          </w:p>
        </w:tc>
        <w:tc>
          <w:tcPr>
            <w:tcW w:w="1177" w:type="pct"/>
            <w:tcBorders>
              <w:top w:val="nil"/>
              <w:bottom w:val="nil"/>
            </w:tcBorders>
            <w:vAlign w:val="center"/>
          </w:tcPr>
          <w:p w14:paraId="2A35462D" w14:textId="77777777" w:rsidR="004154DB" w:rsidRPr="008D0139" w:rsidRDefault="004154DB" w:rsidP="00773071">
            <w:pPr>
              <w:keepNext/>
              <w:keepLines/>
              <w:widowControl w:val="0"/>
              <w:jc w:val="left"/>
              <w:rPr>
                <w:rFonts w:ascii="Arial Narrow" w:eastAsiaTheme="majorEastAsia" w:hAnsi="Arial Narrow" w:cstheme="majorBidi"/>
                <w:bCs/>
                <w:sz w:val="20"/>
                <w:szCs w:val="18"/>
                <w:highlight w:val="yellow"/>
                <w:lang w:val="en-US"/>
              </w:rPr>
            </w:pPr>
            <w:r w:rsidRPr="008D0139">
              <w:rPr>
                <w:rFonts w:ascii="Arial Narrow" w:eastAsiaTheme="majorEastAsia" w:hAnsi="Arial Narrow" w:cstheme="majorBidi"/>
                <w:bCs/>
                <w:sz w:val="20"/>
                <w:szCs w:val="18"/>
                <w:lang w:val="en-US"/>
              </w:rPr>
              <w:t>J Clin Oncol 2021 39(15 suppl)</w:t>
            </w:r>
          </w:p>
        </w:tc>
      </w:tr>
      <w:tr w:rsidR="004154DB" w:rsidRPr="008D0139" w14:paraId="279AE4FC" w14:textId="77777777" w:rsidTr="00F274C6">
        <w:tc>
          <w:tcPr>
            <w:tcW w:w="796" w:type="pct"/>
            <w:vMerge/>
            <w:tcBorders>
              <w:bottom w:val="single" w:sz="4" w:space="0" w:color="auto"/>
            </w:tcBorders>
            <w:vAlign w:val="center"/>
          </w:tcPr>
          <w:p w14:paraId="0747EA89" w14:textId="77777777" w:rsidR="004154DB" w:rsidRPr="008D0139" w:rsidRDefault="004154DB" w:rsidP="00773071">
            <w:pPr>
              <w:keepNext/>
              <w:keepLines/>
              <w:widowControl w:val="0"/>
              <w:jc w:val="left"/>
              <w:rPr>
                <w:rFonts w:ascii="Arial Narrow" w:eastAsiaTheme="majorEastAsia" w:hAnsi="Arial Narrow" w:cstheme="majorBidi"/>
                <w:bCs/>
                <w:sz w:val="20"/>
              </w:rPr>
            </w:pPr>
          </w:p>
        </w:tc>
        <w:tc>
          <w:tcPr>
            <w:tcW w:w="3027" w:type="pct"/>
            <w:tcBorders>
              <w:top w:val="nil"/>
              <w:bottom w:val="single" w:sz="4" w:space="0" w:color="auto"/>
            </w:tcBorders>
            <w:vAlign w:val="center"/>
          </w:tcPr>
          <w:p w14:paraId="6CFD311B" w14:textId="77777777" w:rsidR="004154DB" w:rsidRPr="008D0139" w:rsidRDefault="004154DB" w:rsidP="00773071">
            <w:pPr>
              <w:keepNext/>
              <w:keepLines/>
              <w:widowControl w:val="0"/>
              <w:jc w:val="left"/>
              <w:rPr>
                <w:rFonts w:ascii="Arial Narrow" w:eastAsiaTheme="majorEastAsia" w:hAnsi="Arial Narrow" w:cstheme="majorBidi"/>
                <w:bCs/>
                <w:sz w:val="20"/>
                <w:szCs w:val="18"/>
                <w:highlight w:val="yellow"/>
                <w:lang w:val="en-US"/>
              </w:rPr>
            </w:pPr>
            <w:r w:rsidRPr="008D0139">
              <w:rPr>
                <w:rFonts w:ascii="Arial Narrow" w:eastAsiaTheme="majorEastAsia" w:hAnsi="Arial Narrow" w:cstheme="majorBidi"/>
                <w:bCs/>
                <w:sz w:val="20"/>
                <w:szCs w:val="18"/>
                <w:lang w:val="en-US"/>
              </w:rPr>
              <w:t>Hertzberg Mark et al. A phase III trial evaluating glofitamab in combination with gemcitabine plus oxaliplatin versus rituximab in combination with gemcitabine and oxaliplatin in patients with relapsed/refractory (R/R) diffuse large B-cell lymphoma (DLBCL).</w:t>
            </w:r>
          </w:p>
        </w:tc>
        <w:tc>
          <w:tcPr>
            <w:tcW w:w="1177" w:type="pct"/>
            <w:tcBorders>
              <w:top w:val="nil"/>
              <w:bottom w:val="single" w:sz="4" w:space="0" w:color="auto"/>
            </w:tcBorders>
            <w:vAlign w:val="center"/>
          </w:tcPr>
          <w:p w14:paraId="4851C082" w14:textId="77777777" w:rsidR="004154DB" w:rsidRPr="008D0139" w:rsidRDefault="004154DB" w:rsidP="00773071">
            <w:pPr>
              <w:keepNext/>
              <w:keepLines/>
              <w:widowControl w:val="0"/>
              <w:jc w:val="left"/>
              <w:rPr>
                <w:rFonts w:ascii="Arial Narrow" w:eastAsiaTheme="majorEastAsia" w:hAnsi="Arial Narrow" w:cstheme="majorBidi"/>
                <w:bCs/>
                <w:sz w:val="20"/>
                <w:szCs w:val="18"/>
              </w:rPr>
            </w:pPr>
            <w:proofErr w:type="spellStart"/>
            <w:r w:rsidRPr="008D0139">
              <w:rPr>
                <w:rFonts w:ascii="Arial Narrow" w:eastAsiaTheme="majorEastAsia" w:hAnsi="Arial Narrow" w:cstheme="majorBidi"/>
                <w:bCs/>
                <w:sz w:val="20"/>
                <w:szCs w:val="18"/>
              </w:rPr>
              <w:t>Hematological</w:t>
            </w:r>
            <w:proofErr w:type="spellEnd"/>
            <w:r w:rsidRPr="008D0139">
              <w:rPr>
                <w:rFonts w:ascii="Arial Narrow" w:eastAsiaTheme="majorEastAsia" w:hAnsi="Arial Narrow" w:cstheme="majorBidi"/>
                <w:bCs/>
                <w:sz w:val="20"/>
                <w:szCs w:val="18"/>
              </w:rPr>
              <w:t xml:space="preserve"> Oncology 2021</w:t>
            </w:r>
          </w:p>
          <w:p w14:paraId="0353240E" w14:textId="77777777" w:rsidR="004154DB" w:rsidRPr="008D0139" w:rsidRDefault="004154DB" w:rsidP="00773071">
            <w:pPr>
              <w:keepNext/>
              <w:keepLines/>
              <w:widowControl w:val="0"/>
              <w:jc w:val="left"/>
              <w:rPr>
                <w:rFonts w:ascii="Arial Narrow" w:eastAsiaTheme="majorEastAsia" w:hAnsi="Arial Narrow" w:cstheme="majorBidi"/>
                <w:bCs/>
                <w:sz w:val="20"/>
                <w:szCs w:val="18"/>
                <w:highlight w:val="yellow"/>
                <w:lang w:val="en-US"/>
              </w:rPr>
            </w:pPr>
            <w:r w:rsidRPr="008D0139">
              <w:rPr>
                <w:rFonts w:ascii="Arial Narrow" w:eastAsiaTheme="majorEastAsia" w:hAnsi="Arial Narrow" w:cstheme="majorBidi"/>
                <w:bCs/>
                <w:sz w:val="20"/>
                <w:szCs w:val="18"/>
              </w:rPr>
              <w:t>39(S2): 344-345</w:t>
            </w:r>
          </w:p>
        </w:tc>
      </w:tr>
    </w:tbl>
    <w:p w14:paraId="7C4F5E5A" w14:textId="77777777" w:rsidR="004154DB" w:rsidRPr="008D0139" w:rsidRDefault="004154DB" w:rsidP="00773071">
      <w:pPr>
        <w:pStyle w:val="FooterTableFigure"/>
        <w:keepNext/>
        <w:keepLines/>
        <w:widowControl w:val="0"/>
      </w:pPr>
      <w:r w:rsidRPr="008D0139">
        <w:t>Source: Table 2.3, p35 of the submission.</w:t>
      </w:r>
    </w:p>
    <w:p w14:paraId="0BE3AC7E" w14:textId="7DCF7115" w:rsidR="004154DB" w:rsidRPr="008D0139" w:rsidRDefault="004154DB" w:rsidP="004154DB">
      <w:pPr>
        <w:numPr>
          <w:ilvl w:val="1"/>
          <w:numId w:val="1"/>
        </w:numPr>
        <w:spacing w:before="60" w:after="60"/>
        <w:rPr>
          <w:rFonts w:asciiTheme="minorHAnsi" w:hAnsiTheme="minorHAnsi"/>
          <w:snapToGrid w:val="0"/>
        </w:rPr>
      </w:pPr>
      <w:r w:rsidRPr="008D0139">
        <w:rPr>
          <w:rFonts w:asciiTheme="minorHAnsi" w:hAnsiTheme="minorHAnsi"/>
          <w:snapToGrid w:val="0"/>
        </w:rPr>
        <w:t xml:space="preserve">The key features of the STARGLO trial are summarised in </w:t>
      </w:r>
      <w:r w:rsidRPr="008D0139">
        <w:rPr>
          <w:rFonts w:asciiTheme="minorHAnsi" w:hAnsiTheme="minorHAnsi"/>
          <w:snapToGrid w:val="0"/>
        </w:rPr>
        <w:fldChar w:fldCharType="begin" w:fldLock="1"/>
      </w:r>
      <w:r w:rsidRPr="008D0139">
        <w:rPr>
          <w:rFonts w:asciiTheme="minorHAnsi" w:hAnsiTheme="minorHAnsi"/>
          <w:snapToGrid w:val="0"/>
        </w:rPr>
        <w:instrText xml:space="preserve"> REF _Ref104804098 \h  \* MERGEFORMAT </w:instrText>
      </w:r>
      <w:r w:rsidRPr="008D0139">
        <w:rPr>
          <w:rFonts w:asciiTheme="minorHAnsi" w:hAnsiTheme="minorHAnsi"/>
          <w:snapToGrid w:val="0"/>
        </w:rPr>
      </w:r>
      <w:r w:rsidRPr="008D0139">
        <w:rPr>
          <w:rFonts w:asciiTheme="minorHAnsi" w:hAnsiTheme="minorHAnsi"/>
          <w:snapToGrid w:val="0"/>
        </w:rPr>
        <w:fldChar w:fldCharType="separate"/>
      </w:r>
      <w:r w:rsidR="003C21E7" w:rsidRPr="003C21E7">
        <w:rPr>
          <w:rFonts w:asciiTheme="minorHAnsi" w:hAnsiTheme="minorHAnsi"/>
          <w:snapToGrid w:val="0"/>
        </w:rPr>
        <w:t xml:space="preserve">Table </w:t>
      </w:r>
      <w:r w:rsidR="003C21E7">
        <w:rPr>
          <w:noProof/>
        </w:rPr>
        <w:t>3</w:t>
      </w:r>
      <w:r w:rsidRPr="008D0139">
        <w:rPr>
          <w:rFonts w:asciiTheme="minorHAnsi" w:hAnsiTheme="minorHAnsi"/>
          <w:snapToGrid w:val="0"/>
        </w:rPr>
        <w:fldChar w:fldCharType="end"/>
      </w:r>
      <w:r w:rsidRPr="008D0139">
        <w:rPr>
          <w:rFonts w:asciiTheme="minorHAnsi" w:hAnsiTheme="minorHAnsi"/>
          <w:snapToGrid w:val="0"/>
        </w:rPr>
        <w:t>. The Phase III open-label trial randomised eligible patients 2:1 to Glofit-GemOx or R-</w:t>
      </w:r>
      <w:proofErr w:type="spellStart"/>
      <w:r w:rsidRPr="008D0139">
        <w:rPr>
          <w:rFonts w:asciiTheme="minorHAnsi" w:hAnsiTheme="minorHAnsi"/>
          <w:snapToGrid w:val="0"/>
        </w:rPr>
        <w:t>GemOx</w:t>
      </w:r>
      <w:proofErr w:type="spellEnd"/>
      <w:r w:rsidRPr="008D0139">
        <w:rPr>
          <w:rFonts w:asciiTheme="minorHAnsi" w:hAnsiTheme="minorHAnsi"/>
          <w:snapToGrid w:val="0"/>
        </w:rPr>
        <w:t>, stratified by 1 versus ≥2 previous lines of therapy and by relapsed versus refractory status.</w:t>
      </w:r>
    </w:p>
    <w:p w14:paraId="65A51355" w14:textId="61A8B6A1" w:rsidR="004154DB" w:rsidRPr="008D0139" w:rsidRDefault="004154DB" w:rsidP="004154DB">
      <w:pPr>
        <w:pStyle w:val="Caption"/>
        <w:rPr>
          <w:rFonts w:eastAsiaTheme="majorEastAsia" w:cstheme="majorBidi"/>
          <w:b w:val="0"/>
          <w:bCs w:val="0"/>
        </w:rPr>
      </w:pPr>
      <w:bookmarkStart w:id="41" w:name="_Ref104804098"/>
      <w:r w:rsidRPr="008D0139">
        <w:t xml:space="preserve">Table </w:t>
      </w:r>
      <w:r w:rsidR="00F257F5" w:rsidRPr="008D0139">
        <w:fldChar w:fldCharType="begin" w:fldLock="1"/>
      </w:r>
      <w:r w:rsidR="00F257F5" w:rsidRPr="008D0139">
        <w:instrText xml:space="preserve"> SEQ Table \* ARABIC </w:instrText>
      </w:r>
      <w:r w:rsidR="00F257F5" w:rsidRPr="008D0139">
        <w:fldChar w:fldCharType="separate"/>
      </w:r>
      <w:r w:rsidR="003C21E7">
        <w:rPr>
          <w:noProof/>
        </w:rPr>
        <w:t>3</w:t>
      </w:r>
      <w:r w:rsidR="00F257F5" w:rsidRPr="008D0139">
        <w:rPr>
          <w:noProof/>
        </w:rPr>
        <w:fldChar w:fldCharType="end"/>
      </w:r>
      <w:bookmarkEnd w:id="41"/>
      <w:r w:rsidRPr="008D0139">
        <w:rPr>
          <w:rFonts w:eastAsiaTheme="majorEastAsia" w:cstheme="majorBidi"/>
        </w:rPr>
        <w:t>: Key features of the STARGLO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STARGLO trial"/>
      </w:tblPr>
      <w:tblGrid>
        <w:gridCol w:w="989"/>
        <w:gridCol w:w="1418"/>
        <w:gridCol w:w="1702"/>
        <w:gridCol w:w="851"/>
        <w:gridCol w:w="1558"/>
        <w:gridCol w:w="1134"/>
        <w:gridCol w:w="1365"/>
      </w:tblGrid>
      <w:tr w:rsidR="004154DB" w:rsidRPr="008D0139" w14:paraId="30B9BA83" w14:textId="77777777" w:rsidTr="00F274C6">
        <w:trPr>
          <w:cantSplit/>
          <w:tblHeader/>
        </w:trPr>
        <w:tc>
          <w:tcPr>
            <w:tcW w:w="548" w:type="pct"/>
            <w:vAlign w:val="center"/>
          </w:tcPr>
          <w:p w14:paraId="08E39DF1" w14:textId="77777777" w:rsidR="004154DB" w:rsidRPr="008D0139" w:rsidRDefault="004154DB" w:rsidP="00F274C6">
            <w:pPr>
              <w:keepNext/>
              <w:widowControl w:val="0"/>
              <w:jc w:val="left"/>
              <w:rPr>
                <w:rFonts w:ascii="Arial Narrow" w:eastAsiaTheme="majorEastAsia" w:hAnsi="Arial Narrow" w:cs="Times New Roman"/>
                <w:b/>
                <w:sz w:val="20"/>
                <w:lang w:val="en-US"/>
              </w:rPr>
            </w:pPr>
            <w:r w:rsidRPr="008D0139">
              <w:rPr>
                <w:rFonts w:ascii="Arial Narrow" w:eastAsiaTheme="majorEastAsia" w:hAnsi="Arial Narrow" w:cs="Times New Roman"/>
                <w:b/>
                <w:sz w:val="20"/>
                <w:lang w:val="en-US"/>
              </w:rPr>
              <w:t>Trial</w:t>
            </w:r>
          </w:p>
        </w:tc>
        <w:tc>
          <w:tcPr>
            <w:tcW w:w="786" w:type="pct"/>
            <w:vAlign w:val="center"/>
          </w:tcPr>
          <w:p w14:paraId="1F2ED5E8" w14:textId="77777777" w:rsidR="004154DB" w:rsidRPr="008D0139" w:rsidRDefault="004154DB" w:rsidP="00F274C6">
            <w:pPr>
              <w:keepNext/>
              <w:widowControl w:val="0"/>
              <w:jc w:val="center"/>
              <w:rPr>
                <w:rFonts w:ascii="Arial Narrow" w:eastAsiaTheme="majorEastAsia" w:hAnsi="Arial Narrow" w:cs="Times New Roman"/>
                <w:b/>
                <w:sz w:val="20"/>
                <w:lang w:val="en-US"/>
              </w:rPr>
            </w:pPr>
            <w:r w:rsidRPr="008D0139">
              <w:rPr>
                <w:rFonts w:ascii="Arial Narrow" w:eastAsiaTheme="majorEastAsia" w:hAnsi="Arial Narrow" w:cs="Times New Roman"/>
                <w:b/>
                <w:sz w:val="20"/>
                <w:lang w:val="en-US"/>
              </w:rPr>
              <w:t>N</w:t>
            </w:r>
          </w:p>
        </w:tc>
        <w:tc>
          <w:tcPr>
            <w:tcW w:w="944" w:type="pct"/>
            <w:vAlign w:val="center"/>
          </w:tcPr>
          <w:p w14:paraId="62D0F753" w14:textId="77777777" w:rsidR="004154DB" w:rsidRPr="008D0139" w:rsidRDefault="004154DB" w:rsidP="00F274C6">
            <w:pPr>
              <w:keepNext/>
              <w:widowControl w:val="0"/>
              <w:jc w:val="center"/>
              <w:rPr>
                <w:rFonts w:ascii="Arial Narrow" w:eastAsiaTheme="majorEastAsia" w:hAnsi="Arial Narrow" w:cs="Times New Roman"/>
                <w:b/>
                <w:sz w:val="20"/>
                <w:lang w:val="en-US"/>
              </w:rPr>
            </w:pPr>
            <w:r w:rsidRPr="008D0139">
              <w:rPr>
                <w:rFonts w:ascii="Arial Narrow" w:eastAsiaTheme="majorEastAsia" w:hAnsi="Arial Narrow" w:cs="Times New Roman"/>
                <w:b/>
                <w:sz w:val="20"/>
                <w:lang w:val="en-US"/>
              </w:rPr>
              <w:t>Design / duration</w:t>
            </w:r>
          </w:p>
        </w:tc>
        <w:tc>
          <w:tcPr>
            <w:tcW w:w="472" w:type="pct"/>
            <w:vAlign w:val="center"/>
          </w:tcPr>
          <w:p w14:paraId="05AD2763" w14:textId="77777777" w:rsidR="004154DB" w:rsidRPr="008D0139" w:rsidRDefault="004154DB" w:rsidP="00F274C6">
            <w:pPr>
              <w:keepNext/>
              <w:widowControl w:val="0"/>
              <w:jc w:val="center"/>
              <w:rPr>
                <w:rFonts w:ascii="Arial Narrow" w:eastAsiaTheme="majorEastAsia" w:hAnsi="Arial Narrow" w:cs="Times New Roman"/>
                <w:b/>
                <w:sz w:val="20"/>
                <w:lang w:val="en-US"/>
              </w:rPr>
            </w:pPr>
            <w:r w:rsidRPr="008D0139">
              <w:rPr>
                <w:rFonts w:ascii="Arial Narrow" w:eastAsiaTheme="majorEastAsia" w:hAnsi="Arial Narrow" w:cs="Times New Roman"/>
                <w:b/>
                <w:sz w:val="20"/>
                <w:lang w:val="en-US"/>
              </w:rPr>
              <w:t>Risk of bias</w:t>
            </w:r>
          </w:p>
        </w:tc>
        <w:tc>
          <w:tcPr>
            <w:tcW w:w="864" w:type="pct"/>
            <w:vAlign w:val="center"/>
          </w:tcPr>
          <w:p w14:paraId="5ECCBA95" w14:textId="77777777" w:rsidR="004154DB" w:rsidRPr="008D0139" w:rsidRDefault="004154DB" w:rsidP="00F274C6">
            <w:pPr>
              <w:keepNext/>
              <w:widowControl w:val="0"/>
              <w:jc w:val="center"/>
              <w:rPr>
                <w:rFonts w:ascii="Arial Narrow" w:eastAsiaTheme="majorEastAsia" w:hAnsi="Arial Narrow" w:cs="Times New Roman"/>
                <w:b/>
                <w:sz w:val="20"/>
                <w:lang w:val="en-US"/>
              </w:rPr>
            </w:pPr>
            <w:r w:rsidRPr="008D0139">
              <w:rPr>
                <w:rFonts w:ascii="Arial Narrow" w:eastAsiaTheme="majorEastAsia" w:hAnsi="Arial Narrow" w:cs="Times New Roman"/>
                <w:b/>
                <w:sz w:val="20"/>
                <w:lang w:val="en-US"/>
              </w:rPr>
              <w:t>Patient population</w:t>
            </w:r>
          </w:p>
        </w:tc>
        <w:tc>
          <w:tcPr>
            <w:tcW w:w="629" w:type="pct"/>
            <w:vAlign w:val="center"/>
          </w:tcPr>
          <w:p w14:paraId="6F1EDA1E" w14:textId="77777777" w:rsidR="004154DB" w:rsidRPr="008D0139" w:rsidRDefault="004154DB" w:rsidP="00F274C6">
            <w:pPr>
              <w:keepNext/>
              <w:widowControl w:val="0"/>
              <w:jc w:val="center"/>
              <w:rPr>
                <w:rFonts w:ascii="Arial Narrow" w:eastAsiaTheme="majorEastAsia" w:hAnsi="Arial Narrow" w:cs="Times New Roman"/>
                <w:b/>
                <w:sz w:val="20"/>
                <w:lang w:val="en-US"/>
              </w:rPr>
            </w:pPr>
            <w:r w:rsidRPr="008D0139">
              <w:rPr>
                <w:rFonts w:ascii="Arial Narrow" w:eastAsiaTheme="majorEastAsia" w:hAnsi="Arial Narrow" w:cs="Times New Roman"/>
                <w:b/>
                <w:sz w:val="20"/>
                <w:lang w:val="en-US"/>
              </w:rPr>
              <w:t>Outcome(s)</w:t>
            </w:r>
          </w:p>
        </w:tc>
        <w:tc>
          <w:tcPr>
            <w:tcW w:w="758" w:type="pct"/>
            <w:vAlign w:val="center"/>
          </w:tcPr>
          <w:p w14:paraId="0DA291A2" w14:textId="77777777" w:rsidR="004154DB" w:rsidRPr="008D0139" w:rsidRDefault="004154DB" w:rsidP="00F274C6">
            <w:pPr>
              <w:keepNext/>
              <w:widowControl w:val="0"/>
              <w:jc w:val="center"/>
              <w:rPr>
                <w:rFonts w:ascii="Arial Narrow" w:eastAsiaTheme="majorEastAsia" w:hAnsi="Arial Narrow" w:cs="Times New Roman"/>
                <w:b/>
                <w:sz w:val="20"/>
                <w:lang w:val="en-US"/>
              </w:rPr>
            </w:pPr>
            <w:r w:rsidRPr="008D0139">
              <w:rPr>
                <w:rFonts w:ascii="Arial Narrow" w:eastAsiaTheme="majorEastAsia" w:hAnsi="Arial Narrow" w:cs="Times New Roman"/>
                <w:b/>
                <w:sz w:val="20"/>
                <w:lang w:val="en-US"/>
              </w:rPr>
              <w:t>Use in modelled evaluation</w:t>
            </w:r>
          </w:p>
        </w:tc>
      </w:tr>
      <w:tr w:rsidR="004154DB" w:rsidRPr="008D0139" w14:paraId="6A37D5D6" w14:textId="77777777" w:rsidTr="00F274C6">
        <w:trPr>
          <w:cantSplit/>
        </w:trPr>
        <w:tc>
          <w:tcPr>
            <w:tcW w:w="5000" w:type="pct"/>
            <w:gridSpan w:val="7"/>
            <w:vAlign w:val="center"/>
          </w:tcPr>
          <w:p w14:paraId="6034F214" w14:textId="77777777" w:rsidR="004154DB" w:rsidRPr="008D0139" w:rsidRDefault="004154DB" w:rsidP="00F274C6">
            <w:pPr>
              <w:keepNext/>
              <w:widowControl w:val="0"/>
              <w:jc w:val="left"/>
              <w:rPr>
                <w:rFonts w:ascii="Arial Narrow" w:eastAsiaTheme="majorEastAsia" w:hAnsi="Arial Narrow" w:cs="Times New Roman"/>
                <w:b/>
                <w:sz w:val="20"/>
                <w:lang w:val="en-US"/>
              </w:rPr>
            </w:pPr>
            <w:proofErr w:type="spellStart"/>
            <w:r w:rsidRPr="008D0139">
              <w:rPr>
                <w:rFonts w:ascii="Arial Narrow" w:eastAsiaTheme="majorEastAsia" w:hAnsi="Arial Narrow" w:cs="Times New Roman"/>
                <w:b/>
                <w:sz w:val="20"/>
                <w:lang w:val="en-US"/>
              </w:rPr>
              <w:t>Glofit-GemOx</w:t>
            </w:r>
            <w:r w:rsidRPr="008D0139">
              <w:rPr>
                <w:rFonts w:ascii="Arial Narrow" w:eastAsiaTheme="majorEastAsia" w:hAnsi="Arial Narrow" w:cs="Times New Roman"/>
                <w:b/>
                <w:sz w:val="20"/>
                <w:vertAlign w:val="superscript"/>
                <w:lang w:val="en-US"/>
              </w:rPr>
              <w:t>a</w:t>
            </w:r>
            <w:proofErr w:type="spellEnd"/>
            <w:r w:rsidRPr="008D0139">
              <w:rPr>
                <w:rFonts w:ascii="Arial Narrow" w:eastAsiaTheme="majorEastAsia" w:hAnsi="Arial Narrow" w:cs="Times New Roman"/>
                <w:b/>
                <w:sz w:val="20"/>
                <w:lang w:val="en-US"/>
              </w:rPr>
              <w:t xml:space="preserve"> vs. R-</w:t>
            </w:r>
            <w:proofErr w:type="spellStart"/>
            <w:r w:rsidRPr="008D0139">
              <w:rPr>
                <w:rFonts w:ascii="Arial Narrow" w:eastAsiaTheme="majorEastAsia" w:hAnsi="Arial Narrow" w:cs="Times New Roman"/>
                <w:b/>
                <w:sz w:val="20"/>
                <w:lang w:val="en-US"/>
              </w:rPr>
              <w:t>GemOx</w:t>
            </w:r>
            <w:r w:rsidRPr="008D0139">
              <w:rPr>
                <w:rFonts w:ascii="Arial Narrow" w:eastAsiaTheme="majorEastAsia" w:hAnsi="Arial Narrow" w:cs="Times New Roman"/>
                <w:b/>
                <w:sz w:val="20"/>
                <w:vertAlign w:val="superscript"/>
                <w:lang w:val="en-US"/>
              </w:rPr>
              <w:t>b</w:t>
            </w:r>
            <w:proofErr w:type="spellEnd"/>
          </w:p>
        </w:tc>
      </w:tr>
      <w:tr w:rsidR="004154DB" w:rsidRPr="008D0139" w14:paraId="1813C76C" w14:textId="77777777" w:rsidTr="00F274C6">
        <w:trPr>
          <w:cantSplit/>
        </w:trPr>
        <w:tc>
          <w:tcPr>
            <w:tcW w:w="548" w:type="pct"/>
            <w:vAlign w:val="center"/>
          </w:tcPr>
          <w:p w14:paraId="7B135425" w14:textId="77777777" w:rsidR="004154DB" w:rsidRPr="008D0139" w:rsidRDefault="004154DB" w:rsidP="00F274C6">
            <w:pPr>
              <w:keepNext/>
              <w:jc w:val="left"/>
              <w:rPr>
                <w:rFonts w:ascii="Arial Narrow" w:eastAsiaTheme="majorEastAsia" w:hAnsi="Arial Narrow" w:cstheme="majorBidi"/>
                <w:bCs/>
                <w:sz w:val="20"/>
                <w:lang w:val="en-US"/>
              </w:rPr>
            </w:pPr>
            <w:r w:rsidRPr="008D0139">
              <w:rPr>
                <w:rFonts w:ascii="Arial Narrow" w:eastAsiaTheme="majorEastAsia" w:hAnsi="Arial Narrow" w:cstheme="majorBidi"/>
                <w:bCs/>
                <w:sz w:val="20"/>
                <w:lang w:val="en-US"/>
              </w:rPr>
              <w:t>STARGLO</w:t>
            </w:r>
          </w:p>
        </w:tc>
        <w:tc>
          <w:tcPr>
            <w:tcW w:w="786" w:type="pct"/>
            <w:vAlign w:val="center"/>
          </w:tcPr>
          <w:p w14:paraId="2F9014BD" w14:textId="77777777" w:rsidR="004154DB" w:rsidRPr="008D0139" w:rsidRDefault="004154DB" w:rsidP="00F274C6">
            <w:pPr>
              <w:keepNext/>
              <w:jc w:val="center"/>
              <w:rPr>
                <w:rFonts w:ascii="Arial Narrow" w:eastAsiaTheme="majorEastAsia" w:hAnsi="Arial Narrow" w:cstheme="majorBidi"/>
                <w:bCs/>
                <w:sz w:val="20"/>
                <w:lang w:val="en-US"/>
              </w:rPr>
            </w:pPr>
            <w:r w:rsidRPr="008D0139">
              <w:rPr>
                <w:rFonts w:ascii="Arial Narrow" w:eastAsiaTheme="majorEastAsia" w:hAnsi="Arial Narrow" w:cstheme="majorBidi"/>
                <w:bCs/>
                <w:sz w:val="20"/>
                <w:lang w:val="en-US"/>
              </w:rPr>
              <w:t>274</w:t>
            </w:r>
          </w:p>
          <w:p w14:paraId="457875E5" w14:textId="77777777" w:rsidR="004154DB" w:rsidRPr="008D0139" w:rsidRDefault="004154DB" w:rsidP="00F274C6">
            <w:pPr>
              <w:keepNext/>
              <w:jc w:val="center"/>
              <w:rPr>
                <w:rFonts w:ascii="Arial Narrow" w:eastAsiaTheme="majorEastAsia" w:hAnsi="Arial Narrow" w:cstheme="majorBidi"/>
                <w:bCs/>
                <w:sz w:val="20"/>
                <w:lang w:val="en-US"/>
              </w:rPr>
            </w:pPr>
          </w:p>
          <w:p w14:paraId="394FA6DC" w14:textId="77777777" w:rsidR="004154DB" w:rsidRPr="008D0139" w:rsidRDefault="004154DB" w:rsidP="00F274C6">
            <w:pPr>
              <w:keepNext/>
              <w:jc w:val="center"/>
              <w:rPr>
                <w:rFonts w:ascii="Arial Narrow" w:eastAsiaTheme="majorEastAsia" w:hAnsi="Arial Narrow" w:cstheme="majorBidi"/>
                <w:bCs/>
                <w:sz w:val="20"/>
                <w:lang w:val="en-US"/>
              </w:rPr>
            </w:pPr>
            <w:r w:rsidRPr="008D0139">
              <w:rPr>
                <w:rFonts w:ascii="Arial Narrow" w:eastAsiaTheme="majorEastAsia" w:hAnsi="Arial Narrow" w:cstheme="majorBidi"/>
                <w:bCs/>
                <w:sz w:val="20"/>
                <w:lang w:val="en-US"/>
              </w:rPr>
              <w:t>Enrolled Feb 2021-Mar 2023</w:t>
            </w:r>
          </w:p>
        </w:tc>
        <w:tc>
          <w:tcPr>
            <w:tcW w:w="944" w:type="pct"/>
            <w:vAlign w:val="center"/>
          </w:tcPr>
          <w:p w14:paraId="3FC12980" w14:textId="77777777" w:rsidR="004154DB" w:rsidRPr="008D0139" w:rsidRDefault="004154DB" w:rsidP="00F274C6">
            <w:pPr>
              <w:keepNext/>
              <w:jc w:val="center"/>
              <w:rPr>
                <w:rFonts w:ascii="Arial Narrow" w:eastAsiaTheme="majorEastAsia" w:hAnsi="Arial Narrow" w:cstheme="majorBidi"/>
                <w:bCs/>
                <w:sz w:val="20"/>
                <w:lang w:val="en-US"/>
              </w:rPr>
            </w:pPr>
            <w:r w:rsidRPr="008D0139">
              <w:rPr>
                <w:rFonts w:ascii="Arial Narrow" w:eastAsiaTheme="majorEastAsia" w:hAnsi="Arial Narrow" w:cstheme="majorBidi"/>
                <w:bCs/>
                <w:sz w:val="20"/>
                <w:lang w:val="en-US"/>
              </w:rPr>
              <w:t>P3, MC, R, OL</w:t>
            </w:r>
          </w:p>
          <w:p w14:paraId="7061FCB2" w14:textId="77777777" w:rsidR="004154DB" w:rsidRPr="008D0139" w:rsidRDefault="004154DB" w:rsidP="00F274C6">
            <w:pPr>
              <w:keepNext/>
              <w:jc w:val="center"/>
              <w:rPr>
                <w:rFonts w:ascii="Arial Narrow" w:eastAsiaTheme="majorEastAsia" w:hAnsi="Arial Narrow" w:cstheme="majorBidi"/>
                <w:bCs/>
                <w:sz w:val="20"/>
                <w:lang w:val="en-US"/>
              </w:rPr>
            </w:pPr>
          </w:p>
          <w:p w14:paraId="7A2839C3" w14:textId="77777777" w:rsidR="004154DB" w:rsidRPr="008D0139" w:rsidRDefault="004154DB" w:rsidP="00F274C6">
            <w:pPr>
              <w:keepNext/>
              <w:jc w:val="center"/>
              <w:rPr>
                <w:rFonts w:ascii="Arial Narrow" w:eastAsiaTheme="majorEastAsia" w:hAnsi="Arial Narrow" w:cstheme="majorBidi"/>
                <w:bCs/>
                <w:sz w:val="20"/>
                <w:lang w:val="en-US"/>
              </w:rPr>
            </w:pPr>
            <w:r w:rsidRPr="008D0139">
              <w:rPr>
                <w:rFonts w:ascii="Arial Narrow" w:eastAsiaTheme="majorEastAsia" w:hAnsi="Arial Narrow" w:cstheme="majorBidi"/>
                <w:bCs/>
                <w:sz w:val="20"/>
                <w:lang w:val="en-US"/>
              </w:rPr>
              <w:t>Median follow up 11.3 months (primary analysis), 20.7 months (updated analysis)</w:t>
            </w:r>
          </w:p>
          <w:p w14:paraId="743CECD7" w14:textId="77777777" w:rsidR="004154DB" w:rsidRPr="008D0139" w:rsidRDefault="004154DB" w:rsidP="00F274C6">
            <w:pPr>
              <w:keepNext/>
              <w:jc w:val="center"/>
              <w:rPr>
                <w:rFonts w:ascii="Arial Narrow" w:eastAsiaTheme="majorEastAsia" w:hAnsi="Arial Narrow" w:cstheme="majorBidi"/>
                <w:bCs/>
                <w:sz w:val="20"/>
                <w:lang w:val="en-US"/>
              </w:rPr>
            </w:pPr>
          </w:p>
          <w:p w14:paraId="6056EFCF" w14:textId="77777777" w:rsidR="004154DB" w:rsidRPr="008D0139" w:rsidRDefault="004154DB" w:rsidP="00F274C6">
            <w:pPr>
              <w:keepNext/>
              <w:jc w:val="center"/>
              <w:rPr>
                <w:rFonts w:ascii="Arial Narrow" w:eastAsiaTheme="majorEastAsia" w:hAnsi="Arial Narrow" w:cstheme="majorBidi"/>
                <w:bCs/>
                <w:sz w:val="20"/>
                <w:lang w:val="en-US"/>
              </w:rPr>
            </w:pPr>
            <w:r w:rsidRPr="008D0139">
              <w:rPr>
                <w:rFonts w:ascii="Arial Narrow" w:eastAsiaTheme="majorEastAsia" w:hAnsi="Arial Narrow" w:cstheme="majorBidi"/>
                <w:bCs/>
                <w:sz w:val="20"/>
                <w:lang w:val="en-US"/>
              </w:rPr>
              <w:t>Ongoing longer-term follow up</w:t>
            </w:r>
          </w:p>
        </w:tc>
        <w:tc>
          <w:tcPr>
            <w:tcW w:w="472" w:type="pct"/>
            <w:vAlign w:val="center"/>
          </w:tcPr>
          <w:p w14:paraId="023AD436" w14:textId="77777777" w:rsidR="004154DB" w:rsidRPr="008D0139" w:rsidRDefault="004154DB" w:rsidP="00F274C6">
            <w:pPr>
              <w:keepNext/>
              <w:jc w:val="center"/>
              <w:rPr>
                <w:rFonts w:ascii="Arial Narrow" w:eastAsiaTheme="majorEastAsia" w:hAnsi="Arial Narrow" w:cstheme="majorBidi"/>
                <w:bCs/>
                <w:sz w:val="20"/>
                <w:lang w:val="en-US"/>
              </w:rPr>
            </w:pPr>
            <w:r w:rsidRPr="008D0139">
              <w:rPr>
                <w:rFonts w:ascii="Arial Narrow" w:eastAsiaTheme="majorEastAsia" w:hAnsi="Arial Narrow" w:cstheme="majorBidi"/>
                <w:bCs/>
                <w:sz w:val="20"/>
                <w:lang w:val="en-US"/>
              </w:rPr>
              <w:t>Low</w:t>
            </w:r>
          </w:p>
        </w:tc>
        <w:tc>
          <w:tcPr>
            <w:tcW w:w="864" w:type="pct"/>
            <w:vAlign w:val="center"/>
          </w:tcPr>
          <w:p w14:paraId="25EBC055" w14:textId="77777777" w:rsidR="004154DB" w:rsidRPr="008D0139" w:rsidRDefault="004154DB" w:rsidP="00F274C6">
            <w:pPr>
              <w:keepNext/>
              <w:jc w:val="center"/>
              <w:rPr>
                <w:rFonts w:ascii="Arial Narrow" w:eastAsiaTheme="majorEastAsia" w:hAnsi="Arial Narrow" w:cstheme="majorBidi"/>
                <w:bCs/>
                <w:sz w:val="20"/>
                <w:lang w:val="en-US"/>
              </w:rPr>
            </w:pPr>
            <w:r w:rsidRPr="008D0139">
              <w:rPr>
                <w:rFonts w:ascii="Arial Narrow" w:eastAsiaTheme="majorEastAsia" w:hAnsi="Arial Narrow" w:cstheme="majorBidi"/>
                <w:bCs/>
                <w:sz w:val="20"/>
                <w:lang w:val="en-US"/>
              </w:rPr>
              <w:t>ASCT ineligible R/R DLBCL after ≥1 systemic therapy, ECOG performance status of 0–2.</w:t>
            </w:r>
          </w:p>
        </w:tc>
        <w:tc>
          <w:tcPr>
            <w:tcW w:w="629" w:type="pct"/>
            <w:vAlign w:val="center"/>
          </w:tcPr>
          <w:p w14:paraId="603E56DE" w14:textId="77777777" w:rsidR="004154DB" w:rsidRPr="008D0139" w:rsidRDefault="004154DB" w:rsidP="00F274C6">
            <w:pPr>
              <w:keepNext/>
              <w:jc w:val="center"/>
              <w:rPr>
                <w:rFonts w:ascii="Arial Narrow" w:eastAsiaTheme="majorEastAsia" w:hAnsi="Arial Narrow" w:cstheme="majorBidi"/>
                <w:bCs/>
                <w:sz w:val="20"/>
                <w:lang w:val="en-US"/>
              </w:rPr>
            </w:pPr>
            <w:r w:rsidRPr="008D0139">
              <w:rPr>
                <w:rFonts w:ascii="Arial Narrow" w:eastAsiaTheme="majorEastAsia" w:hAnsi="Arial Narrow" w:cstheme="majorBidi"/>
                <w:bCs/>
                <w:sz w:val="20"/>
                <w:lang w:val="en-US"/>
              </w:rPr>
              <w:t xml:space="preserve">OS, PFS, CR, DOCR, ORR, DOR, </w:t>
            </w:r>
            <w:proofErr w:type="spellStart"/>
            <w:r w:rsidRPr="008D0139">
              <w:rPr>
                <w:rFonts w:ascii="Arial Narrow" w:eastAsiaTheme="majorEastAsia" w:hAnsi="Arial Narrow" w:cstheme="majorBidi"/>
                <w:bCs/>
                <w:sz w:val="20"/>
                <w:lang w:val="en-US"/>
              </w:rPr>
              <w:t>HRQoL</w:t>
            </w:r>
            <w:proofErr w:type="spellEnd"/>
            <w:r w:rsidRPr="008D0139">
              <w:rPr>
                <w:rFonts w:ascii="Arial Narrow" w:eastAsiaTheme="majorEastAsia" w:hAnsi="Arial Narrow" w:cstheme="majorBidi"/>
                <w:bCs/>
                <w:sz w:val="20"/>
                <w:lang w:val="en-US"/>
              </w:rPr>
              <w:t>, AEs</w:t>
            </w:r>
          </w:p>
        </w:tc>
        <w:tc>
          <w:tcPr>
            <w:tcW w:w="758" w:type="pct"/>
            <w:vAlign w:val="center"/>
          </w:tcPr>
          <w:p w14:paraId="52977942" w14:textId="77777777" w:rsidR="004154DB" w:rsidRPr="008D0139" w:rsidRDefault="004154DB" w:rsidP="00F274C6">
            <w:pPr>
              <w:keepNext/>
              <w:jc w:val="center"/>
              <w:rPr>
                <w:rFonts w:ascii="Arial Narrow" w:eastAsiaTheme="majorEastAsia" w:hAnsi="Arial Narrow" w:cstheme="majorBidi"/>
                <w:bCs/>
                <w:sz w:val="20"/>
                <w:lang w:val="en-US"/>
              </w:rPr>
            </w:pPr>
            <w:r w:rsidRPr="008D0139">
              <w:rPr>
                <w:rFonts w:ascii="Arial Narrow" w:eastAsiaTheme="majorEastAsia" w:hAnsi="Arial Narrow" w:cstheme="majorBidi"/>
                <w:bCs/>
                <w:sz w:val="20"/>
                <w:lang w:val="en-US"/>
              </w:rPr>
              <w:t>PFS and OS</w:t>
            </w:r>
          </w:p>
        </w:tc>
      </w:tr>
    </w:tbl>
    <w:p w14:paraId="49D64A08" w14:textId="77777777" w:rsidR="004154DB" w:rsidRPr="008D0139" w:rsidRDefault="004154DB" w:rsidP="004154DB">
      <w:pPr>
        <w:spacing w:after="120"/>
        <w:contextualSpacing/>
        <w:rPr>
          <w:rFonts w:ascii="Arial Narrow" w:hAnsi="Arial Narrow"/>
          <w:snapToGrid w:val="0"/>
          <w:sz w:val="18"/>
          <w:szCs w:val="22"/>
        </w:rPr>
      </w:pPr>
      <w:r w:rsidRPr="008D0139">
        <w:rPr>
          <w:rFonts w:ascii="Arial Narrow" w:hAnsi="Arial Narrow"/>
          <w:snapToGrid w:val="0"/>
          <w:sz w:val="18"/>
          <w:szCs w:val="22"/>
        </w:rPr>
        <w:t>Source: Figure, p37 of the submission.</w:t>
      </w:r>
    </w:p>
    <w:p w14:paraId="3CE2FFE8" w14:textId="77777777" w:rsidR="004154DB" w:rsidRPr="008D0139" w:rsidRDefault="004154DB" w:rsidP="004154DB">
      <w:pPr>
        <w:spacing w:after="120"/>
        <w:contextualSpacing/>
        <w:rPr>
          <w:rFonts w:ascii="Arial Narrow" w:hAnsi="Arial Narrow"/>
          <w:snapToGrid w:val="0"/>
          <w:sz w:val="18"/>
          <w:szCs w:val="22"/>
        </w:rPr>
      </w:pPr>
      <w:proofErr w:type="spellStart"/>
      <w:r w:rsidRPr="008D0139">
        <w:rPr>
          <w:rFonts w:ascii="Arial Narrow" w:hAnsi="Arial Narrow"/>
          <w:snapToGrid w:val="0"/>
          <w:sz w:val="18"/>
          <w:szCs w:val="22"/>
        </w:rPr>
        <w:t>Glofit-Gemox</w:t>
      </w:r>
      <w:proofErr w:type="spellEnd"/>
      <w:r w:rsidRPr="008D0139">
        <w:rPr>
          <w:rFonts w:ascii="Arial Narrow" w:hAnsi="Arial Narrow"/>
          <w:snapToGrid w:val="0"/>
          <w:sz w:val="18"/>
          <w:szCs w:val="22"/>
        </w:rPr>
        <w:t>=glofitamab + gemcitabine + oxaliplatin; R-</w:t>
      </w:r>
      <w:proofErr w:type="spellStart"/>
      <w:r w:rsidRPr="008D0139">
        <w:rPr>
          <w:rFonts w:ascii="Arial Narrow" w:hAnsi="Arial Narrow"/>
          <w:snapToGrid w:val="0"/>
          <w:sz w:val="18"/>
          <w:szCs w:val="22"/>
        </w:rPr>
        <w:t>GemOx</w:t>
      </w:r>
      <w:proofErr w:type="spellEnd"/>
      <w:r w:rsidRPr="008D0139">
        <w:rPr>
          <w:rFonts w:ascii="Arial Narrow" w:hAnsi="Arial Narrow"/>
          <w:snapToGrid w:val="0"/>
          <w:sz w:val="18"/>
          <w:szCs w:val="22"/>
        </w:rPr>
        <w:t xml:space="preserve">=rituximab + gemcitabine + oxaliplatin; DB=double blind; MC=multi-centre; OL=open label; P3=phase 3; R=randomised; ASCT=autologous stem cell transplant; R/R=relapsed or refractory; DLBCL=diffuse large B-cell lymphoma; ECOG=Eastern Cooperative Oncology Group; OS=overall survival; PFS=progression-free survival; CR=complete response; DOCR=duration of complete response; ORR=objective response rate; DOR=duration of response; </w:t>
      </w:r>
      <w:proofErr w:type="spellStart"/>
      <w:r w:rsidRPr="008D0139">
        <w:rPr>
          <w:rFonts w:ascii="Arial Narrow" w:hAnsi="Arial Narrow"/>
          <w:snapToGrid w:val="0"/>
          <w:sz w:val="18"/>
          <w:szCs w:val="22"/>
        </w:rPr>
        <w:t>HRQoL</w:t>
      </w:r>
      <w:proofErr w:type="spellEnd"/>
      <w:r w:rsidRPr="008D0139">
        <w:rPr>
          <w:rFonts w:ascii="Arial Narrow" w:hAnsi="Arial Narrow"/>
          <w:snapToGrid w:val="0"/>
          <w:sz w:val="18"/>
          <w:szCs w:val="22"/>
        </w:rPr>
        <w:t>=health-related quality of life; AE=adverse event.</w:t>
      </w:r>
    </w:p>
    <w:p w14:paraId="6B802971" w14:textId="77777777" w:rsidR="004154DB" w:rsidRPr="008D0139" w:rsidRDefault="004154DB" w:rsidP="004154DB">
      <w:pPr>
        <w:contextualSpacing/>
        <w:rPr>
          <w:rFonts w:ascii="Arial Narrow" w:hAnsi="Arial Narrow"/>
          <w:snapToGrid w:val="0"/>
          <w:sz w:val="18"/>
          <w:szCs w:val="22"/>
        </w:rPr>
      </w:pPr>
      <w:r w:rsidRPr="008D0139">
        <w:rPr>
          <w:rFonts w:ascii="Arial Narrow" w:hAnsi="Arial Narrow"/>
          <w:snapToGrid w:val="0"/>
          <w:sz w:val="18"/>
          <w:szCs w:val="22"/>
          <w:vertAlign w:val="superscript"/>
        </w:rPr>
        <w:t>a</w:t>
      </w:r>
      <w:r w:rsidRPr="008D0139">
        <w:rPr>
          <w:rFonts w:ascii="Arial Narrow" w:hAnsi="Arial Narrow"/>
          <w:snapToGrid w:val="0"/>
          <w:sz w:val="18"/>
          <w:szCs w:val="22"/>
        </w:rPr>
        <w:t xml:space="preserve"> Regimen for </w:t>
      </w:r>
      <w:proofErr w:type="spellStart"/>
      <w:r w:rsidRPr="008D0139">
        <w:rPr>
          <w:rFonts w:ascii="Arial Narrow" w:hAnsi="Arial Narrow"/>
          <w:snapToGrid w:val="0"/>
          <w:sz w:val="18"/>
          <w:szCs w:val="22"/>
        </w:rPr>
        <w:t>Glofit-Gemox</w:t>
      </w:r>
      <w:proofErr w:type="spellEnd"/>
      <w:r w:rsidRPr="008D0139">
        <w:rPr>
          <w:rFonts w:ascii="Arial Narrow" w:hAnsi="Arial Narrow"/>
          <w:snapToGrid w:val="0"/>
          <w:sz w:val="18"/>
          <w:szCs w:val="22"/>
        </w:rPr>
        <w:t xml:space="preserve"> includes 8 cycles of glofitamab + gemcitabine + oxaliplatin followed by 4 cycles of glofitamab monotherapy.</w:t>
      </w:r>
    </w:p>
    <w:p w14:paraId="2EC2BCCD" w14:textId="77777777" w:rsidR="004154DB" w:rsidRPr="008D0139" w:rsidRDefault="004154DB" w:rsidP="004154DB">
      <w:pPr>
        <w:pStyle w:val="FooterTableFigure"/>
      </w:pPr>
      <w:r w:rsidRPr="008D0139">
        <w:rPr>
          <w:vertAlign w:val="superscript"/>
        </w:rPr>
        <w:t>b</w:t>
      </w:r>
      <w:r w:rsidRPr="008D0139">
        <w:t xml:space="preserve"> Regimen for R-</w:t>
      </w:r>
      <w:proofErr w:type="spellStart"/>
      <w:r w:rsidRPr="008D0139">
        <w:t>GemOx</w:t>
      </w:r>
      <w:proofErr w:type="spellEnd"/>
      <w:r w:rsidRPr="008D0139">
        <w:t xml:space="preserve"> includes 8 cycles of rituximab + gemcitabine + oxaliplatin. </w:t>
      </w:r>
    </w:p>
    <w:p w14:paraId="7FD1DBE9" w14:textId="23E36732" w:rsidR="004154DB" w:rsidRPr="008D0139" w:rsidRDefault="004154DB" w:rsidP="004154DB">
      <w:pPr>
        <w:numPr>
          <w:ilvl w:val="1"/>
          <w:numId w:val="1"/>
        </w:numPr>
        <w:spacing w:before="60" w:after="60"/>
        <w:rPr>
          <w:rFonts w:asciiTheme="minorHAnsi" w:hAnsiTheme="minorHAnsi"/>
          <w:snapToGrid w:val="0"/>
        </w:rPr>
      </w:pPr>
      <w:r w:rsidRPr="008D0139">
        <w:rPr>
          <w:rFonts w:asciiTheme="minorHAnsi" w:hAnsiTheme="minorHAnsi"/>
          <w:snapToGrid w:val="0"/>
        </w:rPr>
        <w:t>STARGLO enrolled patients with R/R DLBCL after ≥1 prior systematic therapy, who were ineligible for ASCT. The trial had two pre-specified enrolment caps to ensure the study population did not entirely comprise patients with poor prognosis. Enrolment of patients with platinum-based refractory disease was limited to 20% of all randomised patients to minimise the risk of enriching the study population with patients that may not sufficiently respond to oxaliplatin, a platinum-based treatment. In addition, enrolment of patients who had ≥ 2 lines of prior systemic therapy was limited to 65% of all randomised patients to ensure the study enrolled an adequate number of patients with only 1 prior line of therapy (who were ineligible for ASCT).</w:t>
      </w:r>
      <w:r w:rsidR="008015A6" w:rsidRPr="008D0139">
        <w:rPr>
          <w:rFonts w:asciiTheme="minorHAnsi" w:hAnsiTheme="minorHAnsi"/>
          <w:snapToGrid w:val="0"/>
        </w:rPr>
        <w:t xml:space="preserve"> </w:t>
      </w:r>
    </w:p>
    <w:p w14:paraId="30EE78E0" w14:textId="493C9C47" w:rsidR="004154DB" w:rsidRPr="008D0139" w:rsidRDefault="004154DB" w:rsidP="004154DB">
      <w:pPr>
        <w:numPr>
          <w:ilvl w:val="1"/>
          <w:numId w:val="1"/>
        </w:numPr>
        <w:spacing w:before="60" w:after="60"/>
        <w:rPr>
          <w:rFonts w:asciiTheme="minorHAnsi" w:hAnsiTheme="minorHAnsi"/>
          <w:snapToGrid w:val="0"/>
        </w:rPr>
      </w:pPr>
      <w:r w:rsidRPr="008D0139">
        <w:t xml:space="preserve">Patients who had failed only one prior line of therapy were required to be unsuitable for ASCT by meeting one of the following criteria: left ventricular ejection fraction ≤40%, creatinine clearance or glomerular filtration rate ≤45 mL/min, Eastern Cooperative Oncology Group (ECOG) performance status of ≥2, age ≥70 years, patient refused high-dose chemotherapy and/or transplant, patient had insufficient response to pre-transplant chemotherapy to be able to proceed to transplant, or other comorbidities or criteria that precluded the use of transplant based on local practice standards or in the investigator’s opinion. </w:t>
      </w:r>
      <w:r w:rsidRPr="008D0139">
        <w:rPr>
          <w:rFonts w:asciiTheme="minorHAnsi" w:hAnsiTheme="minorHAnsi"/>
          <w:snapToGrid w:val="0"/>
        </w:rPr>
        <w:t>The most common reasons for ASCT ineligibility were patient refusal of transplant (Glofit-GemOx: 35.5%; R-</w:t>
      </w:r>
      <w:proofErr w:type="spellStart"/>
      <w:r w:rsidRPr="008D0139">
        <w:rPr>
          <w:rFonts w:asciiTheme="minorHAnsi" w:hAnsiTheme="minorHAnsi"/>
          <w:snapToGrid w:val="0"/>
        </w:rPr>
        <w:t>GemOx</w:t>
      </w:r>
      <w:proofErr w:type="spellEnd"/>
      <w:r w:rsidRPr="008D0139">
        <w:rPr>
          <w:rFonts w:asciiTheme="minorHAnsi" w:hAnsiTheme="minorHAnsi"/>
          <w:snapToGrid w:val="0"/>
        </w:rPr>
        <w:t>: 33.0%) followed by age (Glofit-GemOx: 34.4%; R-</w:t>
      </w:r>
      <w:proofErr w:type="spellStart"/>
      <w:r w:rsidRPr="008D0139">
        <w:rPr>
          <w:rFonts w:asciiTheme="minorHAnsi" w:hAnsiTheme="minorHAnsi"/>
          <w:snapToGrid w:val="0"/>
        </w:rPr>
        <w:t>GemOx</w:t>
      </w:r>
      <w:proofErr w:type="spellEnd"/>
      <w:r w:rsidRPr="008D0139">
        <w:rPr>
          <w:rFonts w:asciiTheme="minorHAnsi" w:hAnsiTheme="minorHAnsi"/>
          <w:snapToGrid w:val="0"/>
        </w:rPr>
        <w:t>; 27.5%).</w:t>
      </w:r>
      <w:r w:rsidR="00F32249" w:rsidRPr="008D0139">
        <w:rPr>
          <w:rFonts w:asciiTheme="minorHAnsi" w:hAnsiTheme="minorHAnsi"/>
          <w:snapToGrid w:val="0"/>
        </w:rPr>
        <w:t xml:space="preserve"> </w:t>
      </w:r>
      <w:r w:rsidR="002C02EB" w:rsidRPr="008D0139">
        <w:rPr>
          <w:rFonts w:asciiTheme="minorHAnsi" w:hAnsiTheme="minorHAnsi"/>
          <w:snapToGrid w:val="0"/>
        </w:rPr>
        <w:t xml:space="preserve">The ESC noted </w:t>
      </w:r>
      <w:r w:rsidR="00255486" w:rsidRPr="008D0139">
        <w:rPr>
          <w:rFonts w:asciiTheme="minorHAnsi" w:hAnsiTheme="minorHAnsi"/>
          <w:snapToGrid w:val="0"/>
        </w:rPr>
        <w:t xml:space="preserve">that </w:t>
      </w:r>
      <w:r w:rsidR="00AF110F" w:rsidRPr="008D0139">
        <w:rPr>
          <w:rFonts w:asciiTheme="minorHAnsi" w:hAnsiTheme="minorHAnsi"/>
          <w:snapToGrid w:val="0"/>
        </w:rPr>
        <w:t xml:space="preserve">differences in levels of patient refusal of transplant were seen between countries with </w:t>
      </w:r>
      <w:r w:rsidR="00CD7B15" w:rsidRPr="008D0139">
        <w:rPr>
          <w:rFonts w:asciiTheme="minorHAnsi" w:hAnsiTheme="minorHAnsi"/>
          <w:snapToGrid w:val="0"/>
        </w:rPr>
        <w:t xml:space="preserve">the pooled rate of transplant-refusal in Europe, North America and Australia </w:t>
      </w:r>
      <w:r w:rsidR="00C532A4" w:rsidRPr="008D0139">
        <w:rPr>
          <w:rFonts w:asciiTheme="minorHAnsi" w:hAnsiTheme="minorHAnsi"/>
          <w:snapToGrid w:val="0"/>
        </w:rPr>
        <w:t>reported a</w:t>
      </w:r>
      <w:r w:rsidR="00CD7B15" w:rsidRPr="008D0139">
        <w:rPr>
          <w:rFonts w:asciiTheme="minorHAnsi" w:hAnsiTheme="minorHAnsi"/>
          <w:snapToGrid w:val="0"/>
        </w:rPr>
        <w:t>s 7.1% (10/141</w:t>
      </w:r>
      <w:r w:rsidR="00703A31" w:rsidRPr="008D0139">
        <w:rPr>
          <w:rFonts w:asciiTheme="minorHAnsi" w:hAnsiTheme="minorHAnsi"/>
          <w:snapToGrid w:val="0"/>
        </w:rPr>
        <w:t>, none of which were Australian patients</w:t>
      </w:r>
      <w:r w:rsidR="00CD7B15" w:rsidRPr="008D0139">
        <w:rPr>
          <w:rFonts w:asciiTheme="minorHAnsi" w:hAnsiTheme="minorHAnsi"/>
          <w:snapToGrid w:val="0"/>
        </w:rPr>
        <w:t>)</w:t>
      </w:r>
      <w:r w:rsidR="00A86D9B" w:rsidRPr="008D0139">
        <w:rPr>
          <w:rFonts w:asciiTheme="minorHAnsi" w:hAnsiTheme="minorHAnsi"/>
          <w:snapToGrid w:val="0"/>
        </w:rPr>
        <w:t>, compared to 64.6% (84/130) in Asian countries.</w:t>
      </w:r>
    </w:p>
    <w:p w14:paraId="479FED56" w14:textId="319B8333" w:rsidR="004154DB" w:rsidRPr="008D0139" w:rsidRDefault="004154DB" w:rsidP="004154DB">
      <w:pPr>
        <w:numPr>
          <w:ilvl w:val="1"/>
          <w:numId w:val="1"/>
        </w:numPr>
        <w:spacing w:before="60" w:after="60"/>
        <w:rPr>
          <w:rFonts w:asciiTheme="minorHAnsi" w:hAnsiTheme="minorHAnsi"/>
          <w:snapToGrid w:val="0"/>
        </w:rPr>
      </w:pPr>
      <w:r w:rsidRPr="008D0139">
        <w:rPr>
          <w:rFonts w:asciiTheme="minorHAnsi" w:hAnsiTheme="minorHAnsi"/>
          <w:snapToGrid w:val="0"/>
        </w:rPr>
        <w:t xml:space="preserve">An interim efficacy analysis of STARGLO was planned when enrolment was completed and at approximately 70% of overall survival events (97 deaths). As the primary endpoint was met at the interim analysis (March 29, </w:t>
      </w:r>
      <w:proofErr w:type="gramStart"/>
      <w:r w:rsidRPr="008D0139">
        <w:rPr>
          <w:rFonts w:asciiTheme="minorHAnsi" w:hAnsiTheme="minorHAnsi"/>
          <w:snapToGrid w:val="0"/>
        </w:rPr>
        <w:t>2023</w:t>
      </w:r>
      <w:proofErr w:type="gramEnd"/>
      <w:r w:rsidRPr="008D0139">
        <w:rPr>
          <w:rFonts w:asciiTheme="minorHAnsi" w:hAnsiTheme="minorHAnsi"/>
          <w:snapToGrid w:val="0"/>
        </w:rPr>
        <w:t xml:space="preserve"> data cut), the interim analysis was considered the primary analysis. The data were subsequently made available to the </w:t>
      </w:r>
      <w:r w:rsidR="006E268A" w:rsidRPr="008D0139">
        <w:rPr>
          <w:rFonts w:asciiTheme="minorHAnsi" w:hAnsiTheme="minorHAnsi"/>
          <w:snapToGrid w:val="0"/>
        </w:rPr>
        <w:t>S</w:t>
      </w:r>
      <w:r w:rsidRPr="008D0139">
        <w:rPr>
          <w:rFonts w:asciiTheme="minorHAnsi" w:hAnsiTheme="minorHAnsi"/>
          <w:snapToGrid w:val="0"/>
        </w:rPr>
        <w:t>ponsor for the formal reporting of results at the recommendation of the Independent Data Monitoring Committee (IDMC). However, the Sponsor opted to continue the trial until all participants had completed treatment, to allow for data maturation (33 patients in the Glofit-GemOx arm and seven patients in the R-</w:t>
      </w:r>
      <w:proofErr w:type="spellStart"/>
      <w:r w:rsidRPr="008D0139">
        <w:rPr>
          <w:rFonts w:asciiTheme="minorHAnsi" w:hAnsiTheme="minorHAnsi"/>
          <w:snapToGrid w:val="0"/>
        </w:rPr>
        <w:t>GemOx</w:t>
      </w:r>
      <w:proofErr w:type="spellEnd"/>
      <w:r w:rsidRPr="008D0139">
        <w:rPr>
          <w:rFonts w:asciiTheme="minorHAnsi" w:hAnsiTheme="minorHAnsi"/>
          <w:snapToGrid w:val="0"/>
        </w:rPr>
        <w:t xml:space="preserve"> arm remained on active treatment at the interim/primary analysis). To minimise the introduction of bias, investigators and participants were not informed of the results of the interim/primary analysis and no aggregate analyses were undertaken on accumulating data. An updated analysis (16 February 2024 data cut) was undertaken after all patients had completed trial therapy.</w:t>
      </w:r>
    </w:p>
    <w:p w14:paraId="5D60CC6A" w14:textId="77777777" w:rsidR="004154DB" w:rsidRPr="008D0139" w:rsidRDefault="004154DB" w:rsidP="004154DB">
      <w:pPr>
        <w:numPr>
          <w:ilvl w:val="1"/>
          <w:numId w:val="1"/>
        </w:numPr>
        <w:spacing w:before="60" w:after="60"/>
        <w:rPr>
          <w:rFonts w:asciiTheme="minorHAnsi" w:hAnsiTheme="minorHAnsi"/>
          <w:snapToGrid w:val="0"/>
        </w:rPr>
      </w:pPr>
      <w:r w:rsidRPr="008D0139">
        <w:rPr>
          <w:rFonts w:asciiTheme="minorHAnsi" w:hAnsiTheme="minorHAnsi"/>
          <w:snapToGrid w:val="0"/>
        </w:rPr>
        <w:t>Overall, the risk of bias was low for the STARGLO ITT population for the primary analysis (clinical cut-off date 29 March 2023) and updated analysis (clinical cut-off date 16 February 2024). To minimise bias of the open-label design, an Independent Review Committee (IRC) was masked/blinded to treatment assignment when evaluating response-based endpoints. The submission stated that response assessments performed by investigators (INV) at the study sites were also blinded, but this statement could not be verified from the STARGLO Clinical Study Report or publications.</w:t>
      </w:r>
    </w:p>
    <w:p w14:paraId="658EE5FB" w14:textId="41A17C42" w:rsidR="004154DB" w:rsidRPr="008D0139" w:rsidRDefault="004154DB" w:rsidP="004154DB">
      <w:pPr>
        <w:numPr>
          <w:ilvl w:val="1"/>
          <w:numId w:val="1"/>
        </w:numPr>
        <w:spacing w:before="60" w:after="60"/>
        <w:rPr>
          <w:rFonts w:asciiTheme="minorHAnsi" w:hAnsiTheme="minorHAnsi"/>
          <w:snapToGrid w:val="0"/>
        </w:rPr>
      </w:pPr>
      <w:r w:rsidRPr="008D0139">
        <w:rPr>
          <w:rFonts w:asciiTheme="minorHAnsi" w:hAnsiTheme="minorHAnsi"/>
          <w:snapToGrid w:val="0"/>
        </w:rPr>
        <w:t>Randomisation appeared successful, however</w:t>
      </w:r>
      <w:r w:rsidR="00DE12BD" w:rsidRPr="008D0139">
        <w:rPr>
          <w:rFonts w:asciiTheme="minorHAnsi" w:hAnsiTheme="minorHAnsi"/>
          <w:snapToGrid w:val="0"/>
        </w:rPr>
        <w:t xml:space="preserve"> the ESC noted</w:t>
      </w:r>
      <w:r w:rsidRPr="008D0139">
        <w:rPr>
          <w:rFonts w:asciiTheme="minorHAnsi" w:hAnsiTheme="minorHAnsi"/>
          <w:snapToGrid w:val="0"/>
        </w:rPr>
        <w:t xml:space="preserve"> numerical differences were noted for Ann Arbor stages, bulky disease, ECOG PS, IPI risk factors and double-expressor lymphoma, which may have indicated overall better prognosis in Glofit-GemOx vs R-</w:t>
      </w:r>
      <w:r w:rsidR="004B1D0D" w:rsidRPr="008D0139">
        <w:rPr>
          <w:rFonts w:asciiTheme="minorHAnsi" w:hAnsiTheme="minorHAnsi"/>
          <w:snapToGrid w:val="0"/>
        </w:rPr>
        <w:t> </w:t>
      </w:r>
      <w:proofErr w:type="spellStart"/>
      <w:r w:rsidRPr="008D0139">
        <w:rPr>
          <w:rFonts w:asciiTheme="minorHAnsi" w:hAnsiTheme="minorHAnsi"/>
          <w:snapToGrid w:val="0"/>
        </w:rPr>
        <w:t>GemOx</w:t>
      </w:r>
      <w:proofErr w:type="spellEnd"/>
      <w:r w:rsidRPr="008D0139">
        <w:rPr>
          <w:rFonts w:asciiTheme="minorHAnsi" w:hAnsiTheme="minorHAnsi"/>
          <w:snapToGrid w:val="0"/>
        </w:rPr>
        <w:t>, as well as a difference in race (lower proportion were Asian; higher proportion were White in Glofit-GemOx). One of the two enrolment caps also had an imbalance: a lower proportion of patients in Glofit-GemOx demonstrated platinum-based refractory disease (17.5% vs 23.1%) which could also suggest the Glofit-GemOx group had a better prognosis.</w:t>
      </w:r>
    </w:p>
    <w:p w14:paraId="3619C878" w14:textId="6DBC225E" w:rsidR="004154DB" w:rsidRPr="008D0139" w:rsidRDefault="004154DB" w:rsidP="004154DB">
      <w:pPr>
        <w:numPr>
          <w:ilvl w:val="1"/>
          <w:numId w:val="1"/>
        </w:numPr>
        <w:spacing w:before="60" w:after="60"/>
        <w:rPr>
          <w:rFonts w:asciiTheme="minorHAnsi" w:hAnsiTheme="minorHAnsi"/>
          <w:snapToGrid w:val="0"/>
        </w:rPr>
      </w:pPr>
      <w:r w:rsidRPr="008D0139">
        <w:rPr>
          <w:rFonts w:asciiTheme="minorHAnsi" w:hAnsiTheme="minorHAnsi"/>
          <w:snapToGrid w:val="0"/>
        </w:rPr>
        <w:t xml:space="preserve">The primary outcome in STARGLO was </w:t>
      </w:r>
      <w:r w:rsidR="008E0893" w:rsidRPr="008D0139">
        <w:rPr>
          <w:rFonts w:asciiTheme="minorHAnsi" w:hAnsiTheme="minorHAnsi"/>
          <w:snapToGrid w:val="0"/>
        </w:rPr>
        <w:t>overall survival (</w:t>
      </w:r>
      <w:r w:rsidRPr="008D0139">
        <w:rPr>
          <w:rFonts w:asciiTheme="minorHAnsi" w:hAnsiTheme="minorHAnsi"/>
          <w:snapToGrid w:val="0"/>
        </w:rPr>
        <w:t>OS</w:t>
      </w:r>
      <w:r w:rsidR="008E0893" w:rsidRPr="008D0139">
        <w:rPr>
          <w:rFonts w:asciiTheme="minorHAnsi" w:hAnsiTheme="minorHAnsi"/>
          <w:snapToGrid w:val="0"/>
        </w:rPr>
        <w:t>)</w:t>
      </w:r>
      <w:r w:rsidRPr="008D0139">
        <w:rPr>
          <w:rFonts w:asciiTheme="minorHAnsi" w:hAnsiTheme="minorHAnsi"/>
          <w:snapToGrid w:val="0"/>
        </w:rPr>
        <w:t xml:space="preserve">. Key secondary endpoints were IRC and INV assessed: progression-free survival (PFS), complete response (CR), duration of complete response (DOCR), overall response rate (ORR), duration of response (DOR) and, patient-reported time to deterioration in physical functioning and in lymphoma symptoms using the EORTC QLQ-C30 and FACT-Lym </w:t>
      </w:r>
      <w:proofErr w:type="spellStart"/>
      <w:r w:rsidRPr="008D0139">
        <w:rPr>
          <w:rFonts w:asciiTheme="minorHAnsi" w:hAnsiTheme="minorHAnsi"/>
          <w:snapToGrid w:val="0"/>
        </w:rPr>
        <w:t>LymS</w:t>
      </w:r>
      <w:proofErr w:type="spellEnd"/>
      <w:r w:rsidRPr="008D0139">
        <w:rPr>
          <w:rFonts w:asciiTheme="minorHAnsi" w:hAnsiTheme="minorHAnsi"/>
          <w:snapToGrid w:val="0"/>
        </w:rPr>
        <w:t>, respectively.</w:t>
      </w:r>
    </w:p>
    <w:p w14:paraId="4099023E" w14:textId="77777777" w:rsidR="004154DB" w:rsidRPr="00C9624D" w:rsidRDefault="004154DB" w:rsidP="004154DB">
      <w:pPr>
        <w:pStyle w:val="4-SubsectionHeading"/>
      </w:pPr>
      <w:bookmarkStart w:id="42" w:name="_Toc198716598"/>
      <w:r w:rsidRPr="00C9624D">
        <w:t>Comparative effectiveness</w:t>
      </w:r>
      <w:bookmarkEnd w:id="37"/>
      <w:bookmarkEnd w:id="38"/>
      <w:bookmarkEnd w:id="42"/>
    </w:p>
    <w:p w14:paraId="48F7DB84" w14:textId="15302673" w:rsidR="004154DB" w:rsidRPr="008D0139" w:rsidRDefault="004154DB" w:rsidP="004A1907">
      <w:pPr>
        <w:numPr>
          <w:ilvl w:val="1"/>
          <w:numId w:val="1"/>
        </w:numPr>
        <w:spacing w:before="60" w:after="60"/>
        <w:rPr>
          <w:rFonts w:asciiTheme="minorHAnsi" w:hAnsiTheme="minorHAnsi"/>
          <w:iCs/>
          <w:snapToGrid w:val="0"/>
        </w:rPr>
      </w:pPr>
      <w:r w:rsidRPr="008D0139">
        <w:rPr>
          <w:rFonts w:asciiTheme="minorHAnsi" w:hAnsiTheme="minorHAnsi"/>
          <w:iCs/>
          <w:snapToGrid w:val="0"/>
        </w:rPr>
        <w:fldChar w:fldCharType="begin" w:fldLock="1"/>
      </w:r>
      <w:r w:rsidRPr="008D0139">
        <w:rPr>
          <w:rFonts w:asciiTheme="minorHAnsi" w:hAnsiTheme="minorHAnsi"/>
          <w:iCs/>
          <w:snapToGrid w:val="0"/>
        </w:rPr>
        <w:instrText xml:space="preserve"> REF _Ref196598764 \h </w:instrText>
      </w:r>
      <w:r w:rsidR="004A1907" w:rsidRPr="008D0139">
        <w:rPr>
          <w:rFonts w:asciiTheme="minorHAnsi" w:hAnsiTheme="minorHAnsi"/>
          <w:iCs/>
          <w:snapToGrid w:val="0"/>
        </w:rPr>
        <w:instrText xml:space="preserve"> \* MERGEFORMAT </w:instrText>
      </w:r>
      <w:r w:rsidRPr="008D0139">
        <w:rPr>
          <w:rFonts w:asciiTheme="minorHAnsi" w:hAnsiTheme="minorHAnsi"/>
          <w:iCs/>
          <w:snapToGrid w:val="0"/>
        </w:rPr>
      </w:r>
      <w:r w:rsidRPr="008D0139">
        <w:rPr>
          <w:rFonts w:asciiTheme="minorHAnsi" w:hAnsiTheme="minorHAnsi"/>
          <w:iCs/>
          <w:snapToGrid w:val="0"/>
        </w:rPr>
        <w:fldChar w:fldCharType="separate"/>
      </w:r>
      <w:r w:rsidR="003C21E7" w:rsidRPr="003C21E7">
        <w:rPr>
          <w:rFonts w:asciiTheme="minorHAnsi" w:hAnsiTheme="minorHAnsi"/>
          <w:iCs/>
          <w:snapToGrid w:val="0"/>
        </w:rPr>
        <w:t>Table 4</w:t>
      </w:r>
      <w:r w:rsidRPr="008D0139">
        <w:rPr>
          <w:rFonts w:asciiTheme="minorHAnsi" w:hAnsiTheme="minorHAnsi"/>
          <w:iCs/>
          <w:snapToGrid w:val="0"/>
        </w:rPr>
        <w:fldChar w:fldCharType="end"/>
      </w:r>
      <w:r w:rsidRPr="008D0139">
        <w:rPr>
          <w:rFonts w:asciiTheme="minorHAnsi" w:hAnsiTheme="minorHAnsi"/>
          <w:iCs/>
          <w:snapToGrid w:val="0"/>
        </w:rPr>
        <w:t xml:space="preserve"> and </w:t>
      </w:r>
      <w:r w:rsidRPr="008D0139">
        <w:rPr>
          <w:rFonts w:asciiTheme="minorHAnsi" w:hAnsiTheme="minorHAnsi"/>
          <w:iCs/>
          <w:snapToGrid w:val="0"/>
        </w:rPr>
        <w:fldChar w:fldCharType="begin" w:fldLock="1"/>
      </w:r>
      <w:r w:rsidRPr="008D0139">
        <w:rPr>
          <w:rFonts w:asciiTheme="minorHAnsi" w:hAnsiTheme="minorHAnsi"/>
          <w:iCs/>
          <w:snapToGrid w:val="0"/>
        </w:rPr>
        <w:instrText xml:space="preserve"> REF _Ref196598954 \h </w:instrText>
      </w:r>
      <w:r w:rsidR="004A1907" w:rsidRPr="008D0139">
        <w:rPr>
          <w:rFonts w:asciiTheme="minorHAnsi" w:hAnsiTheme="minorHAnsi"/>
          <w:iCs/>
          <w:snapToGrid w:val="0"/>
        </w:rPr>
        <w:instrText xml:space="preserve"> \* MERGEFORMAT </w:instrText>
      </w:r>
      <w:r w:rsidRPr="008D0139">
        <w:rPr>
          <w:rFonts w:asciiTheme="minorHAnsi" w:hAnsiTheme="minorHAnsi"/>
          <w:iCs/>
          <w:snapToGrid w:val="0"/>
        </w:rPr>
      </w:r>
      <w:r w:rsidRPr="008D0139">
        <w:rPr>
          <w:rFonts w:asciiTheme="minorHAnsi" w:hAnsiTheme="minorHAnsi"/>
          <w:iCs/>
          <w:snapToGrid w:val="0"/>
        </w:rPr>
        <w:fldChar w:fldCharType="separate"/>
      </w:r>
      <w:r w:rsidR="003C21E7" w:rsidRPr="003C21E7">
        <w:rPr>
          <w:rFonts w:asciiTheme="minorHAnsi" w:hAnsiTheme="minorHAnsi"/>
          <w:iCs/>
          <w:snapToGrid w:val="0"/>
        </w:rPr>
        <w:t>Figure 2</w:t>
      </w:r>
      <w:r w:rsidRPr="008D0139">
        <w:rPr>
          <w:rFonts w:asciiTheme="minorHAnsi" w:hAnsiTheme="minorHAnsi"/>
          <w:iCs/>
          <w:snapToGrid w:val="0"/>
        </w:rPr>
        <w:fldChar w:fldCharType="end"/>
      </w:r>
      <w:r w:rsidRPr="008D0139">
        <w:rPr>
          <w:rFonts w:asciiTheme="minorHAnsi" w:hAnsiTheme="minorHAnsi"/>
          <w:iCs/>
          <w:snapToGrid w:val="0"/>
        </w:rPr>
        <w:t xml:space="preserve"> summarises the results of OS</w:t>
      </w:r>
      <w:r w:rsidR="004D01DC" w:rsidRPr="008D0139">
        <w:rPr>
          <w:rFonts w:asciiTheme="minorHAnsi" w:hAnsiTheme="minorHAnsi"/>
          <w:iCs/>
          <w:snapToGrid w:val="0"/>
        </w:rPr>
        <w:t xml:space="preserve"> </w:t>
      </w:r>
      <w:r w:rsidRPr="008D0139">
        <w:rPr>
          <w:rFonts w:asciiTheme="minorHAnsi" w:hAnsiTheme="minorHAnsi"/>
          <w:iCs/>
          <w:snapToGrid w:val="0"/>
        </w:rPr>
        <w:t>and PFS in STARGLO for the ITT population at the primary analysis (median follow-up 11.3 months) and the updated analysis (median follow-up 20.7 months).</w:t>
      </w:r>
    </w:p>
    <w:p w14:paraId="67AD2C5F" w14:textId="7F5DF16D" w:rsidR="004154DB" w:rsidRPr="008D0139" w:rsidRDefault="004154DB" w:rsidP="004154DB">
      <w:pPr>
        <w:pStyle w:val="Caption"/>
        <w:rPr>
          <w:rStyle w:val="CommentReference"/>
          <w:b/>
          <w:iCs/>
          <w:szCs w:val="24"/>
        </w:rPr>
      </w:pPr>
      <w:bookmarkStart w:id="43" w:name="_Ref196598764"/>
      <w:r w:rsidRPr="008D0139">
        <w:rPr>
          <w:iCs/>
        </w:rPr>
        <w:t xml:space="preserve">Table </w:t>
      </w:r>
      <w:r w:rsidR="00F257F5" w:rsidRPr="008D0139">
        <w:rPr>
          <w:iCs/>
        </w:rPr>
        <w:fldChar w:fldCharType="begin" w:fldLock="1"/>
      </w:r>
      <w:r w:rsidR="00F257F5" w:rsidRPr="008D0139">
        <w:rPr>
          <w:iCs/>
        </w:rPr>
        <w:instrText xml:space="preserve"> SEQ Table \* ARABIC </w:instrText>
      </w:r>
      <w:r w:rsidR="00F257F5" w:rsidRPr="008D0139">
        <w:rPr>
          <w:iCs/>
        </w:rPr>
        <w:fldChar w:fldCharType="separate"/>
      </w:r>
      <w:r w:rsidR="003C21E7">
        <w:rPr>
          <w:iCs/>
          <w:noProof/>
        </w:rPr>
        <w:t>4</w:t>
      </w:r>
      <w:r w:rsidR="00F257F5" w:rsidRPr="008D0139">
        <w:rPr>
          <w:iCs/>
          <w:noProof/>
        </w:rPr>
        <w:fldChar w:fldCharType="end"/>
      </w:r>
      <w:bookmarkEnd w:id="43"/>
      <w:r w:rsidRPr="008D0139">
        <w:rPr>
          <w:iCs/>
        </w:rPr>
        <w:t>:</w:t>
      </w:r>
      <w:r w:rsidRPr="008D0139">
        <w:rPr>
          <w:rStyle w:val="CommentReference"/>
          <w:b/>
          <w:iCs/>
          <w:szCs w:val="24"/>
        </w:rPr>
        <w:t xml:space="preserve"> Overall survival and progression-free survival results in STARGLO (ITT)</w:t>
      </w:r>
    </w:p>
    <w:tbl>
      <w:tblPr>
        <w:tblStyle w:val="PBAClayout"/>
        <w:tblW w:w="4973" w:type="pct"/>
        <w:tblLook w:val="04A0" w:firstRow="1" w:lastRow="0" w:firstColumn="1" w:lastColumn="0" w:noHBand="0" w:noVBand="1"/>
        <w:tblCaption w:val="Table 4: Overall survival and progression-free survival results in STARGLO (ITT)"/>
      </w:tblPr>
      <w:tblGrid>
        <w:gridCol w:w="1697"/>
        <w:gridCol w:w="1840"/>
        <w:gridCol w:w="1702"/>
        <w:gridCol w:w="1813"/>
        <w:gridCol w:w="1916"/>
      </w:tblGrid>
      <w:tr w:rsidR="004154DB" w:rsidRPr="008D0139" w14:paraId="49A91370" w14:textId="77777777" w:rsidTr="00F274C6">
        <w:tc>
          <w:tcPr>
            <w:tcW w:w="946" w:type="pct"/>
            <w:vMerge w:val="restart"/>
          </w:tcPr>
          <w:p w14:paraId="798C150C" w14:textId="77777777" w:rsidR="004154DB" w:rsidRPr="008D0139" w:rsidRDefault="004154DB" w:rsidP="00F274C6">
            <w:pPr>
              <w:pStyle w:val="In-tableHeading"/>
              <w:keepNext w:val="0"/>
              <w:widowControl w:val="0"/>
              <w:rPr>
                <w:iCs/>
              </w:rPr>
            </w:pPr>
            <w:bookmarkStart w:id="44" w:name="_Hlk198207873"/>
            <w:r w:rsidRPr="008D0139">
              <w:rPr>
                <w:iCs/>
              </w:rPr>
              <w:t>Outcome</w:t>
            </w:r>
          </w:p>
        </w:tc>
        <w:tc>
          <w:tcPr>
            <w:tcW w:w="1975" w:type="pct"/>
            <w:gridSpan w:val="2"/>
          </w:tcPr>
          <w:p w14:paraId="0E1053B7" w14:textId="77777777" w:rsidR="004154DB" w:rsidRPr="008D0139" w:rsidRDefault="004154DB" w:rsidP="00F274C6">
            <w:pPr>
              <w:pStyle w:val="In-tableHeading"/>
              <w:keepNext w:val="0"/>
              <w:widowControl w:val="0"/>
              <w:jc w:val="center"/>
              <w:rPr>
                <w:iCs/>
              </w:rPr>
            </w:pPr>
            <w:r w:rsidRPr="008D0139">
              <w:rPr>
                <w:iCs/>
              </w:rPr>
              <w:t xml:space="preserve">Primary </w:t>
            </w:r>
            <w:proofErr w:type="gramStart"/>
            <w:r w:rsidRPr="008D0139">
              <w:rPr>
                <w:iCs/>
              </w:rPr>
              <w:t>analysis;</w:t>
            </w:r>
            <w:proofErr w:type="gramEnd"/>
          </w:p>
          <w:p w14:paraId="23684BC1" w14:textId="77777777" w:rsidR="004154DB" w:rsidRPr="008D0139" w:rsidRDefault="004154DB" w:rsidP="00F274C6">
            <w:pPr>
              <w:pStyle w:val="In-tableHeading"/>
              <w:keepNext w:val="0"/>
              <w:widowControl w:val="0"/>
              <w:jc w:val="center"/>
              <w:rPr>
                <w:iCs/>
              </w:rPr>
            </w:pPr>
            <w:r w:rsidRPr="008D0139">
              <w:rPr>
                <w:iCs/>
              </w:rPr>
              <w:t>Clinical data cut-off: March 29, 2023</w:t>
            </w:r>
          </w:p>
        </w:tc>
        <w:tc>
          <w:tcPr>
            <w:tcW w:w="2079" w:type="pct"/>
            <w:gridSpan w:val="2"/>
          </w:tcPr>
          <w:p w14:paraId="732EEE65" w14:textId="77777777" w:rsidR="004154DB" w:rsidRPr="008D0139" w:rsidRDefault="004154DB" w:rsidP="00F274C6">
            <w:pPr>
              <w:pStyle w:val="In-tableHeading"/>
              <w:keepNext w:val="0"/>
              <w:widowControl w:val="0"/>
              <w:jc w:val="center"/>
              <w:rPr>
                <w:iCs/>
              </w:rPr>
            </w:pPr>
            <w:r w:rsidRPr="008D0139">
              <w:rPr>
                <w:iCs/>
              </w:rPr>
              <w:t xml:space="preserve">Updated </w:t>
            </w:r>
            <w:proofErr w:type="gramStart"/>
            <w:r w:rsidRPr="008D0139">
              <w:rPr>
                <w:iCs/>
              </w:rPr>
              <w:t>analysis;</w:t>
            </w:r>
            <w:proofErr w:type="gramEnd"/>
          </w:p>
          <w:p w14:paraId="6A7C9D3D" w14:textId="77777777" w:rsidR="004154DB" w:rsidRPr="008D0139" w:rsidRDefault="004154DB" w:rsidP="00F274C6">
            <w:pPr>
              <w:pStyle w:val="In-tableHeading"/>
              <w:keepNext w:val="0"/>
              <w:widowControl w:val="0"/>
              <w:jc w:val="center"/>
              <w:rPr>
                <w:iCs/>
              </w:rPr>
            </w:pPr>
            <w:r w:rsidRPr="008D0139">
              <w:rPr>
                <w:iCs/>
              </w:rPr>
              <w:t>Clinical data cut-off: February 16, 2024</w:t>
            </w:r>
          </w:p>
        </w:tc>
      </w:tr>
      <w:tr w:rsidR="004154DB" w:rsidRPr="008D0139" w14:paraId="28C5A12A" w14:textId="77777777" w:rsidTr="00F274C6">
        <w:tc>
          <w:tcPr>
            <w:tcW w:w="946" w:type="pct"/>
            <w:vMerge/>
          </w:tcPr>
          <w:p w14:paraId="765B8733" w14:textId="77777777" w:rsidR="004154DB" w:rsidRPr="008D0139" w:rsidRDefault="004154DB" w:rsidP="00F274C6">
            <w:pPr>
              <w:pStyle w:val="In-tableHeading"/>
              <w:keepNext w:val="0"/>
              <w:widowControl w:val="0"/>
              <w:rPr>
                <w:iCs/>
              </w:rPr>
            </w:pPr>
          </w:p>
        </w:tc>
        <w:tc>
          <w:tcPr>
            <w:tcW w:w="1026" w:type="pct"/>
          </w:tcPr>
          <w:p w14:paraId="305EB5BA" w14:textId="77777777" w:rsidR="004154DB" w:rsidRPr="008D0139" w:rsidRDefault="004154DB" w:rsidP="00F274C6">
            <w:pPr>
              <w:pStyle w:val="In-tableHeading"/>
              <w:keepNext w:val="0"/>
              <w:widowControl w:val="0"/>
              <w:jc w:val="center"/>
              <w:rPr>
                <w:iCs/>
              </w:rPr>
            </w:pPr>
            <w:r w:rsidRPr="008D0139">
              <w:rPr>
                <w:iCs/>
              </w:rPr>
              <w:t>Glofit-GemOx</w:t>
            </w:r>
          </w:p>
        </w:tc>
        <w:tc>
          <w:tcPr>
            <w:tcW w:w="949" w:type="pct"/>
          </w:tcPr>
          <w:p w14:paraId="3C6E6056" w14:textId="77777777" w:rsidR="004154DB" w:rsidRPr="008D0139" w:rsidRDefault="004154DB" w:rsidP="00F274C6">
            <w:pPr>
              <w:pStyle w:val="In-tableHeading"/>
              <w:keepNext w:val="0"/>
              <w:widowControl w:val="0"/>
              <w:jc w:val="center"/>
              <w:rPr>
                <w:iCs/>
              </w:rPr>
            </w:pPr>
            <w:r w:rsidRPr="008D0139">
              <w:rPr>
                <w:iCs/>
              </w:rPr>
              <w:t>R-</w:t>
            </w:r>
            <w:proofErr w:type="spellStart"/>
            <w:r w:rsidRPr="008D0139">
              <w:rPr>
                <w:iCs/>
              </w:rPr>
              <w:t>GemOx</w:t>
            </w:r>
            <w:proofErr w:type="spellEnd"/>
          </w:p>
        </w:tc>
        <w:tc>
          <w:tcPr>
            <w:tcW w:w="1011" w:type="pct"/>
          </w:tcPr>
          <w:p w14:paraId="71728CD2" w14:textId="77777777" w:rsidR="004154DB" w:rsidRPr="008D0139" w:rsidRDefault="004154DB" w:rsidP="00F274C6">
            <w:pPr>
              <w:pStyle w:val="In-tableHeading"/>
              <w:keepNext w:val="0"/>
              <w:widowControl w:val="0"/>
              <w:jc w:val="center"/>
              <w:rPr>
                <w:iCs/>
              </w:rPr>
            </w:pPr>
            <w:r w:rsidRPr="008D0139">
              <w:rPr>
                <w:iCs/>
              </w:rPr>
              <w:t>Glofit-GemOx</w:t>
            </w:r>
          </w:p>
        </w:tc>
        <w:tc>
          <w:tcPr>
            <w:tcW w:w="1068" w:type="pct"/>
          </w:tcPr>
          <w:p w14:paraId="52913C5D" w14:textId="77777777" w:rsidR="004154DB" w:rsidRPr="008D0139" w:rsidRDefault="004154DB" w:rsidP="00F274C6">
            <w:pPr>
              <w:pStyle w:val="In-tableHeading"/>
              <w:keepNext w:val="0"/>
              <w:widowControl w:val="0"/>
              <w:jc w:val="center"/>
              <w:rPr>
                <w:iCs/>
              </w:rPr>
            </w:pPr>
            <w:r w:rsidRPr="008D0139">
              <w:rPr>
                <w:iCs/>
              </w:rPr>
              <w:t>R-</w:t>
            </w:r>
            <w:proofErr w:type="spellStart"/>
            <w:r w:rsidRPr="008D0139">
              <w:rPr>
                <w:iCs/>
              </w:rPr>
              <w:t>GemOx</w:t>
            </w:r>
            <w:proofErr w:type="spellEnd"/>
          </w:p>
        </w:tc>
      </w:tr>
      <w:tr w:rsidR="004154DB" w:rsidRPr="008D0139" w14:paraId="5129DAA9" w14:textId="77777777" w:rsidTr="00F274C6">
        <w:tc>
          <w:tcPr>
            <w:tcW w:w="5000" w:type="pct"/>
            <w:gridSpan w:val="5"/>
            <w:tcBorders>
              <w:bottom w:val="single" w:sz="4" w:space="0" w:color="auto"/>
            </w:tcBorders>
            <w:vAlign w:val="top"/>
          </w:tcPr>
          <w:p w14:paraId="40C498E2" w14:textId="77777777" w:rsidR="004154DB" w:rsidRPr="008D0139" w:rsidRDefault="004154DB" w:rsidP="00F274C6">
            <w:pPr>
              <w:pStyle w:val="TableText0"/>
              <w:keepNext w:val="0"/>
              <w:widowControl w:val="0"/>
              <w:rPr>
                <w:iCs/>
              </w:rPr>
            </w:pPr>
            <w:r w:rsidRPr="008D0139">
              <w:rPr>
                <w:b/>
                <w:iCs/>
              </w:rPr>
              <w:t>Overall survival (OS)</w:t>
            </w:r>
            <w:r w:rsidRPr="008D0139">
              <w:rPr>
                <w:b/>
                <w:iCs/>
                <w:vertAlign w:val="superscript"/>
              </w:rPr>
              <w:t>a</w:t>
            </w:r>
          </w:p>
        </w:tc>
      </w:tr>
      <w:tr w:rsidR="004154DB" w:rsidRPr="008D0139" w14:paraId="550F1B10" w14:textId="77777777" w:rsidTr="00F274C6">
        <w:tc>
          <w:tcPr>
            <w:tcW w:w="946" w:type="pct"/>
            <w:tcBorders>
              <w:bottom w:val="nil"/>
            </w:tcBorders>
            <w:vAlign w:val="top"/>
          </w:tcPr>
          <w:p w14:paraId="4DB666F3" w14:textId="77777777" w:rsidR="004154DB" w:rsidRPr="008D0139" w:rsidRDefault="004154DB" w:rsidP="00F274C6">
            <w:pPr>
              <w:pStyle w:val="TableText0"/>
              <w:keepNext w:val="0"/>
              <w:widowControl w:val="0"/>
              <w:rPr>
                <w:iCs/>
              </w:rPr>
            </w:pPr>
            <w:r w:rsidRPr="008D0139">
              <w:rPr>
                <w:iCs/>
              </w:rPr>
              <w:t>Events n/N (%)</w:t>
            </w:r>
          </w:p>
        </w:tc>
        <w:tc>
          <w:tcPr>
            <w:tcW w:w="1026" w:type="pct"/>
            <w:tcBorders>
              <w:bottom w:val="nil"/>
            </w:tcBorders>
          </w:tcPr>
          <w:p w14:paraId="69986525" w14:textId="77777777" w:rsidR="004154DB" w:rsidRPr="008D0139" w:rsidRDefault="004154DB" w:rsidP="00F274C6">
            <w:pPr>
              <w:pStyle w:val="TableText0"/>
              <w:keepNext w:val="0"/>
              <w:widowControl w:val="0"/>
              <w:jc w:val="center"/>
              <w:rPr>
                <w:iCs/>
              </w:rPr>
            </w:pPr>
            <w:r w:rsidRPr="008D0139">
              <w:rPr>
                <w:iCs/>
              </w:rPr>
              <w:t>61/183 (33.3)</w:t>
            </w:r>
          </w:p>
        </w:tc>
        <w:tc>
          <w:tcPr>
            <w:tcW w:w="949" w:type="pct"/>
            <w:tcBorders>
              <w:bottom w:val="nil"/>
            </w:tcBorders>
          </w:tcPr>
          <w:p w14:paraId="166D39B9" w14:textId="77777777" w:rsidR="004154DB" w:rsidRPr="008D0139" w:rsidRDefault="004154DB" w:rsidP="00F274C6">
            <w:pPr>
              <w:pStyle w:val="TableText0"/>
              <w:keepNext w:val="0"/>
              <w:widowControl w:val="0"/>
              <w:jc w:val="center"/>
              <w:rPr>
                <w:iCs/>
              </w:rPr>
            </w:pPr>
            <w:r w:rsidRPr="008D0139">
              <w:rPr>
                <w:iCs/>
              </w:rPr>
              <w:t>40/91 (44.0)</w:t>
            </w:r>
          </w:p>
        </w:tc>
        <w:tc>
          <w:tcPr>
            <w:tcW w:w="1011" w:type="pct"/>
            <w:tcBorders>
              <w:bottom w:val="nil"/>
            </w:tcBorders>
          </w:tcPr>
          <w:p w14:paraId="774C3CA7" w14:textId="77777777" w:rsidR="004154DB" w:rsidRPr="008D0139" w:rsidRDefault="004154DB" w:rsidP="00F274C6">
            <w:pPr>
              <w:pStyle w:val="TableText0"/>
              <w:keepNext w:val="0"/>
              <w:widowControl w:val="0"/>
              <w:jc w:val="center"/>
              <w:rPr>
                <w:iCs/>
              </w:rPr>
            </w:pPr>
            <w:r w:rsidRPr="008D0139">
              <w:rPr>
                <w:iCs/>
              </w:rPr>
              <w:t>80/183 (43.7)</w:t>
            </w:r>
          </w:p>
        </w:tc>
        <w:tc>
          <w:tcPr>
            <w:tcW w:w="1068" w:type="pct"/>
            <w:tcBorders>
              <w:bottom w:val="nil"/>
            </w:tcBorders>
          </w:tcPr>
          <w:p w14:paraId="42BFD9B0" w14:textId="77777777" w:rsidR="004154DB" w:rsidRPr="008D0139" w:rsidRDefault="004154DB" w:rsidP="00F274C6">
            <w:pPr>
              <w:pStyle w:val="TableText0"/>
              <w:keepNext w:val="0"/>
              <w:widowControl w:val="0"/>
              <w:jc w:val="center"/>
              <w:rPr>
                <w:iCs/>
              </w:rPr>
            </w:pPr>
            <w:r w:rsidRPr="008D0139">
              <w:rPr>
                <w:iCs/>
              </w:rPr>
              <w:t>52/91 (57.1)</w:t>
            </w:r>
          </w:p>
        </w:tc>
      </w:tr>
      <w:tr w:rsidR="004154DB" w:rsidRPr="008D0139" w14:paraId="50FB4302" w14:textId="77777777" w:rsidTr="00F274C6">
        <w:tc>
          <w:tcPr>
            <w:tcW w:w="946" w:type="pct"/>
            <w:tcBorders>
              <w:top w:val="nil"/>
              <w:bottom w:val="nil"/>
            </w:tcBorders>
            <w:vAlign w:val="top"/>
          </w:tcPr>
          <w:p w14:paraId="3F8E24C1" w14:textId="77777777" w:rsidR="004154DB" w:rsidRPr="008D0139" w:rsidRDefault="004154DB" w:rsidP="00F274C6">
            <w:pPr>
              <w:pStyle w:val="TableText0"/>
              <w:keepNext w:val="0"/>
              <w:widowControl w:val="0"/>
              <w:rPr>
                <w:iCs/>
              </w:rPr>
            </w:pPr>
            <w:r w:rsidRPr="008D0139">
              <w:rPr>
                <w:iCs/>
              </w:rPr>
              <w:t>Median TTE (95% CI)</w:t>
            </w:r>
          </w:p>
        </w:tc>
        <w:tc>
          <w:tcPr>
            <w:tcW w:w="1026" w:type="pct"/>
            <w:tcBorders>
              <w:top w:val="nil"/>
              <w:bottom w:val="single" w:sz="4" w:space="0" w:color="auto"/>
            </w:tcBorders>
            <w:vAlign w:val="top"/>
          </w:tcPr>
          <w:p w14:paraId="4B24E830" w14:textId="77777777" w:rsidR="004154DB" w:rsidRPr="008D0139" w:rsidRDefault="004154DB" w:rsidP="00F274C6">
            <w:pPr>
              <w:pStyle w:val="TableText0"/>
              <w:keepNext w:val="0"/>
              <w:widowControl w:val="0"/>
              <w:jc w:val="center"/>
              <w:rPr>
                <w:iCs/>
              </w:rPr>
            </w:pPr>
            <w:r w:rsidRPr="008D0139">
              <w:rPr>
                <w:iCs/>
              </w:rPr>
              <w:t>NE (13.8, NE)</w:t>
            </w:r>
          </w:p>
        </w:tc>
        <w:tc>
          <w:tcPr>
            <w:tcW w:w="949" w:type="pct"/>
            <w:tcBorders>
              <w:top w:val="nil"/>
              <w:bottom w:val="single" w:sz="4" w:space="0" w:color="auto"/>
            </w:tcBorders>
            <w:vAlign w:val="top"/>
          </w:tcPr>
          <w:p w14:paraId="61EC5EBD" w14:textId="77777777" w:rsidR="004154DB" w:rsidRPr="008D0139" w:rsidRDefault="004154DB" w:rsidP="00F274C6">
            <w:pPr>
              <w:pStyle w:val="TableText0"/>
              <w:keepNext w:val="0"/>
              <w:widowControl w:val="0"/>
              <w:jc w:val="center"/>
              <w:rPr>
                <w:iCs/>
              </w:rPr>
            </w:pPr>
            <w:r w:rsidRPr="008D0139">
              <w:rPr>
                <w:iCs/>
              </w:rPr>
              <w:t>9.0 (7.3, 14.4)</w:t>
            </w:r>
          </w:p>
        </w:tc>
        <w:tc>
          <w:tcPr>
            <w:tcW w:w="1011" w:type="pct"/>
            <w:tcBorders>
              <w:top w:val="nil"/>
              <w:bottom w:val="single" w:sz="4" w:space="0" w:color="auto"/>
            </w:tcBorders>
            <w:vAlign w:val="top"/>
          </w:tcPr>
          <w:p w14:paraId="43FB68AE" w14:textId="77777777" w:rsidR="004154DB" w:rsidRPr="008D0139" w:rsidRDefault="004154DB" w:rsidP="00F274C6">
            <w:pPr>
              <w:pStyle w:val="TableText0"/>
              <w:keepNext w:val="0"/>
              <w:widowControl w:val="0"/>
              <w:jc w:val="center"/>
              <w:rPr>
                <w:iCs/>
              </w:rPr>
            </w:pPr>
            <w:r w:rsidRPr="008D0139">
              <w:rPr>
                <w:iCs/>
              </w:rPr>
              <w:t>25.5 (18.3, NE)</w:t>
            </w:r>
          </w:p>
        </w:tc>
        <w:tc>
          <w:tcPr>
            <w:tcW w:w="1068" w:type="pct"/>
            <w:tcBorders>
              <w:top w:val="nil"/>
              <w:bottom w:val="single" w:sz="4" w:space="0" w:color="auto"/>
            </w:tcBorders>
            <w:vAlign w:val="top"/>
          </w:tcPr>
          <w:p w14:paraId="1EEBA3E5" w14:textId="77777777" w:rsidR="004154DB" w:rsidRPr="008D0139" w:rsidRDefault="004154DB" w:rsidP="00F274C6">
            <w:pPr>
              <w:pStyle w:val="TableText0"/>
              <w:keepNext w:val="0"/>
              <w:widowControl w:val="0"/>
              <w:jc w:val="center"/>
              <w:rPr>
                <w:iCs/>
              </w:rPr>
            </w:pPr>
            <w:r w:rsidRPr="008D0139">
              <w:rPr>
                <w:iCs/>
              </w:rPr>
              <w:t>12.9 (7.9, 18.5)</w:t>
            </w:r>
          </w:p>
        </w:tc>
      </w:tr>
      <w:tr w:rsidR="004154DB" w:rsidRPr="008D0139" w14:paraId="2EE4449E" w14:textId="77777777" w:rsidTr="00F274C6">
        <w:tc>
          <w:tcPr>
            <w:tcW w:w="946" w:type="pct"/>
            <w:tcBorders>
              <w:top w:val="nil"/>
            </w:tcBorders>
            <w:vAlign w:val="top"/>
          </w:tcPr>
          <w:p w14:paraId="5246941E" w14:textId="77777777" w:rsidR="004154DB" w:rsidRPr="008D0139" w:rsidRDefault="004154DB" w:rsidP="00F274C6">
            <w:pPr>
              <w:pStyle w:val="TableText0"/>
              <w:keepNext w:val="0"/>
              <w:widowControl w:val="0"/>
              <w:rPr>
                <w:iCs/>
              </w:rPr>
            </w:pPr>
            <w:r w:rsidRPr="008D0139">
              <w:rPr>
                <w:iCs/>
              </w:rPr>
              <w:t>HR (95%)</w:t>
            </w:r>
          </w:p>
        </w:tc>
        <w:tc>
          <w:tcPr>
            <w:tcW w:w="1975" w:type="pct"/>
            <w:gridSpan w:val="2"/>
            <w:tcBorders>
              <w:top w:val="single" w:sz="4" w:space="0" w:color="auto"/>
            </w:tcBorders>
          </w:tcPr>
          <w:p w14:paraId="78AD2E6B" w14:textId="77777777" w:rsidR="004154DB" w:rsidRPr="008D0139" w:rsidRDefault="004154DB" w:rsidP="00F274C6">
            <w:pPr>
              <w:pStyle w:val="TableText0"/>
              <w:keepNext w:val="0"/>
              <w:widowControl w:val="0"/>
              <w:jc w:val="center"/>
              <w:rPr>
                <w:b/>
                <w:iCs/>
              </w:rPr>
            </w:pPr>
            <w:r w:rsidRPr="008D0139">
              <w:rPr>
                <w:b/>
                <w:iCs/>
              </w:rPr>
              <w:t>0.59 (0.40, 0.89)</w:t>
            </w:r>
          </w:p>
        </w:tc>
        <w:tc>
          <w:tcPr>
            <w:tcW w:w="2079" w:type="pct"/>
            <w:gridSpan w:val="2"/>
            <w:tcBorders>
              <w:top w:val="single" w:sz="4" w:space="0" w:color="auto"/>
            </w:tcBorders>
          </w:tcPr>
          <w:p w14:paraId="26DAB1D0" w14:textId="77777777" w:rsidR="004154DB" w:rsidRPr="008D0139" w:rsidRDefault="004154DB" w:rsidP="00F274C6">
            <w:pPr>
              <w:pStyle w:val="TableText0"/>
              <w:keepNext w:val="0"/>
              <w:widowControl w:val="0"/>
              <w:jc w:val="center"/>
              <w:rPr>
                <w:b/>
                <w:iCs/>
              </w:rPr>
            </w:pPr>
            <w:r w:rsidRPr="008D0139">
              <w:rPr>
                <w:b/>
                <w:iCs/>
              </w:rPr>
              <w:t>0.62 (0.43, 0.88)</w:t>
            </w:r>
          </w:p>
        </w:tc>
      </w:tr>
      <w:tr w:rsidR="004154DB" w:rsidRPr="008D0139" w14:paraId="732C2EDC" w14:textId="77777777" w:rsidTr="00F274C6">
        <w:tc>
          <w:tcPr>
            <w:tcW w:w="5000" w:type="pct"/>
            <w:gridSpan w:val="5"/>
            <w:tcBorders>
              <w:bottom w:val="single" w:sz="4" w:space="0" w:color="auto"/>
            </w:tcBorders>
            <w:vAlign w:val="top"/>
          </w:tcPr>
          <w:p w14:paraId="062922E4" w14:textId="77777777" w:rsidR="004154DB" w:rsidRPr="008D0139" w:rsidRDefault="004154DB" w:rsidP="00F274C6">
            <w:pPr>
              <w:pStyle w:val="TableText0"/>
              <w:keepNext w:val="0"/>
              <w:widowControl w:val="0"/>
              <w:rPr>
                <w:iCs/>
              </w:rPr>
            </w:pPr>
            <w:r w:rsidRPr="008D0139">
              <w:rPr>
                <w:b/>
                <w:iCs/>
              </w:rPr>
              <w:t xml:space="preserve">Progression-free survival (PFS): IRC </w:t>
            </w:r>
            <w:proofErr w:type="spellStart"/>
            <w:r w:rsidRPr="008D0139">
              <w:rPr>
                <w:b/>
                <w:iCs/>
              </w:rPr>
              <w:t>assessed</w:t>
            </w:r>
            <w:r w:rsidRPr="008D0139">
              <w:rPr>
                <w:b/>
                <w:iCs/>
                <w:vertAlign w:val="superscript"/>
              </w:rPr>
              <w:t>a,</w:t>
            </w:r>
            <w:r w:rsidRPr="008D0139">
              <w:rPr>
                <w:iCs/>
                <w:vertAlign w:val="superscript"/>
              </w:rPr>
              <w:t>b</w:t>
            </w:r>
            <w:proofErr w:type="spellEnd"/>
          </w:p>
        </w:tc>
      </w:tr>
      <w:tr w:rsidR="004154DB" w:rsidRPr="008D0139" w14:paraId="4C6BD29E" w14:textId="77777777" w:rsidTr="00F274C6">
        <w:tc>
          <w:tcPr>
            <w:tcW w:w="946" w:type="pct"/>
            <w:tcBorders>
              <w:bottom w:val="nil"/>
            </w:tcBorders>
            <w:vAlign w:val="top"/>
          </w:tcPr>
          <w:p w14:paraId="010EAA4F" w14:textId="77777777" w:rsidR="004154DB" w:rsidRPr="008D0139" w:rsidRDefault="004154DB" w:rsidP="00F274C6">
            <w:pPr>
              <w:pStyle w:val="TableText0"/>
              <w:keepNext w:val="0"/>
              <w:widowControl w:val="0"/>
              <w:rPr>
                <w:iCs/>
              </w:rPr>
            </w:pPr>
            <w:r w:rsidRPr="008D0139">
              <w:rPr>
                <w:iCs/>
              </w:rPr>
              <w:t>Events n/N (%)</w:t>
            </w:r>
          </w:p>
        </w:tc>
        <w:tc>
          <w:tcPr>
            <w:tcW w:w="1026" w:type="pct"/>
            <w:tcBorders>
              <w:bottom w:val="nil"/>
            </w:tcBorders>
            <w:vAlign w:val="top"/>
          </w:tcPr>
          <w:p w14:paraId="2AA839E5" w14:textId="77777777" w:rsidR="004154DB" w:rsidRPr="008D0139" w:rsidRDefault="004154DB" w:rsidP="00F274C6">
            <w:pPr>
              <w:pStyle w:val="TableText0"/>
              <w:keepNext w:val="0"/>
              <w:widowControl w:val="0"/>
              <w:jc w:val="center"/>
              <w:rPr>
                <w:iCs/>
              </w:rPr>
            </w:pPr>
            <w:r w:rsidRPr="008D0139">
              <w:rPr>
                <w:iCs/>
              </w:rPr>
              <w:t>68/183 (37.2)</w:t>
            </w:r>
          </w:p>
        </w:tc>
        <w:tc>
          <w:tcPr>
            <w:tcW w:w="949" w:type="pct"/>
            <w:tcBorders>
              <w:bottom w:val="nil"/>
            </w:tcBorders>
            <w:vAlign w:val="top"/>
          </w:tcPr>
          <w:p w14:paraId="12C1CB94" w14:textId="77777777" w:rsidR="004154DB" w:rsidRPr="008D0139" w:rsidRDefault="004154DB" w:rsidP="00F274C6">
            <w:pPr>
              <w:pStyle w:val="TableText0"/>
              <w:keepNext w:val="0"/>
              <w:widowControl w:val="0"/>
              <w:jc w:val="center"/>
              <w:rPr>
                <w:iCs/>
              </w:rPr>
            </w:pPr>
            <w:r w:rsidRPr="008D0139">
              <w:rPr>
                <w:iCs/>
              </w:rPr>
              <w:t>44/91 (48.4)</w:t>
            </w:r>
          </w:p>
        </w:tc>
        <w:tc>
          <w:tcPr>
            <w:tcW w:w="1011" w:type="pct"/>
            <w:tcBorders>
              <w:bottom w:val="nil"/>
            </w:tcBorders>
            <w:vAlign w:val="top"/>
          </w:tcPr>
          <w:p w14:paraId="2FABB363" w14:textId="77777777" w:rsidR="004154DB" w:rsidRPr="008D0139" w:rsidRDefault="004154DB" w:rsidP="00F274C6">
            <w:pPr>
              <w:pStyle w:val="TableText0"/>
              <w:keepNext w:val="0"/>
              <w:widowControl w:val="0"/>
              <w:jc w:val="center"/>
              <w:rPr>
                <w:iCs/>
              </w:rPr>
            </w:pPr>
            <w:r w:rsidRPr="008D0139">
              <w:rPr>
                <w:iCs/>
              </w:rPr>
              <w:t>90/183 (49.2)</w:t>
            </w:r>
          </w:p>
        </w:tc>
        <w:tc>
          <w:tcPr>
            <w:tcW w:w="1068" w:type="pct"/>
            <w:tcBorders>
              <w:bottom w:val="nil"/>
            </w:tcBorders>
            <w:vAlign w:val="top"/>
          </w:tcPr>
          <w:p w14:paraId="690DAB26" w14:textId="77777777" w:rsidR="004154DB" w:rsidRPr="008D0139" w:rsidRDefault="004154DB" w:rsidP="00F274C6">
            <w:pPr>
              <w:pStyle w:val="TableText0"/>
              <w:keepNext w:val="0"/>
              <w:widowControl w:val="0"/>
              <w:jc w:val="center"/>
              <w:rPr>
                <w:iCs/>
              </w:rPr>
            </w:pPr>
            <w:r w:rsidRPr="008D0139">
              <w:rPr>
                <w:iCs/>
              </w:rPr>
              <w:t>54/91 (59.3)</w:t>
            </w:r>
          </w:p>
        </w:tc>
      </w:tr>
      <w:tr w:rsidR="004154DB" w:rsidRPr="008D0139" w14:paraId="64A75637" w14:textId="77777777" w:rsidTr="00F274C6">
        <w:tc>
          <w:tcPr>
            <w:tcW w:w="946" w:type="pct"/>
            <w:tcBorders>
              <w:top w:val="nil"/>
              <w:bottom w:val="nil"/>
            </w:tcBorders>
            <w:vAlign w:val="top"/>
          </w:tcPr>
          <w:p w14:paraId="5F7BD8A7" w14:textId="77777777" w:rsidR="004154DB" w:rsidRPr="008D0139" w:rsidRDefault="004154DB" w:rsidP="00F274C6">
            <w:pPr>
              <w:pStyle w:val="TableText0"/>
              <w:keepNext w:val="0"/>
              <w:widowControl w:val="0"/>
              <w:rPr>
                <w:iCs/>
              </w:rPr>
            </w:pPr>
            <w:r w:rsidRPr="008D0139">
              <w:rPr>
                <w:iCs/>
              </w:rPr>
              <w:t>Median TTE (95% CI)</w:t>
            </w:r>
          </w:p>
        </w:tc>
        <w:tc>
          <w:tcPr>
            <w:tcW w:w="1026" w:type="pct"/>
            <w:tcBorders>
              <w:top w:val="nil"/>
            </w:tcBorders>
            <w:vAlign w:val="top"/>
          </w:tcPr>
          <w:p w14:paraId="2D337608" w14:textId="77777777" w:rsidR="004154DB" w:rsidRPr="008D0139" w:rsidRDefault="004154DB" w:rsidP="00F274C6">
            <w:pPr>
              <w:pStyle w:val="TableText0"/>
              <w:keepNext w:val="0"/>
              <w:widowControl w:val="0"/>
              <w:jc w:val="center"/>
              <w:rPr>
                <w:iCs/>
              </w:rPr>
            </w:pPr>
            <w:r w:rsidRPr="008D0139">
              <w:rPr>
                <w:iCs/>
              </w:rPr>
              <w:t>12.1 (6.8, 18.3)</w:t>
            </w:r>
          </w:p>
        </w:tc>
        <w:tc>
          <w:tcPr>
            <w:tcW w:w="949" w:type="pct"/>
            <w:tcBorders>
              <w:top w:val="nil"/>
            </w:tcBorders>
            <w:vAlign w:val="top"/>
          </w:tcPr>
          <w:p w14:paraId="2A43D1F2" w14:textId="77777777" w:rsidR="004154DB" w:rsidRPr="008D0139" w:rsidRDefault="004154DB" w:rsidP="00F274C6">
            <w:pPr>
              <w:pStyle w:val="TableText0"/>
              <w:keepNext w:val="0"/>
              <w:widowControl w:val="0"/>
              <w:jc w:val="center"/>
              <w:rPr>
                <w:iCs/>
              </w:rPr>
            </w:pPr>
            <w:r w:rsidRPr="008D0139">
              <w:rPr>
                <w:iCs/>
              </w:rPr>
              <w:t>3.3 (2.5, 5.6)</w:t>
            </w:r>
          </w:p>
        </w:tc>
        <w:tc>
          <w:tcPr>
            <w:tcW w:w="1011" w:type="pct"/>
            <w:tcBorders>
              <w:top w:val="nil"/>
            </w:tcBorders>
            <w:vAlign w:val="top"/>
          </w:tcPr>
          <w:p w14:paraId="06D9FDDF" w14:textId="77777777" w:rsidR="004154DB" w:rsidRPr="008D0139" w:rsidRDefault="004154DB" w:rsidP="00F274C6">
            <w:pPr>
              <w:pStyle w:val="TableText0"/>
              <w:keepNext w:val="0"/>
              <w:widowControl w:val="0"/>
              <w:jc w:val="center"/>
              <w:rPr>
                <w:iCs/>
              </w:rPr>
            </w:pPr>
            <w:r w:rsidRPr="008D0139">
              <w:rPr>
                <w:iCs/>
              </w:rPr>
              <w:t>13.8 (8.7, 20.5)</w:t>
            </w:r>
          </w:p>
        </w:tc>
        <w:tc>
          <w:tcPr>
            <w:tcW w:w="1068" w:type="pct"/>
            <w:tcBorders>
              <w:top w:val="nil"/>
            </w:tcBorders>
            <w:vAlign w:val="top"/>
          </w:tcPr>
          <w:p w14:paraId="73ECF607" w14:textId="77777777" w:rsidR="004154DB" w:rsidRPr="008D0139" w:rsidRDefault="004154DB" w:rsidP="00F274C6">
            <w:pPr>
              <w:pStyle w:val="TableText0"/>
              <w:keepNext w:val="0"/>
              <w:widowControl w:val="0"/>
              <w:jc w:val="center"/>
              <w:rPr>
                <w:iCs/>
              </w:rPr>
            </w:pPr>
            <w:r w:rsidRPr="008D0139">
              <w:rPr>
                <w:iCs/>
              </w:rPr>
              <w:t>3.6 (2.5, 7.1)</w:t>
            </w:r>
          </w:p>
        </w:tc>
      </w:tr>
      <w:tr w:rsidR="004154DB" w:rsidRPr="008D0139" w14:paraId="337B31BC" w14:textId="77777777" w:rsidTr="00F274C6">
        <w:tc>
          <w:tcPr>
            <w:tcW w:w="946" w:type="pct"/>
            <w:tcBorders>
              <w:top w:val="nil"/>
            </w:tcBorders>
            <w:vAlign w:val="top"/>
          </w:tcPr>
          <w:p w14:paraId="02A35693" w14:textId="77777777" w:rsidR="004154DB" w:rsidRPr="008D0139" w:rsidRDefault="004154DB" w:rsidP="00F274C6">
            <w:pPr>
              <w:pStyle w:val="TableText0"/>
              <w:keepNext w:val="0"/>
              <w:widowControl w:val="0"/>
              <w:rPr>
                <w:iCs/>
              </w:rPr>
            </w:pPr>
            <w:r w:rsidRPr="008D0139">
              <w:rPr>
                <w:iCs/>
              </w:rPr>
              <w:t>HR (95%)</w:t>
            </w:r>
          </w:p>
        </w:tc>
        <w:tc>
          <w:tcPr>
            <w:tcW w:w="1975" w:type="pct"/>
            <w:gridSpan w:val="2"/>
          </w:tcPr>
          <w:p w14:paraId="4F3CE9AB" w14:textId="77777777" w:rsidR="004154DB" w:rsidRPr="008D0139" w:rsidRDefault="004154DB" w:rsidP="00F274C6">
            <w:pPr>
              <w:pStyle w:val="TableText0"/>
              <w:keepNext w:val="0"/>
              <w:widowControl w:val="0"/>
              <w:jc w:val="center"/>
              <w:rPr>
                <w:b/>
                <w:iCs/>
              </w:rPr>
            </w:pPr>
            <w:r w:rsidRPr="008D0139">
              <w:rPr>
                <w:b/>
                <w:iCs/>
              </w:rPr>
              <w:t>0.37 (0.25, 0.55)</w:t>
            </w:r>
          </w:p>
        </w:tc>
        <w:tc>
          <w:tcPr>
            <w:tcW w:w="2079" w:type="pct"/>
            <w:gridSpan w:val="2"/>
          </w:tcPr>
          <w:p w14:paraId="6EDD1BAA" w14:textId="77777777" w:rsidR="004154DB" w:rsidRPr="008D0139" w:rsidRDefault="004154DB" w:rsidP="00F274C6">
            <w:pPr>
              <w:pStyle w:val="TableText0"/>
              <w:keepNext w:val="0"/>
              <w:widowControl w:val="0"/>
              <w:jc w:val="center"/>
              <w:rPr>
                <w:b/>
                <w:iCs/>
              </w:rPr>
            </w:pPr>
            <w:r w:rsidRPr="008D0139">
              <w:rPr>
                <w:b/>
                <w:iCs/>
              </w:rPr>
              <w:t>0.40 (0.28, 0.57)</w:t>
            </w:r>
          </w:p>
        </w:tc>
      </w:tr>
      <w:tr w:rsidR="004154DB" w:rsidRPr="008D0139" w14:paraId="7AC719C9" w14:textId="77777777" w:rsidTr="00F274C6">
        <w:tc>
          <w:tcPr>
            <w:tcW w:w="5000" w:type="pct"/>
            <w:gridSpan w:val="5"/>
            <w:tcBorders>
              <w:bottom w:val="single" w:sz="4" w:space="0" w:color="auto"/>
            </w:tcBorders>
            <w:vAlign w:val="top"/>
          </w:tcPr>
          <w:p w14:paraId="182FBF35" w14:textId="77777777" w:rsidR="004154DB" w:rsidRPr="008D0139" w:rsidRDefault="004154DB" w:rsidP="00F274C6">
            <w:pPr>
              <w:pStyle w:val="TableText0"/>
              <w:keepNext w:val="0"/>
              <w:widowControl w:val="0"/>
              <w:rPr>
                <w:iCs/>
              </w:rPr>
            </w:pPr>
            <w:r w:rsidRPr="008D0139">
              <w:rPr>
                <w:b/>
                <w:iCs/>
              </w:rPr>
              <w:t xml:space="preserve">Progression-free survival (PFS): INV </w:t>
            </w:r>
            <w:proofErr w:type="spellStart"/>
            <w:r w:rsidRPr="008D0139">
              <w:rPr>
                <w:b/>
                <w:iCs/>
              </w:rPr>
              <w:t>assessed</w:t>
            </w:r>
            <w:r w:rsidRPr="008D0139">
              <w:rPr>
                <w:b/>
                <w:iCs/>
                <w:vertAlign w:val="superscript"/>
              </w:rPr>
              <w:t>a</w:t>
            </w:r>
            <w:proofErr w:type="spellEnd"/>
          </w:p>
        </w:tc>
      </w:tr>
      <w:tr w:rsidR="004154DB" w:rsidRPr="008D0139" w14:paraId="4CDE560C" w14:textId="77777777" w:rsidTr="00F274C6">
        <w:tc>
          <w:tcPr>
            <w:tcW w:w="946" w:type="pct"/>
            <w:tcBorders>
              <w:bottom w:val="nil"/>
            </w:tcBorders>
            <w:vAlign w:val="top"/>
          </w:tcPr>
          <w:p w14:paraId="43352370" w14:textId="77777777" w:rsidR="004154DB" w:rsidRPr="008D0139" w:rsidRDefault="004154DB" w:rsidP="00F274C6">
            <w:pPr>
              <w:pStyle w:val="TableText0"/>
              <w:keepNext w:val="0"/>
              <w:widowControl w:val="0"/>
              <w:rPr>
                <w:iCs/>
              </w:rPr>
            </w:pPr>
            <w:r w:rsidRPr="008D0139">
              <w:rPr>
                <w:iCs/>
              </w:rPr>
              <w:t>Events n/N (%)</w:t>
            </w:r>
          </w:p>
        </w:tc>
        <w:tc>
          <w:tcPr>
            <w:tcW w:w="1026" w:type="pct"/>
            <w:tcBorders>
              <w:bottom w:val="nil"/>
            </w:tcBorders>
            <w:vAlign w:val="top"/>
          </w:tcPr>
          <w:p w14:paraId="689D5D6C" w14:textId="77777777" w:rsidR="004154DB" w:rsidRPr="008D0139" w:rsidRDefault="004154DB" w:rsidP="00F274C6">
            <w:pPr>
              <w:pStyle w:val="TableText0"/>
              <w:keepNext w:val="0"/>
              <w:widowControl w:val="0"/>
              <w:jc w:val="center"/>
              <w:rPr>
                <w:iCs/>
              </w:rPr>
            </w:pPr>
            <w:r w:rsidRPr="008D0139">
              <w:rPr>
                <w:iCs/>
              </w:rPr>
              <w:t>71/183 (38.8)</w:t>
            </w:r>
          </w:p>
        </w:tc>
        <w:tc>
          <w:tcPr>
            <w:tcW w:w="949" w:type="pct"/>
            <w:tcBorders>
              <w:bottom w:val="nil"/>
            </w:tcBorders>
            <w:vAlign w:val="top"/>
          </w:tcPr>
          <w:p w14:paraId="7815DAFD" w14:textId="77777777" w:rsidR="004154DB" w:rsidRPr="008D0139" w:rsidRDefault="004154DB" w:rsidP="00F274C6">
            <w:pPr>
              <w:pStyle w:val="TableText0"/>
              <w:keepNext w:val="0"/>
              <w:widowControl w:val="0"/>
              <w:jc w:val="center"/>
              <w:rPr>
                <w:iCs/>
              </w:rPr>
            </w:pPr>
            <w:r w:rsidRPr="008D0139">
              <w:rPr>
                <w:iCs/>
              </w:rPr>
              <w:t>60/91 (65.9)</w:t>
            </w:r>
          </w:p>
        </w:tc>
        <w:tc>
          <w:tcPr>
            <w:tcW w:w="1011" w:type="pct"/>
            <w:tcBorders>
              <w:bottom w:val="nil"/>
            </w:tcBorders>
            <w:vAlign w:val="top"/>
          </w:tcPr>
          <w:p w14:paraId="797F052E" w14:textId="77777777" w:rsidR="004154DB" w:rsidRPr="008D0139" w:rsidRDefault="004154DB" w:rsidP="00F274C6">
            <w:pPr>
              <w:pStyle w:val="TableText0"/>
              <w:keepNext w:val="0"/>
              <w:widowControl w:val="0"/>
              <w:jc w:val="center"/>
              <w:rPr>
                <w:iCs/>
              </w:rPr>
            </w:pPr>
            <w:r w:rsidRPr="008D0139">
              <w:rPr>
                <w:iCs/>
              </w:rPr>
              <w:t>89/183 (48.6)</w:t>
            </w:r>
          </w:p>
        </w:tc>
        <w:tc>
          <w:tcPr>
            <w:tcW w:w="1068" w:type="pct"/>
            <w:tcBorders>
              <w:bottom w:val="nil"/>
            </w:tcBorders>
            <w:vAlign w:val="top"/>
          </w:tcPr>
          <w:p w14:paraId="18F6BDDC" w14:textId="77777777" w:rsidR="004154DB" w:rsidRPr="008D0139" w:rsidRDefault="004154DB" w:rsidP="00F274C6">
            <w:pPr>
              <w:pStyle w:val="TableText0"/>
              <w:keepNext w:val="0"/>
              <w:widowControl w:val="0"/>
              <w:jc w:val="center"/>
              <w:rPr>
                <w:iCs/>
              </w:rPr>
            </w:pPr>
            <w:r w:rsidRPr="008D0139">
              <w:rPr>
                <w:iCs/>
              </w:rPr>
              <w:t>64/91 (70.3)</w:t>
            </w:r>
          </w:p>
        </w:tc>
      </w:tr>
      <w:tr w:rsidR="004154DB" w:rsidRPr="008D0139" w14:paraId="06E2A99C" w14:textId="77777777" w:rsidTr="00F274C6">
        <w:tc>
          <w:tcPr>
            <w:tcW w:w="946" w:type="pct"/>
            <w:tcBorders>
              <w:top w:val="nil"/>
              <w:bottom w:val="nil"/>
            </w:tcBorders>
            <w:vAlign w:val="top"/>
          </w:tcPr>
          <w:p w14:paraId="0897DBE3" w14:textId="77777777" w:rsidR="004154DB" w:rsidRPr="008D0139" w:rsidRDefault="004154DB" w:rsidP="00F274C6">
            <w:pPr>
              <w:pStyle w:val="TableText0"/>
              <w:keepNext w:val="0"/>
              <w:widowControl w:val="0"/>
              <w:rPr>
                <w:iCs/>
              </w:rPr>
            </w:pPr>
            <w:r w:rsidRPr="008D0139">
              <w:rPr>
                <w:iCs/>
              </w:rPr>
              <w:t>Median TTE (95% CI)</w:t>
            </w:r>
          </w:p>
        </w:tc>
        <w:tc>
          <w:tcPr>
            <w:tcW w:w="1026" w:type="pct"/>
            <w:tcBorders>
              <w:top w:val="nil"/>
            </w:tcBorders>
            <w:vAlign w:val="top"/>
          </w:tcPr>
          <w:p w14:paraId="44DB388E" w14:textId="77777777" w:rsidR="004154DB" w:rsidRPr="008D0139" w:rsidRDefault="004154DB" w:rsidP="00F274C6">
            <w:pPr>
              <w:pStyle w:val="TableText0"/>
              <w:keepNext w:val="0"/>
              <w:widowControl w:val="0"/>
              <w:jc w:val="center"/>
              <w:rPr>
                <w:iCs/>
              </w:rPr>
            </w:pPr>
            <w:r w:rsidRPr="008D0139">
              <w:rPr>
                <w:iCs/>
              </w:rPr>
              <w:t>17.0 (8.7, NE)</w:t>
            </w:r>
          </w:p>
        </w:tc>
        <w:tc>
          <w:tcPr>
            <w:tcW w:w="949" w:type="pct"/>
            <w:tcBorders>
              <w:top w:val="nil"/>
            </w:tcBorders>
            <w:vAlign w:val="top"/>
          </w:tcPr>
          <w:p w14:paraId="2915760E" w14:textId="77777777" w:rsidR="004154DB" w:rsidRPr="008D0139" w:rsidRDefault="004154DB" w:rsidP="00F274C6">
            <w:pPr>
              <w:pStyle w:val="TableText0"/>
              <w:keepNext w:val="0"/>
              <w:widowControl w:val="0"/>
              <w:jc w:val="center"/>
              <w:rPr>
                <w:iCs/>
              </w:rPr>
            </w:pPr>
            <w:r w:rsidRPr="008D0139">
              <w:rPr>
                <w:iCs/>
              </w:rPr>
              <w:t>2.7 (2.0, 5.3)</w:t>
            </w:r>
          </w:p>
        </w:tc>
        <w:tc>
          <w:tcPr>
            <w:tcW w:w="1011" w:type="pct"/>
            <w:tcBorders>
              <w:top w:val="nil"/>
            </w:tcBorders>
            <w:vAlign w:val="top"/>
          </w:tcPr>
          <w:p w14:paraId="375EC217" w14:textId="77777777" w:rsidR="004154DB" w:rsidRPr="008D0139" w:rsidRDefault="004154DB" w:rsidP="00F274C6">
            <w:pPr>
              <w:pStyle w:val="TableText0"/>
              <w:keepNext w:val="0"/>
              <w:widowControl w:val="0"/>
              <w:jc w:val="center"/>
              <w:rPr>
                <w:iCs/>
              </w:rPr>
            </w:pPr>
            <w:r w:rsidRPr="008D0139">
              <w:rPr>
                <w:iCs/>
              </w:rPr>
              <w:t>14.4 (9.2, 24.6)</w:t>
            </w:r>
          </w:p>
        </w:tc>
        <w:tc>
          <w:tcPr>
            <w:tcW w:w="1068" w:type="pct"/>
            <w:tcBorders>
              <w:top w:val="nil"/>
            </w:tcBorders>
            <w:vAlign w:val="top"/>
          </w:tcPr>
          <w:p w14:paraId="4948BF60" w14:textId="77777777" w:rsidR="004154DB" w:rsidRPr="008D0139" w:rsidRDefault="004154DB" w:rsidP="00F274C6">
            <w:pPr>
              <w:pStyle w:val="TableText0"/>
              <w:keepNext w:val="0"/>
              <w:widowControl w:val="0"/>
              <w:jc w:val="center"/>
              <w:rPr>
                <w:iCs/>
              </w:rPr>
            </w:pPr>
            <w:r w:rsidRPr="008D0139">
              <w:rPr>
                <w:iCs/>
              </w:rPr>
              <w:t>2.7 (2.2, 5.3)</w:t>
            </w:r>
          </w:p>
        </w:tc>
      </w:tr>
      <w:tr w:rsidR="004154DB" w:rsidRPr="008D0139" w14:paraId="52EA60CF" w14:textId="77777777" w:rsidTr="00F274C6">
        <w:tc>
          <w:tcPr>
            <w:tcW w:w="946" w:type="pct"/>
            <w:tcBorders>
              <w:top w:val="nil"/>
            </w:tcBorders>
            <w:vAlign w:val="top"/>
          </w:tcPr>
          <w:p w14:paraId="40917015" w14:textId="77777777" w:rsidR="004154DB" w:rsidRPr="008D0139" w:rsidRDefault="004154DB" w:rsidP="00F274C6">
            <w:pPr>
              <w:pStyle w:val="TableText0"/>
              <w:keepNext w:val="0"/>
              <w:widowControl w:val="0"/>
              <w:rPr>
                <w:iCs/>
              </w:rPr>
            </w:pPr>
            <w:r w:rsidRPr="008D0139">
              <w:rPr>
                <w:iCs/>
              </w:rPr>
              <w:t>HR (95%)</w:t>
            </w:r>
          </w:p>
        </w:tc>
        <w:tc>
          <w:tcPr>
            <w:tcW w:w="1975" w:type="pct"/>
            <w:gridSpan w:val="2"/>
            <w:vAlign w:val="top"/>
          </w:tcPr>
          <w:p w14:paraId="2685A820" w14:textId="77777777" w:rsidR="004154DB" w:rsidRPr="008D0139" w:rsidRDefault="004154DB" w:rsidP="00F274C6">
            <w:pPr>
              <w:pStyle w:val="TableText0"/>
              <w:keepNext w:val="0"/>
              <w:widowControl w:val="0"/>
              <w:jc w:val="center"/>
              <w:rPr>
                <w:b/>
                <w:iCs/>
              </w:rPr>
            </w:pPr>
            <w:r w:rsidRPr="008D0139">
              <w:rPr>
                <w:b/>
                <w:iCs/>
              </w:rPr>
              <w:t>0.31 (0.22, 0.45)</w:t>
            </w:r>
          </w:p>
        </w:tc>
        <w:tc>
          <w:tcPr>
            <w:tcW w:w="2079" w:type="pct"/>
            <w:gridSpan w:val="2"/>
          </w:tcPr>
          <w:p w14:paraId="708FACF0" w14:textId="77777777" w:rsidR="004154DB" w:rsidRPr="008D0139" w:rsidRDefault="004154DB" w:rsidP="00F274C6">
            <w:pPr>
              <w:pStyle w:val="TableText0"/>
              <w:keepNext w:val="0"/>
              <w:widowControl w:val="0"/>
              <w:jc w:val="center"/>
              <w:rPr>
                <w:b/>
                <w:iCs/>
              </w:rPr>
            </w:pPr>
            <w:r w:rsidRPr="008D0139">
              <w:rPr>
                <w:b/>
                <w:iCs/>
              </w:rPr>
              <w:t>0.32 (0.23, 0.45)</w:t>
            </w:r>
          </w:p>
        </w:tc>
      </w:tr>
    </w:tbl>
    <w:bookmarkEnd w:id="44"/>
    <w:p w14:paraId="0490B527" w14:textId="77777777" w:rsidR="004154DB" w:rsidRPr="008D0139" w:rsidRDefault="004154DB" w:rsidP="004154DB">
      <w:pPr>
        <w:pStyle w:val="FooterTableFigure"/>
        <w:widowControl w:val="0"/>
        <w:rPr>
          <w:iCs/>
          <w:sz w:val="20"/>
        </w:rPr>
      </w:pPr>
      <w:r w:rsidRPr="008D0139">
        <w:rPr>
          <w:iCs/>
        </w:rPr>
        <w:t>Source: Tables 2.12 to 2.15, pp53-65 of the submission.</w:t>
      </w:r>
    </w:p>
    <w:p w14:paraId="3E824560" w14:textId="77777777" w:rsidR="004154DB" w:rsidRPr="008D0139" w:rsidRDefault="004154DB" w:rsidP="004154DB">
      <w:pPr>
        <w:pStyle w:val="FooterTableFigure"/>
        <w:widowControl w:val="0"/>
        <w:rPr>
          <w:rFonts w:eastAsia="Calibri"/>
          <w:iCs/>
        </w:rPr>
      </w:pPr>
      <w:r w:rsidRPr="008D0139">
        <w:rPr>
          <w:rFonts w:eastAsia="Calibri"/>
          <w:iCs/>
        </w:rPr>
        <w:t xml:space="preserve">CI=confidence interval; n=number of participants with event; N=total participants in group; IRC=Independent Review Committee; INV=Investigator; TTE=time-to-event; HR=hazard ratio; NE=not evaluable. </w:t>
      </w:r>
      <w:r w:rsidRPr="008D0139">
        <w:rPr>
          <w:rFonts w:eastAsia="Calibri"/>
          <w:b/>
          <w:iCs/>
        </w:rPr>
        <w:t>Bold</w:t>
      </w:r>
      <w:r w:rsidRPr="008D0139">
        <w:rPr>
          <w:rFonts w:eastAsia="Calibri"/>
          <w:iCs/>
        </w:rPr>
        <w:t xml:space="preserve"> indicates statistically significant results.</w:t>
      </w:r>
    </w:p>
    <w:p w14:paraId="26AC5429" w14:textId="77777777" w:rsidR="004154DB" w:rsidRPr="008D0139" w:rsidRDefault="004154DB" w:rsidP="004B1D0D">
      <w:pPr>
        <w:pStyle w:val="FooterTableFigure"/>
        <w:widowControl w:val="0"/>
        <w:ind w:left="165" w:hanging="165"/>
        <w:rPr>
          <w:iCs/>
        </w:rPr>
      </w:pPr>
      <w:r w:rsidRPr="008D0139">
        <w:rPr>
          <w:iCs/>
          <w:vertAlign w:val="superscript"/>
        </w:rPr>
        <w:t>a</w:t>
      </w:r>
      <w:r w:rsidRPr="008D0139">
        <w:rPr>
          <w:iCs/>
          <w:vertAlign w:val="superscript"/>
        </w:rPr>
        <w:tab/>
      </w:r>
      <w:r w:rsidRPr="008D0139">
        <w:rPr>
          <w:iCs/>
        </w:rPr>
        <w:t>Analysis was stratified by randomisation stratification factors: number of previous lines of therapy (1 vs ≥2) and outcome of last systemic therapy (relapsed vs refractory).</w:t>
      </w:r>
    </w:p>
    <w:p w14:paraId="3C256C08" w14:textId="77777777" w:rsidR="004154DB" w:rsidRPr="008D0139" w:rsidRDefault="004154DB" w:rsidP="004154DB">
      <w:pPr>
        <w:pStyle w:val="FooterTableFigure"/>
        <w:widowControl w:val="0"/>
        <w:rPr>
          <w:rFonts w:eastAsia="Calibri"/>
          <w:iCs/>
        </w:rPr>
      </w:pPr>
      <w:r w:rsidRPr="008D0139">
        <w:rPr>
          <w:iCs/>
          <w:szCs w:val="18"/>
          <w:vertAlign w:val="superscript"/>
        </w:rPr>
        <w:t xml:space="preserve">b </w:t>
      </w:r>
      <w:r w:rsidRPr="008D0139">
        <w:rPr>
          <w:iCs/>
          <w:szCs w:val="18"/>
        </w:rPr>
        <w:t>Key secondary endpoint hierarchically tested</w:t>
      </w:r>
      <w:r w:rsidRPr="008D0139">
        <w:rPr>
          <w:rFonts w:eastAsia="Calibri"/>
          <w:iCs/>
        </w:rPr>
        <w:t>.</w:t>
      </w:r>
    </w:p>
    <w:p w14:paraId="02AE3F29" w14:textId="7EB92281" w:rsidR="004154DB" w:rsidRPr="008D0139" w:rsidRDefault="004154DB" w:rsidP="00BA328F">
      <w:pPr>
        <w:pStyle w:val="Caption"/>
        <w:rPr>
          <w:iCs/>
        </w:rPr>
      </w:pPr>
      <w:bookmarkStart w:id="45" w:name="_Ref196598954"/>
      <w:r w:rsidRPr="008D0139">
        <w:rPr>
          <w:iCs/>
        </w:rPr>
        <w:t xml:space="preserve">Figure </w:t>
      </w:r>
      <w:r w:rsidR="0002672B" w:rsidRPr="008D0139">
        <w:rPr>
          <w:iCs/>
        </w:rPr>
        <w:fldChar w:fldCharType="begin" w:fldLock="1"/>
      </w:r>
      <w:r w:rsidR="0002672B" w:rsidRPr="008D0139">
        <w:rPr>
          <w:iCs/>
        </w:rPr>
        <w:instrText xml:space="preserve"> SEQ Figure \* ARABIC </w:instrText>
      </w:r>
      <w:r w:rsidR="0002672B" w:rsidRPr="008D0139">
        <w:rPr>
          <w:iCs/>
        </w:rPr>
        <w:fldChar w:fldCharType="separate"/>
      </w:r>
      <w:r w:rsidR="003C21E7">
        <w:rPr>
          <w:iCs/>
          <w:noProof/>
        </w:rPr>
        <w:t>2</w:t>
      </w:r>
      <w:r w:rsidR="0002672B" w:rsidRPr="008D0139">
        <w:rPr>
          <w:iCs/>
          <w:noProof/>
        </w:rPr>
        <w:fldChar w:fldCharType="end"/>
      </w:r>
      <w:bookmarkEnd w:id="45"/>
      <w:r w:rsidRPr="008D0139">
        <w:rPr>
          <w:iCs/>
        </w:rPr>
        <w:t>: Kaplan-Meier curves for overall survival and progression free survival in STARGLO (ITT); the red line reflects Glofit-GemOx and the blue line reflects R-</w:t>
      </w:r>
      <w:proofErr w:type="spellStart"/>
      <w:r w:rsidRPr="008D0139">
        <w:rPr>
          <w:iCs/>
        </w:rPr>
        <w:t>GemOx</w:t>
      </w:r>
      <w:proofErr w:type="spellEnd"/>
      <w:r w:rsidRPr="008D0139">
        <w:rPr>
          <w:iCs/>
        </w:rPr>
        <w:t>.</w:t>
      </w:r>
    </w:p>
    <w:p w14:paraId="71B9A99C" w14:textId="77777777" w:rsidR="004154DB" w:rsidRPr="008D0139" w:rsidRDefault="004154DB" w:rsidP="00BA328F">
      <w:pPr>
        <w:pStyle w:val="FooterTableFigure"/>
        <w:keepNext/>
        <w:keepLines/>
        <w:widowControl w:val="0"/>
        <w:rPr>
          <w:iCs/>
          <w:szCs w:val="18"/>
          <w:vertAlign w:val="superscript"/>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993"/>
        <w:gridCol w:w="4181"/>
        <w:gridCol w:w="4182"/>
      </w:tblGrid>
      <w:tr w:rsidR="004154DB" w:rsidRPr="008D0139" w14:paraId="5245FA1C" w14:textId="77777777" w:rsidTr="00F274C6">
        <w:tc>
          <w:tcPr>
            <w:tcW w:w="993" w:type="dxa"/>
            <w:vAlign w:val="center"/>
          </w:tcPr>
          <w:p w14:paraId="7AACBBD5" w14:textId="77777777" w:rsidR="004154DB" w:rsidRPr="008D0139" w:rsidRDefault="004154DB" w:rsidP="00BA328F">
            <w:pPr>
              <w:pStyle w:val="FooterTableFigure"/>
              <w:keepNext/>
              <w:keepLines/>
              <w:spacing w:after="0"/>
              <w:jc w:val="center"/>
              <w:rPr>
                <w:iCs/>
                <w:sz w:val="20"/>
              </w:rPr>
            </w:pPr>
          </w:p>
        </w:tc>
        <w:tc>
          <w:tcPr>
            <w:tcW w:w="4181" w:type="dxa"/>
            <w:vAlign w:val="center"/>
          </w:tcPr>
          <w:p w14:paraId="4FAEDC61" w14:textId="77777777" w:rsidR="004154DB" w:rsidRPr="008D0139" w:rsidRDefault="004154DB" w:rsidP="00BA328F">
            <w:pPr>
              <w:pStyle w:val="FooterTableFigure"/>
              <w:keepNext/>
              <w:keepLines/>
              <w:spacing w:after="0"/>
              <w:jc w:val="center"/>
              <w:rPr>
                <w:b/>
                <w:iCs/>
                <w:sz w:val="20"/>
              </w:rPr>
            </w:pPr>
            <w:r w:rsidRPr="008D0139">
              <w:rPr>
                <w:b/>
                <w:iCs/>
                <w:sz w:val="20"/>
              </w:rPr>
              <w:t>OS</w:t>
            </w:r>
          </w:p>
        </w:tc>
        <w:tc>
          <w:tcPr>
            <w:tcW w:w="4182" w:type="dxa"/>
            <w:vAlign w:val="center"/>
          </w:tcPr>
          <w:p w14:paraId="024954C7" w14:textId="77777777" w:rsidR="004154DB" w:rsidRPr="008D0139" w:rsidRDefault="004154DB" w:rsidP="00BA328F">
            <w:pPr>
              <w:pStyle w:val="FooterTableFigure"/>
              <w:keepNext/>
              <w:keepLines/>
              <w:spacing w:after="0"/>
              <w:jc w:val="center"/>
              <w:rPr>
                <w:b/>
                <w:iCs/>
                <w:sz w:val="20"/>
              </w:rPr>
            </w:pPr>
            <w:r w:rsidRPr="008D0139">
              <w:rPr>
                <w:b/>
                <w:iCs/>
                <w:sz w:val="20"/>
              </w:rPr>
              <w:t>PFS (IRC assessed)</w:t>
            </w:r>
          </w:p>
        </w:tc>
      </w:tr>
      <w:tr w:rsidR="004154DB" w:rsidRPr="008D0139" w14:paraId="794D3B2F" w14:textId="77777777" w:rsidTr="00F274C6">
        <w:trPr>
          <w:trHeight w:val="1179"/>
        </w:trPr>
        <w:tc>
          <w:tcPr>
            <w:tcW w:w="993" w:type="dxa"/>
            <w:vAlign w:val="center"/>
          </w:tcPr>
          <w:p w14:paraId="6198D745" w14:textId="77777777" w:rsidR="004154DB" w:rsidRPr="008D0139" w:rsidRDefault="004154DB" w:rsidP="00BA328F">
            <w:pPr>
              <w:pStyle w:val="FooterTableFigure"/>
              <w:keepNext/>
              <w:keepLines/>
              <w:spacing w:after="0"/>
              <w:jc w:val="left"/>
              <w:rPr>
                <w:b/>
                <w:iCs/>
              </w:rPr>
            </w:pPr>
            <w:r w:rsidRPr="008D0139">
              <w:rPr>
                <w:b/>
                <w:iCs/>
              </w:rPr>
              <w:t>Primary analysis</w:t>
            </w:r>
          </w:p>
          <w:p w14:paraId="3F874D68" w14:textId="77777777" w:rsidR="004154DB" w:rsidRPr="008D0139" w:rsidRDefault="004154DB" w:rsidP="00BA328F">
            <w:pPr>
              <w:pStyle w:val="FooterTableFigure"/>
              <w:keepNext/>
              <w:keepLines/>
              <w:spacing w:after="0"/>
              <w:jc w:val="left"/>
              <w:rPr>
                <w:b/>
                <w:iCs/>
              </w:rPr>
            </w:pPr>
            <w:r w:rsidRPr="008D0139">
              <w:rPr>
                <w:b/>
                <w:iCs/>
              </w:rPr>
              <w:t xml:space="preserve">(March 29, </w:t>
            </w:r>
            <w:proofErr w:type="gramStart"/>
            <w:r w:rsidRPr="008D0139">
              <w:rPr>
                <w:b/>
                <w:iCs/>
              </w:rPr>
              <w:t>2023</w:t>
            </w:r>
            <w:proofErr w:type="gramEnd"/>
            <w:r w:rsidRPr="008D0139">
              <w:rPr>
                <w:b/>
                <w:iCs/>
              </w:rPr>
              <w:t xml:space="preserve"> data cut off))</w:t>
            </w:r>
          </w:p>
        </w:tc>
        <w:tc>
          <w:tcPr>
            <w:tcW w:w="4181" w:type="dxa"/>
            <w:vAlign w:val="center"/>
          </w:tcPr>
          <w:p w14:paraId="44B1525E" w14:textId="5461A35E" w:rsidR="004154DB" w:rsidRPr="008D0139" w:rsidRDefault="008E52E6" w:rsidP="00BA328F">
            <w:pPr>
              <w:pStyle w:val="FooterTableFigure"/>
              <w:keepNext/>
              <w:keepLines/>
              <w:spacing w:after="0"/>
              <w:jc w:val="left"/>
              <w:rPr>
                <w:iCs/>
                <w:sz w:val="20"/>
              </w:rPr>
            </w:pPr>
            <w:r w:rsidRPr="008D0139">
              <w:rPr>
                <w:iCs/>
                <w:noProof/>
                <w:sz w:val="20"/>
              </w:rPr>
              <w:drawing>
                <wp:inline distT="0" distB="0" distL="0" distR="0" wp14:anchorId="40C52830" wp14:editId="6D7C71AC">
                  <wp:extent cx="2518148" cy="1315407"/>
                  <wp:effectExtent l="0" t="0" r="0" b="0"/>
                  <wp:docPr id="20" name="Picture 20" descr="Figure 2: Kaplan-Meier curves for overall survival and progression free survival in STARGLO (ITT); the red line reflects Glofit-GemOx and the blue line reflects R-Gem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2: Kaplan-Meier curves for overall survival and progression free survival in STARGLO (ITT); the red line reflects Glofit-GemOx and the blue line reflects R-GemOx."/>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545999" cy="1329956"/>
                          </a:xfrm>
                          <a:prstGeom prst="rect">
                            <a:avLst/>
                          </a:prstGeom>
                        </pic:spPr>
                      </pic:pic>
                    </a:graphicData>
                  </a:graphic>
                </wp:inline>
              </w:drawing>
            </w:r>
          </w:p>
        </w:tc>
        <w:tc>
          <w:tcPr>
            <w:tcW w:w="4182" w:type="dxa"/>
            <w:vAlign w:val="center"/>
          </w:tcPr>
          <w:p w14:paraId="61B1B3D7" w14:textId="3A27E108" w:rsidR="004154DB" w:rsidRPr="008D0139" w:rsidRDefault="008E52E6" w:rsidP="00BA328F">
            <w:pPr>
              <w:pStyle w:val="FooterTableFigure"/>
              <w:keepNext/>
              <w:keepLines/>
              <w:spacing w:after="0"/>
              <w:jc w:val="left"/>
              <w:rPr>
                <w:iCs/>
                <w:sz w:val="20"/>
              </w:rPr>
            </w:pPr>
            <w:r w:rsidRPr="008D0139">
              <w:rPr>
                <w:iCs/>
                <w:noProof/>
                <w:sz w:val="20"/>
              </w:rPr>
              <w:drawing>
                <wp:inline distT="0" distB="0" distL="0" distR="0" wp14:anchorId="26F0D2BD" wp14:editId="04B26F8E">
                  <wp:extent cx="2643415" cy="1335974"/>
                  <wp:effectExtent l="0" t="0" r="5080" b="0"/>
                  <wp:docPr id="38" name="Picture 38" descr="Figure 2: Kaplan-Meier curves for overall survival and progression free survival in STARGLO (ITT); the red line reflects Glofit-GemOx and the blue line reflects R-Gem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gure 2: Kaplan-Meier curves for overall survival and progression free survival in STARGLO (ITT); the red line reflects Glofit-GemOx and the blue line reflects R-GemOx."/>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667909" cy="1348353"/>
                          </a:xfrm>
                          <a:prstGeom prst="rect">
                            <a:avLst/>
                          </a:prstGeom>
                        </pic:spPr>
                      </pic:pic>
                    </a:graphicData>
                  </a:graphic>
                </wp:inline>
              </w:drawing>
            </w:r>
          </w:p>
        </w:tc>
      </w:tr>
      <w:tr w:rsidR="004154DB" w:rsidRPr="008D0139" w14:paraId="7063857D" w14:textId="77777777" w:rsidTr="00F274C6">
        <w:tc>
          <w:tcPr>
            <w:tcW w:w="993" w:type="dxa"/>
            <w:vAlign w:val="center"/>
          </w:tcPr>
          <w:p w14:paraId="22E4727C" w14:textId="77777777" w:rsidR="004154DB" w:rsidRPr="008D0139" w:rsidRDefault="004154DB" w:rsidP="00BA328F">
            <w:pPr>
              <w:pStyle w:val="FooterTableFigure"/>
              <w:keepNext/>
              <w:keepLines/>
              <w:spacing w:after="0"/>
              <w:rPr>
                <w:b/>
                <w:iCs/>
              </w:rPr>
            </w:pPr>
            <w:r w:rsidRPr="008D0139">
              <w:rPr>
                <w:b/>
                <w:iCs/>
              </w:rPr>
              <w:t>Updated analysis</w:t>
            </w:r>
          </w:p>
          <w:p w14:paraId="3108D4FE" w14:textId="77777777" w:rsidR="004154DB" w:rsidRPr="008D0139" w:rsidRDefault="004154DB" w:rsidP="00BA328F">
            <w:pPr>
              <w:pStyle w:val="FooterTableFigure"/>
              <w:keepNext/>
              <w:keepLines/>
              <w:spacing w:after="0"/>
              <w:rPr>
                <w:b/>
                <w:iCs/>
              </w:rPr>
            </w:pPr>
            <w:r w:rsidRPr="008D0139">
              <w:rPr>
                <w:b/>
                <w:iCs/>
              </w:rPr>
              <w:t xml:space="preserve">(February 15, </w:t>
            </w:r>
            <w:proofErr w:type="gramStart"/>
            <w:r w:rsidRPr="008D0139">
              <w:rPr>
                <w:b/>
                <w:iCs/>
              </w:rPr>
              <w:t>2024</w:t>
            </w:r>
            <w:proofErr w:type="gramEnd"/>
            <w:r w:rsidRPr="008D0139">
              <w:rPr>
                <w:b/>
                <w:iCs/>
              </w:rPr>
              <w:t xml:space="preserve"> data cut off)</w:t>
            </w:r>
          </w:p>
        </w:tc>
        <w:tc>
          <w:tcPr>
            <w:tcW w:w="4181" w:type="dxa"/>
            <w:vAlign w:val="center"/>
          </w:tcPr>
          <w:p w14:paraId="3ADFD4DD" w14:textId="320DFA24" w:rsidR="004154DB" w:rsidRPr="008D0139" w:rsidRDefault="008E52E6" w:rsidP="00BA328F">
            <w:pPr>
              <w:pStyle w:val="FooterTableFigure"/>
              <w:keepNext/>
              <w:keepLines/>
              <w:spacing w:after="0"/>
              <w:jc w:val="left"/>
              <w:rPr>
                <w:b/>
                <w:bCs/>
                <w:iCs/>
                <w:sz w:val="20"/>
              </w:rPr>
            </w:pPr>
            <w:r w:rsidRPr="008D0139">
              <w:rPr>
                <w:iCs/>
                <w:noProof/>
                <w:sz w:val="20"/>
              </w:rPr>
              <w:drawing>
                <wp:inline distT="0" distB="0" distL="0" distR="0" wp14:anchorId="5D4207D9" wp14:editId="330AEFA5">
                  <wp:extent cx="2619375" cy="1336040"/>
                  <wp:effectExtent l="0" t="0" r="9525" b="0"/>
                  <wp:docPr id="43" name="Picture 43" descr="Figure 2: Kaplan-Meier curves for overall survival and progression free survival in STARGLO (ITT); the red line reflects Glofit-GemOx and the blue line reflects R-Gem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2: Kaplan-Meier curves for overall survival and progression free survival in STARGLO (ITT); the red line reflects Glofit-GemOx and the blue line reflects R-GemOx."/>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Lst>
                          </a:blip>
                          <a:stretch>
                            <a:fillRect/>
                          </a:stretch>
                        </pic:blipFill>
                        <pic:spPr>
                          <a:xfrm>
                            <a:off x="0" y="0"/>
                            <a:ext cx="2619952" cy="1336334"/>
                          </a:xfrm>
                          <a:prstGeom prst="rect">
                            <a:avLst/>
                          </a:prstGeom>
                        </pic:spPr>
                      </pic:pic>
                    </a:graphicData>
                  </a:graphic>
                </wp:inline>
              </w:drawing>
            </w:r>
          </w:p>
        </w:tc>
        <w:tc>
          <w:tcPr>
            <w:tcW w:w="4182" w:type="dxa"/>
            <w:vAlign w:val="center"/>
          </w:tcPr>
          <w:p w14:paraId="37F5EBCA" w14:textId="7A287FCE" w:rsidR="004154DB" w:rsidRPr="008D0139" w:rsidRDefault="008E52E6" w:rsidP="00BA328F">
            <w:pPr>
              <w:pStyle w:val="FooterTableFigure"/>
              <w:keepNext/>
              <w:keepLines/>
              <w:spacing w:after="0"/>
              <w:rPr>
                <w:iCs/>
                <w:sz w:val="20"/>
              </w:rPr>
            </w:pPr>
            <w:r w:rsidRPr="008D0139">
              <w:rPr>
                <w:iCs/>
                <w:noProof/>
                <w:sz w:val="20"/>
              </w:rPr>
              <w:drawing>
                <wp:inline distT="0" distB="0" distL="0" distR="0" wp14:anchorId="7EBBFFA3" wp14:editId="489E8BF5">
                  <wp:extent cx="2620010" cy="1341978"/>
                  <wp:effectExtent l="0" t="0" r="8890" b="0"/>
                  <wp:docPr id="42" name="Picture 42" descr="Figure 2: Kaplan-Meier curves for overall survival and progression free survival in STARGLO (ITT); the red line reflects Glofit-GemOx and the blue line reflects R-Gem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2: Kaplan-Meier curves for overall survival and progression free survival in STARGLO (ITT); the red line reflects Glofit-GemOx and the blue line reflects R-GemOx."/>
                          <pic:cNvPicPr/>
                        </pic:nvPicPr>
                        <pic:blipFill>
                          <a:blip r:embed="rId18">
                            <a:extLst>
                              <a:ext uri="{BEBA8EAE-BF5A-486C-A8C5-ECC9F3942E4B}">
                                <a14:imgProps xmlns:a14="http://schemas.microsoft.com/office/drawing/2010/main">
                                  <a14:imgLayer r:embed="rId19">
                                    <a14:imgEffect>
                                      <a14:sharpenSoften amount="25000"/>
                                    </a14:imgEffect>
                                  </a14:imgLayer>
                                </a14:imgProps>
                              </a:ext>
                            </a:extLst>
                          </a:blip>
                          <a:stretch>
                            <a:fillRect/>
                          </a:stretch>
                        </pic:blipFill>
                        <pic:spPr>
                          <a:xfrm>
                            <a:off x="0" y="0"/>
                            <a:ext cx="2624767" cy="1344414"/>
                          </a:xfrm>
                          <a:prstGeom prst="rect">
                            <a:avLst/>
                          </a:prstGeom>
                        </pic:spPr>
                      </pic:pic>
                    </a:graphicData>
                  </a:graphic>
                </wp:inline>
              </w:drawing>
            </w:r>
          </w:p>
        </w:tc>
      </w:tr>
    </w:tbl>
    <w:p w14:paraId="3504F5D6" w14:textId="77777777" w:rsidR="004154DB" w:rsidRPr="008D0139" w:rsidRDefault="004154DB" w:rsidP="00BA328F">
      <w:pPr>
        <w:pStyle w:val="FooterTableFigure"/>
        <w:keepNext/>
        <w:keepLines/>
        <w:jc w:val="left"/>
        <w:rPr>
          <w:iCs/>
          <w:szCs w:val="18"/>
        </w:rPr>
      </w:pPr>
      <w:r w:rsidRPr="008D0139">
        <w:rPr>
          <w:iCs/>
          <w:szCs w:val="18"/>
        </w:rPr>
        <w:t>Source: Figures 2.7 (p54), 2.8 (p55), 2.13 (p62) and 2.16 (p65) of the submission.</w:t>
      </w:r>
    </w:p>
    <w:p w14:paraId="1A57DC1A" w14:textId="56075ECD" w:rsidR="004154DB" w:rsidRPr="008D0139" w:rsidRDefault="004154DB" w:rsidP="00BA328F">
      <w:pPr>
        <w:pStyle w:val="FooterTableFigure"/>
        <w:keepNext/>
        <w:keepLines/>
        <w:jc w:val="left"/>
        <w:rPr>
          <w:iCs/>
          <w:szCs w:val="18"/>
        </w:rPr>
      </w:pPr>
      <w:r w:rsidRPr="008D0139">
        <w:rPr>
          <w:iCs/>
          <w:szCs w:val="18"/>
        </w:rPr>
        <w:t xml:space="preserve">OS = overall survival; PFS = progression-free survival; </w:t>
      </w:r>
      <w:r w:rsidRPr="008D0139">
        <w:rPr>
          <w:rFonts w:eastAsia="Calibri"/>
          <w:iCs/>
        </w:rPr>
        <w:t>IRC=Independent Review Committee;</w:t>
      </w:r>
      <w:r w:rsidRPr="008D0139">
        <w:rPr>
          <w:iCs/>
          <w:szCs w:val="18"/>
        </w:rPr>
        <w:t xml:space="preserve"> ITT = intention to treat; Glofit-GemOx = glofitamab + </w:t>
      </w:r>
      <w:r w:rsidR="00C55663" w:rsidRPr="008D0139">
        <w:rPr>
          <w:iCs/>
          <w:szCs w:val="18"/>
        </w:rPr>
        <w:t>gemcitabine</w:t>
      </w:r>
      <w:r w:rsidRPr="008D0139">
        <w:rPr>
          <w:iCs/>
          <w:szCs w:val="18"/>
        </w:rPr>
        <w:t xml:space="preserve"> + oxaliplatin; R-</w:t>
      </w:r>
      <w:proofErr w:type="spellStart"/>
      <w:r w:rsidRPr="008D0139">
        <w:rPr>
          <w:iCs/>
          <w:szCs w:val="18"/>
        </w:rPr>
        <w:t>GemOx</w:t>
      </w:r>
      <w:proofErr w:type="spellEnd"/>
      <w:r w:rsidRPr="008D0139">
        <w:rPr>
          <w:iCs/>
          <w:szCs w:val="18"/>
        </w:rPr>
        <w:t xml:space="preserve"> = rituximab + gemcitabine + oxaliplatin. </w:t>
      </w:r>
    </w:p>
    <w:p w14:paraId="37A37E41" w14:textId="77777777" w:rsidR="004154DB" w:rsidRPr="008D0139" w:rsidRDefault="004154DB" w:rsidP="004A1907">
      <w:pPr>
        <w:numPr>
          <w:ilvl w:val="1"/>
          <w:numId w:val="1"/>
        </w:numPr>
        <w:spacing w:before="60" w:after="60"/>
        <w:rPr>
          <w:rFonts w:asciiTheme="minorHAnsi" w:hAnsiTheme="minorHAnsi"/>
          <w:iCs/>
          <w:snapToGrid w:val="0"/>
        </w:rPr>
      </w:pPr>
      <w:r w:rsidRPr="008D0139">
        <w:rPr>
          <w:rFonts w:asciiTheme="minorHAnsi" w:hAnsiTheme="minorHAnsi"/>
          <w:iCs/>
          <w:snapToGrid w:val="0"/>
        </w:rPr>
        <w:t>Results of the primary analysis (ITT population) showed that both OS and PFS were significantly longer for patients randomised to the Glofit-GemOx, with a statistically significant reduction in the risk of death (stratified HR=0.59, 95% CI: 0.40, 0.89) and risk of progression (stratified HR=0.37, 95% CI: 0.25, 0.55). The results of the updated analysis were consistent with the primary analysis, which reported a similar reduction in the risk of death (stratified HR=0.62, 95% CI: 0.43, 0.88) and risk of progression (stratified HR=0.40, 95% CI: 0.28, 0.57). At the updated analysis, median OS was 25.5 months for Glofit-GemOx compared to 12.9 months, and median PFS was 13.8 for Glofit-GemOx compared to 3.6 months for R-</w:t>
      </w:r>
      <w:proofErr w:type="spellStart"/>
      <w:r w:rsidRPr="008D0139">
        <w:rPr>
          <w:rFonts w:asciiTheme="minorHAnsi" w:hAnsiTheme="minorHAnsi"/>
          <w:iCs/>
          <w:snapToGrid w:val="0"/>
        </w:rPr>
        <w:t>GemOx</w:t>
      </w:r>
      <w:proofErr w:type="spellEnd"/>
      <w:r w:rsidRPr="008D0139">
        <w:rPr>
          <w:rFonts w:asciiTheme="minorHAnsi" w:hAnsiTheme="minorHAnsi"/>
          <w:iCs/>
          <w:snapToGrid w:val="0"/>
        </w:rPr>
        <w:t>.</w:t>
      </w:r>
    </w:p>
    <w:p w14:paraId="162F4EEB" w14:textId="257481EB" w:rsidR="004154DB" w:rsidRPr="008D0139" w:rsidRDefault="004154DB" w:rsidP="004A1907">
      <w:pPr>
        <w:numPr>
          <w:ilvl w:val="1"/>
          <w:numId w:val="1"/>
        </w:numPr>
        <w:spacing w:before="60" w:after="60"/>
        <w:rPr>
          <w:rFonts w:asciiTheme="minorHAnsi" w:hAnsiTheme="minorHAnsi"/>
          <w:iCs/>
          <w:snapToGrid w:val="0"/>
        </w:rPr>
      </w:pPr>
      <w:r w:rsidRPr="008D0139">
        <w:rPr>
          <w:rFonts w:asciiTheme="minorHAnsi" w:hAnsiTheme="minorHAnsi"/>
          <w:iCs/>
          <w:snapToGrid w:val="0"/>
        </w:rPr>
        <w:t>The submission noted that the OS numerically favoured R-</w:t>
      </w:r>
      <w:proofErr w:type="spellStart"/>
      <w:r w:rsidRPr="008D0139">
        <w:rPr>
          <w:rFonts w:asciiTheme="minorHAnsi" w:hAnsiTheme="minorHAnsi"/>
          <w:iCs/>
          <w:snapToGrid w:val="0"/>
        </w:rPr>
        <w:t>GemOx</w:t>
      </w:r>
      <w:proofErr w:type="spellEnd"/>
      <w:r w:rsidRPr="008D0139">
        <w:rPr>
          <w:rFonts w:asciiTheme="minorHAnsi" w:hAnsiTheme="minorHAnsi"/>
          <w:iCs/>
          <w:snapToGrid w:val="0"/>
        </w:rPr>
        <w:t xml:space="preserve"> in the first 90 days (illustrated by the Kaplan-Meier curve), which was attributed to additional COVID-19 in the Glofit-GemOx treatment arm. The STARGLO trial was conducted during the COVID-19 pandemic, and the trial recorded seven deaths due to COVID-19 in the Glofit-GemOx arm prior to a protocol modification which required patients with COVID-19 to permanently discontinue treatment and prevented patients with active or recent infection from commencing treatment. The submission stated there were no further COVID-19 deaths after the amendment and sensitivity analyses censoring patients with COVID-19 showed the OS benefit was consistent with the primary analysis.</w:t>
      </w:r>
    </w:p>
    <w:p w14:paraId="2FF355E7" w14:textId="3313F409" w:rsidR="004154DB" w:rsidRPr="008D0139" w:rsidRDefault="004154DB" w:rsidP="004A1907">
      <w:pPr>
        <w:numPr>
          <w:ilvl w:val="1"/>
          <w:numId w:val="1"/>
        </w:numPr>
        <w:spacing w:before="60" w:after="60"/>
        <w:rPr>
          <w:rFonts w:asciiTheme="minorHAnsi" w:hAnsiTheme="minorHAnsi"/>
          <w:iCs/>
          <w:snapToGrid w:val="0"/>
        </w:rPr>
      </w:pPr>
      <w:r w:rsidRPr="008D0139">
        <w:rPr>
          <w:rFonts w:asciiTheme="minorHAnsi" w:hAnsiTheme="minorHAnsi"/>
          <w:iCs/>
          <w:snapToGrid w:val="0"/>
        </w:rPr>
        <w:t>Results of the primary analysis (ITT population) also showed a significant improvement favouring Glofit-GemOx for other secondary endpoints, CR (RD=28.3</w:t>
      </w:r>
      <w:r w:rsidR="004D2249" w:rsidRPr="008D0139">
        <w:rPr>
          <w:rFonts w:asciiTheme="minorHAnsi" w:hAnsiTheme="minorHAnsi"/>
          <w:iCs/>
          <w:snapToGrid w:val="0"/>
        </w:rPr>
        <w:t>%</w:t>
      </w:r>
      <w:r w:rsidRPr="008D0139">
        <w:rPr>
          <w:rFonts w:asciiTheme="minorHAnsi" w:hAnsiTheme="minorHAnsi"/>
          <w:iCs/>
          <w:snapToGrid w:val="0"/>
        </w:rPr>
        <w:t>, 95% CI: 16.3</w:t>
      </w:r>
      <w:r w:rsidR="004D2249" w:rsidRPr="008D0139">
        <w:rPr>
          <w:rFonts w:asciiTheme="minorHAnsi" w:hAnsiTheme="minorHAnsi"/>
          <w:iCs/>
          <w:snapToGrid w:val="0"/>
        </w:rPr>
        <w:t>%</w:t>
      </w:r>
      <w:r w:rsidRPr="008D0139">
        <w:rPr>
          <w:rFonts w:asciiTheme="minorHAnsi" w:hAnsiTheme="minorHAnsi"/>
          <w:iCs/>
          <w:snapToGrid w:val="0"/>
        </w:rPr>
        <w:t>, 40.3</w:t>
      </w:r>
      <w:r w:rsidR="004D2249" w:rsidRPr="008D0139">
        <w:rPr>
          <w:rFonts w:asciiTheme="minorHAnsi" w:hAnsiTheme="minorHAnsi"/>
          <w:iCs/>
          <w:snapToGrid w:val="0"/>
        </w:rPr>
        <w:t>%</w:t>
      </w:r>
      <w:r w:rsidRPr="008D0139">
        <w:rPr>
          <w:rFonts w:asciiTheme="minorHAnsi" w:hAnsiTheme="minorHAnsi"/>
          <w:iCs/>
          <w:snapToGrid w:val="0"/>
        </w:rPr>
        <w:t>) and ORR (RD=33.2</w:t>
      </w:r>
      <w:r w:rsidR="004D2249" w:rsidRPr="008D0139">
        <w:rPr>
          <w:rFonts w:asciiTheme="minorHAnsi" w:hAnsiTheme="minorHAnsi"/>
          <w:iCs/>
          <w:snapToGrid w:val="0"/>
        </w:rPr>
        <w:t>%</w:t>
      </w:r>
      <w:r w:rsidRPr="008D0139">
        <w:rPr>
          <w:rFonts w:asciiTheme="minorHAnsi" w:hAnsiTheme="minorHAnsi"/>
          <w:iCs/>
          <w:snapToGrid w:val="0"/>
        </w:rPr>
        <w:t>, 95% CI: 20.9</w:t>
      </w:r>
      <w:r w:rsidR="004D2249" w:rsidRPr="008D0139">
        <w:rPr>
          <w:rFonts w:asciiTheme="minorHAnsi" w:hAnsiTheme="minorHAnsi"/>
          <w:iCs/>
          <w:snapToGrid w:val="0"/>
        </w:rPr>
        <w:t>%</w:t>
      </w:r>
      <w:r w:rsidRPr="008D0139">
        <w:rPr>
          <w:rFonts w:asciiTheme="minorHAnsi" w:hAnsiTheme="minorHAnsi"/>
          <w:iCs/>
          <w:snapToGrid w:val="0"/>
        </w:rPr>
        <w:t>, 45.5</w:t>
      </w:r>
      <w:r w:rsidR="004D2249" w:rsidRPr="008D0139">
        <w:rPr>
          <w:rFonts w:asciiTheme="minorHAnsi" w:hAnsiTheme="minorHAnsi"/>
          <w:iCs/>
          <w:snapToGrid w:val="0"/>
        </w:rPr>
        <w:t>%</w:t>
      </w:r>
      <w:r w:rsidRPr="008D0139">
        <w:rPr>
          <w:rFonts w:asciiTheme="minorHAnsi" w:hAnsiTheme="minorHAnsi"/>
          <w:iCs/>
          <w:snapToGrid w:val="0"/>
        </w:rPr>
        <w:t>), but no difference for DOCR (HR=0.59, 95% CI: 0.19, 1.83). The results of the updated analysis were similarly consistent with the primary analysis for these secondary outcomes.</w:t>
      </w:r>
    </w:p>
    <w:p w14:paraId="3BB228F2" w14:textId="65615EAE" w:rsidR="00230F6D" w:rsidRPr="008D0139" w:rsidRDefault="008E0893" w:rsidP="004A1907">
      <w:pPr>
        <w:numPr>
          <w:ilvl w:val="1"/>
          <w:numId w:val="1"/>
        </w:numPr>
        <w:spacing w:before="60" w:after="60"/>
        <w:rPr>
          <w:rFonts w:asciiTheme="minorHAnsi" w:hAnsiTheme="minorHAnsi"/>
          <w:iCs/>
          <w:snapToGrid w:val="0"/>
        </w:rPr>
      </w:pPr>
      <w:r w:rsidRPr="008D0139">
        <w:rPr>
          <w:rFonts w:asciiTheme="minorHAnsi" w:hAnsiTheme="minorHAnsi"/>
          <w:iCs/>
          <w:snapToGrid w:val="0"/>
        </w:rPr>
        <w:t>R</w:t>
      </w:r>
      <w:r w:rsidR="004154DB" w:rsidRPr="008D0139">
        <w:rPr>
          <w:rFonts w:asciiTheme="minorHAnsi" w:hAnsiTheme="minorHAnsi"/>
          <w:iCs/>
          <w:snapToGrid w:val="0"/>
        </w:rPr>
        <w:t xml:space="preserve">esults of unstratified exploratory subgroup analyses demonstrated no difference </w:t>
      </w:r>
      <w:r w:rsidRPr="008D0139">
        <w:rPr>
          <w:rFonts w:asciiTheme="minorHAnsi" w:hAnsiTheme="minorHAnsi"/>
          <w:iCs/>
          <w:snapToGrid w:val="0"/>
        </w:rPr>
        <w:t>in OS between Glofit-GemOx and R-</w:t>
      </w:r>
      <w:r w:rsidR="00774FD3" w:rsidRPr="008D0139">
        <w:rPr>
          <w:rFonts w:asciiTheme="minorHAnsi" w:hAnsiTheme="minorHAnsi"/>
          <w:iCs/>
          <w:snapToGrid w:val="0"/>
        </w:rPr>
        <w:t> </w:t>
      </w:r>
      <w:proofErr w:type="spellStart"/>
      <w:r w:rsidRPr="008D0139">
        <w:rPr>
          <w:rFonts w:asciiTheme="minorHAnsi" w:hAnsiTheme="minorHAnsi"/>
          <w:iCs/>
          <w:snapToGrid w:val="0"/>
        </w:rPr>
        <w:t>GemOx</w:t>
      </w:r>
      <w:proofErr w:type="spellEnd"/>
      <w:r w:rsidR="00774FD3" w:rsidRPr="008D0139">
        <w:rPr>
          <w:rFonts w:asciiTheme="minorHAnsi" w:hAnsiTheme="minorHAnsi"/>
          <w:iCs/>
          <w:snapToGrid w:val="0"/>
        </w:rPr>
        <w:t xml:space="preserve"> (HRs favouring R-</w:t>
      </w:r>
      <w:proofErr w:type="spellStart"/>
      <w:r w:rsidR="00774FD3" w:rsidRPr="008D0139">
        <w:rPr>
          <w:rFonts w:asciiTheme="minorHAnsi" w:hAnsiTheme="minorHAnsi"/>
          <w:iCs/>
          <w:snapToGrid w:val="0"/>
        </w:rPr>
        <w:t>GemOx</w:t>
      </w:r>
      <w:proofErr w:type="spellEnd"/>
      <w:r w:rsidR="00774FD3" w:rsidRPr="008D0139">
        <w:rPr>
          <w:rFonts w:asciiTheme="minorHAnsi" w:hAnsiTheme="minorHAnsi"/>
          <w:iCs/>
          <w:snapToGrid w:val="0"/>
        </w:rPr>
        <w:t>)</w:t>
      </w:r>
      <w:r w:rsidRPr="008D0139">
        <w:rPr>
          <w:rFonts w:asciiTheme="minorHAnsi" w:hAnsiTheme="minorHAnsi"/>
          <w:iCs/>
          <w:snapToGrid w:val="0"/>
        </w:rPr>
        <w:t xml:space="preserve"> </w:t>
      </w:r>
      <w:r w:rsidR="004154DB" w:rsidRPr="008D0139">
        <w:rPr>
          <w:rFonts w:asciiTheme="minorHAnsi" w:hAnsiTheme="minorHAnsi"/>
          <w:iCs/>
          <w:snapToGrid w:val="0"/>
        </w:rPr>
        <w:t xml:space="preserve">for patients in the following subgroups: White race (n=115), Europe (n=88), North America (n=25), ECOG PS ≥2 (n=27) and prior </w:t>
      </w:r>
      <w:r w:rsidR="000940C3">
        <w:rPr>
          <w:rFonts w:asciiTheme="minorHAnsi" w:hAnsiTheme="minorHAnsi"/>
          <w:iCs/>
          <w:snapToGrid w:val="0"/>
        </w:rPr>
        <w:t>CAR-T cell therapy</w:t>
      </w:r>
      <w:r w:rsidR="004154DB" w:rsidRPr="008D0139">
        <w:rPr>
          <w:rFonts w:asciiTheme="minorHAnsi" w:hAnsiTheme="minorHAnsi"/>
          <w:iCs/>
          <w:snapToGrid w:val="0"/>
        </w:rPr>
        <w:t xml:space="preserve"> (n=21). The submission stated that STARGLO was not designed to detect differences by subgroups, some subgroups included very small numbers, and there was no biological underpinning for differences in results between races. The submission argued that differences by race were most likely driven by the different racial subgroups enrolled according to geographical regions. </w:t>
      </w:r>
      <w:r w:rsidR="00982F58" w:rsidRPr="008D0139">
        <w:rPr>
          <w:rFonts w:asciiTheme="minorHAnsi" w:hAnsiTheme="minorHAnsi"/>
          <w:iCs/>
          <w:snapToGrid w:val="0"/>
        </w:rPr>
        <w:t>T</w:t>
      </w:r>
      <w:r w:rsidR="004154DB" w:rsidRPr="008D0139">
        <w:rPr>
          <w:rFonts w:asciiTheme="minorHAnsi" w:hAnsiTheme="minorHAnsi"/>
          <w:iCs/>
          <w:snapToGrid w:val="0"/>
        </w:rPr>
        <w:t xml:space="preserve">he TGA clinical evaluator considered that multiple factors within subpopulations may have confounded results, </w:t>
      </w:r>
      <w:r w:rsidR="004154DB" w:rsidRPr="003911D8">
        <w:rPr>
          <w:rFonts w:asciiTheme="minorHAnsi" w:hAnsiTheme="minorHAnsi"/>
          <w:iCs/>
          <w:snapToGrid w:val="0"/>
        </w:rPr>
        <w:t xml:space="preserve">but the benefit of glofitamab on efficacy was accepted and the STARGLO ITT results </w:t>
      </w:r>
      <w:r w:rsidRPr="003911D8">
        <w:rPr>
          <w:rFonts w:asciiTheme="minorHAnsi" w:hAnsiTheme="minorHAnsi"/>
          <w:iCs/>
          <w:snapToGrid w:val="0"/>
        </w:rPr>
        <w:t xml:space="preserve">were considered </w:t>
      </w:r>
      <w:r w:rsidR="004154DB" w:rsidRPr="003911D8">
        <w:rPr>
          <w:rFonts w:asciiTheme="minorHAnsi" w:hAnsiTheme="minorHAnsi"/>
          <w:iCs/>
          <w:snapToGrid w:val="0"/>
        </w:rPr>
        <w:t>most likely applicable to the Australian population (the TGA CER).</w:t>
      </w:r>
      <w:r w:rsidR="002F1AF6" w:rsidRPr="003911D8">
        <w:rPr>
          <w:rFonts w:asciiTheme="minorHAnsi" w:hAnsiTheme="minorHAnsi"/>
          <w:iCs/>
          <w:snapToGrid w:val="0"/>
        </w:rPr>
        <w:t xml:space="preserve"> </w:t>
      </w:r>
      <w:r w:rsidR="00631B8F" w:rsidRPr="003911D8">
        <w:rPr>
          <w:rFonts w:asciiTheme="minorHAnsi" w:hAnsiTheme="minorHAnsi"/>
          <w:iCs/>
          <w:snapToGrid w:val="0"/>
        </w:rPr>
        <w:t>The</w:t>
      </w:r>
      <w:r w:rsidR="00631B8F" w:rsidRPr="008D0139">
        <w:rPr>
          <w:rFonts w:asciiTheme="minorHAnsi" w:hAnsiTheme="minorHAnsi"/>
          <w:iCs/>
          <w:snapToGrid w:val="0"/>
        </w:rPr>
        <w:t xml:space="preserve"> </w:t>
      </w:r>
      <w:r w:rsidR="00E31478" w:rsidRPr="008D0139">
        <w:rPr>
          <w:rFonts w:asciiTheme="minorHAnsi" w:hAnsiTheme="minorHAnsi"/>
          <w:iCs/>
          <w:snapToGrid w:val="0"/>
        </w:rPr>
        <w:t>ESC considered that</w:t>
      </w:r>
      <w:r w:rsidR="0021059F" w:rsidRPr="008D0139">
        <w:rPr>
          <w:rFonts w:asciiTheme="minorHAnsi" w:hAnsiTheme="minorHAnsi"/>
          <w:iCs/>
          <w:snapToGrid w:val="0"/>
        </w:rPr>
        <w:t xml:space="preserve">, whilst there were differences in the prespecified </w:t>
      </w:r>
      <w:r w:rsidR="008119A6" w:rsidRPr="008D0139">
        <w:rPr>
          <w:rFonts w:asciiTheme="minorHAnsi" w:hAnsiTheme="minorHAnsi"/>
          <w:iCs/>
          <w:snapToGrid w:val="0"/>
        </w:rPr>
        <w:t>subgroups in STARGLO</w:t>
      </w:r>
      <w:r w:rsidR="00CC46C9" w:rsidRPr="008D0139">
        <w:rPr>
          <w:rFonts w:asciiTheme="minorHAnsi" w:hAnsiTheme="minorHAnsi"/>
          <w:iCs/>
          <w:snapToGrid w:val="0"/>
        </w:rPr>
        <w:t>, particularly with regards to racial differences</w:t>
      </w:r>
      <w:r w:rsidR="008D2AD2" w:rsidRPr="008D0139">
        <w:rPr>
          <w:rFonts w:asciiTheme="minorHAnsi" w:hAnsiTheme="minorHAnsi"/>
          <w:iCs/>
          <w:snapToGrid w:val="0"/>
        </w:rPr>
        <w:t xml:space="preserve">, the study was not </w:t>
      </w:r>
      <w:r w:rsidR="00AA7DA6" w:rsidRPr="008D0139">
        <w:rPr>
          <w:rFonts w:asciiTheme="minorHAnsi" w:hAnsiTheme="minorHAnsi"/>
          <w:iCs/>
          <w:snapToGrid w:val="0"/>
        </w:rPr>
        <w:t xml:space="preserve">powered to detect a difference in </w:t>
      </w:r>
      <w:r w:rsidR="0009158D" w:rsidRPr="008D0139">
        <w:rPr>
          <w:rFonts w:asciiTheme="minorHAnsi" w:hAnsiTheme="minorHAnsi"/>
          <w:iCs/>
          <w:snapToGrid w:val="0"/>
        </w:rPr>
        <w:t>primary or secondary outcomes</w:t>
      </w:r>
      <w:r w:rsidR="00807153" w:rsidRPr="008D0139">
        <w:rPr>
          <w:rFonts w:asciiTheme="minorHAnsi" w:hAnsiTheme="minorHAnsi"/>
          <w:iCs/>
          <w:snapToGrid w:val="0"/>
        </w:rPr>
        <w:t xml:space="preserve"> in these groups</w:t>
      </w:r>
      <w:r w:rsidR="00F6423B">
        <w:rPr>
          <w:rFonts w:asciiTheme="minorHAnsi" w:hAnsiTheme="minorHAnsi"/>
          <w:iCs/>
          <w:snapToGrid w:val="0"/>
        </w:rPr>
        <w:t>.</w:t>
      </w:r>
      <w:r w:rsidR="007D2C73" w:rsidRPr="008D0139">
        <w:rPr>
          <w:rFonts w:asciiTheme="minorHAnsi" w:hAnsiTheme="minorHAnsi"/>
          <w:iCs/>
          <w:snapToGrid w:val="0"/>
        </w:rPr>
        <w:t xml:space="preserve"> </w:t>
      </w:r>
    </w:p>
    <w:bookmarkStart w:id="46" w:name="_Hlk198209580"/>
    <w:p w14:paraId="789E42C5" w14:textId="662E2283" w:rsidR="003F2E79" w:rsidRPr="008D0139" w:rsidRDefault="003F2E79" w:rsidP="004A1907">
      <w:pPr>
        <w:numPr>
          <w:ilvl w:val="1"/>
          <w:numId w:val="1"/>
        </w:numPr>
        <w:spacing w:before="60" w:after="60"/>
        <w:rPr>
          <w:rFonts w:asciiTheme="minorHAnsi" w:hAnsiTheme="minorHAnsi"/>
          <w:iCs/>
          <w:snapToGrid w:val="0"/>
        </w:rPr>
      </w:pPr>
      <w:r w:rsidRPr="008D0139">
        <w:rPr>
          <w:rFonts w:asciiTheme="minorHAnsi" w:hAnsiTheme="minorHAnsi"/>
          <w:iCs/>
          <w:snapToGrid w:val="0"/>
        </w:rPr>
        <w:fldChar w:fldCharType="begin" w:fldLock="1"/>
      </w:r>
      <w:r w:rsidRPr="008D0139">
        <w:rPr>
          <w:rFonts w:asciiTheme="minorHAnsi" w:hAnsiTheme="minorHAnsi"/>
          <w:iCs/>
          <w:snapToGrid w:val="0"/>
        </w:rPr>
        <w:instrText xml:space="preserve"> REF _Ref198210323 \h  \* MERGEFORMAT </w:instrText>
      </w:r>
      <w:r w:rsidRPr="008D0139">
        <w:rPr>
          <w:rFonts w:asciiTheme="minorHAnsi" w:hAnsiTheme="minorHAnsi"/>
          <w:iCs/>
          <w:snapToGrid w:val="0"/>
        </w:rPr>
      </w:r>
      <w:r w:rsidRPr="008D0139">
        <w:rPr>
          <w:rFonts w:asciiTheme="minorHAnsi" w:hAnsiTheme="minorHAnsi"/>
          <w:iCs/>
          <w:snapToGrid w:val="0"/>
        </w:rPr>
        <w:fldChar w:fldCharType="separate"/>
      </w:r>
      <w:r w:rsidR="003C21E7" w:rsidRPr="003C21E7">
        <w:rPr>
          <w:rFonts w:asciiTheme="minorHAnsi" w:hAnsiTheme="minorHAnsi"/>
          <w:iCs/>
          <w:snapToGrid w:val="0"/>
        </w:rPr>
        <w:t>Table 5</w:t>
      </w:r>
      <w:r w:rsidRPr="008D0139">
        <w:rPr>
          <w:rFonts w:asciiTheme="minorHAnsi" w:hAnsiTheme="minorHAnsi"/>
          <w:iCs/>
          <w:snapToGrid w:val="0"/>
        </w:rPr>
        <w:fldChar w:fldCharType="end"/>
      </w:r>
      <w:r w:rsidRPr="008D0139">
        <w:rPr>
          <w:rFonts w:asciiTheme="minorHAnsi" w:hAnsiTheme="minorHAnsi"/>
          <w:iCs/>
          <w:snapToGrid w:val="0"/>
        </w:rPr>
        <w:t xml:space="preserve"> presents results of patient-reported outcomes for the ITT population at the primary analysis and updated analysis. No difference was observed between treatment arms for time to deterioration in physical functioning, fatigue or lymphoma-specific symptoms.</w:t>
      </w:r>
    </w:p>
    <w:p w14:paraId="172CD54F" w14:textId="525ABBEB" w:rsidR="003F2E79" w:rsidRPr="008D0139" w:rsidRDefault="003F2E79" w:rsidP="00BD2661">
      <w:pPr>
        <w:pStyle w:val="3-BodyText"/>
        <w:keepNext/>
        <w:keepLines/>
        <w:spacing w:before="0" w:after="0"/>
        <w:rPr>
          <w:rFonts w:ascii="Arial Narrow" w:hAnsi="Arial Narrow"/>
          <w:b/>
          <w:bCs/>
          <w:iCs/>
          <w:sz w:val="20"/>
          <w:szCs w:val="20"/>
        </w:rPr>
      </w:pPr>
      <w:bookmarkStart w:id="47" w:name="_Ref198210323"/>
      <w:r w:rsidRPr="008D0139">
        <w:rPr>
          <w:rFonts w:ascii="Arial Narrow" w:hAnsi="Arial Narrow"/>
          <w:b/>
          <w:bCs/>
          <w:iCs/>
          <w:sz w:val="20"/>
          <w:szCs w:val="20"/>
        </w:rPr>
        <w:t xml:space="preserve">Table </w:t>
      </w:r>
      <w:r w:rsidRPr="008D0139">
        <w:rPr>
          <w:rFonts w:ascii="Arial Narrow" w:hAnsi="Arial Narrow"/>
          <w:b/>
          <w:bCs/>
          <w:iCs/>
          <w:sz w:val="20"/>
          <w:szCs w:val="20"/>
        </w:rPr>
        <w:fldChar w:fldCharType="begin" w:fldLock="1"/>
      </w:r>
      <w:r w:rsidRPr="008D0139">
        <w:rPr>
          <w:rFonts w:ascii="Arial Narrow" w:hAnsi="Arial Narrow"/>
          <w:b/>
          <w:bCs/>
          <w:iCs/>
          <w:sz w:val="20"/>
          <w:szCs w:val="20"/>
        </w:rPr>
        <w:instrText xml:space="preserve"> SEQ Table \* ARABIC </w:instrText>
      </w:r>
      <w:r w:rsidRPr="008D0139">
        <w:rPr>
          <w:rFonts w:ascii="Arial Narrow" w:hAnsi="Arial Narrow"/>
          <w:b/>
          <w:bCs/>
          <w:iCs/>
          <w:sz w:val="20"/>
          <w:szCs w:val="20"/>
        </w:rPr>
        <w:fldChar w:fldCharType="separate"/>
      </w:r>
      <w:r w:rsidR="003C21E7">
        <w:rPr>
          <w:rFonts w:ascii="Arial Narrow" w:hAnsi="Arial Narrow"/>
          <w:b/>
          <w:bCs/>
          <w:iCs/>
          <w:noProof/>
          <w:sz w:val="20"/>
          <w:szCs w:val="20"/>
        </w:rPr>
        <w:t>5</w:t>
      </w:r>
      <w:r w:rsidRPr="008D0139">
        <w:rPr>
          <w:rFonts w:ascii="Arial Narrow" w:hAnsi="Arial Narrow"/>
          <w:b/>
          <w:bCs/>
          <w:iCs/>
          <w:sz w:val="20"/>
          <w:szCs w:val="20"/>
        </w:rPr>
        <w:fldChar w:fldCharType="end"/>
      </w:r>
      <w:bookmarkEnd w:id="47"/>
      <w:r w:rsidRPr="008D0139">
        <w:rPr>
          <w:rFonts w:ascii="Arial Narrow" w:hAnsi="Arial Narrow"/>
          <w:b/>
          <w:bCs/>
          <w:iCs/>
          <w:sz w:val="20"/>
          <w:szCs w:val="20"/>
        </w:rPr>
        <w:t>:</w:t>
      </w:r>
      <w:r w:rsidRPr="008D0139">
        <w:rPr>
          <w:iCs/>
        </w:rPr>
        <w:t xml:space="preserve"> </w:t>
      </w:r>
      <w:r w:rsidRPr="008D0139">
        <w:rPr>
          <w:rFonts w:ascii="Arial Narrow" w:hAnsi="Arial Narrow"/>
          <w:b/>
          <w:bCs/>
          <w:iCs/>
          <w:sz w:val="20"/>
          <w:szCs w:val="20"/>
        </w:rPr>
        <w:t>Results for patient-reported outcomes in STARGLO (ITT population)</w:t>
      </w:r>
    </w:p>
    <w:tbl>
      <w:tblPr>
        <w:tblStyle w:val="PBAClayout"/>
        <w:tblW w:w="4973" w:type="pct"/>
        <w:tblLook w:val="04A0" w:firstRow="1" w:lastRow="0" w:firstColumn="1" w:lastColumn="0" w:noHBand="0" w:noVBand="1"/>
        <w:tblCaption w:val="Table 5: Results for patient-reported outcomes in STARGLO (ITT population)"/>
      </w:tblPr>
      <w:tblGrid>
        <w:gridCol w:w="1697"/>
        <w:gridCol w:w="1840"/>
        <w:gridCol w:w="1702"/>
        <w:gridCol w:w="1813"/>
        <w:gridCol w:w="1916"/>
      </w:tblGrid>
      <w:tr w:rsidR="003F2E79" w:rsidRPr="008D0139" w14:paraId="5BA780D3" w14:textId="77777777" w:rsidTr="002178A9">
        <w:tc>
          <w:tcPr>
            <w:tcW w:w="946" w:type="pct"/>
            <w:vMerge w:val="restart"/>
          </w:tcPr>
          <w:p w14:paraId="6382C0D0" w14:textId="77777777" w:rsidR="003F2E79" w:rsidRPr="008D0139" w:rsidRDefault="003F2E79" w:rsidP="00BD2661">
            <w:pPr>
              <w:keepNext/>
              <w:keepLines/>
              <w:widowControl w:val="0"/>
              <w:jc w:val="left"/>
              <w:rPr>
                <w:rFonts w:ascii="Arial Narrow" w:hAnsi="Arial Narrow" w:cs="Times New Roman"/>
                <w:b/>
                <w:iCs/>
                <w:sz w:val="20"/>
                <w:szCs w:val="20"/>
                <w:lang w:val="en-US"/>
              </w:rPr>
            </w:pPr>
            <w:r w:rsidRPr="008D0139">
              <w:rPr>
                <w:rFonts w:ascii="Arial Narrow" w:hAnsi="Arial Narrow" w:cs="Times New Roman"/>
                <w:b/>
                <w:iCs/>
                <w:sz w:val="20"/>
                <w:szCs w:val="20"/>
                <w:lang w:val="en-US"/>
              </w:rPr>
              <w:t>Patient-reported outcome</w:t>
            </w:r>
          </w:p>
        </w:tc>
        <w:tc>
          <w:tcPr>
            <w:tcW w:w="1975" w:type="pct"/>
            <w:gridSpan w:val="2"/>
          </w:tcPr>
          <w:p w14:paraId="2A2BE5B3" w14:textId="77777777" w:rsidR="003F2E79" w:rsidRPr="008D0139" w:rsidRDefault="003F2E79" w:rsidP="00BD2661">
            <w:pPr>
              <w:keepNext/>
              <w:keepLines/>
              <w:widowControl w:val="0"/>
              <w:jc w:val="center"/>
              <w:rPr>
                <w:rFonts w:ascii="Arial Narrow" w:hAnsi="Arial Narrow" w:cs="Times New Roman"/>
                <w:b/>
                <w:iCs/>
                <w:sz w:val="20"/>
                <w:szCs w:val="20"/>
                <w:lang w:val="en-US"/>
              </w:rPr>
            </w:pPr>
            <w:r w:rsidRPr="008D0139">
              <w:rPr>
                <w:rFonts w:ascii="Arial Narrow" w:hAnsi="Arial Narrow" w:cs="Times New Roman"/>
                <w:b/>
                <w:iCs/>
                <w:sz w:val="20"/>
                <w:szCs w:val="20"/>
                <w:lang w:val="en-US"/>
              </w:rPr>
              <w:t xml:space="preserve">Primary </w:t>
            </w:r>
            <w:proofErr w:type="gramStart"/>
            <w:r w:rsidRPr="008D0139">
              <w:rPr>
                <w:rFonts w:ascii="Arial Narrow" w:hAnsi="Arial Narrow" w:cs="Times New Roman"/>
                <w:b/>
                <w:iCs/>
                <w:sz w:val="20"/>
                <w:szCs w:val="20"/>
                <w:lang w:val="en-US"/>
              </w:rPr>
              <w:t>analysis;</w:t>
            </w:r>
            <w:proofErr w:type="gramEnd"/>
          </w:p>
          <w:p w14:paraId="7117BA59" w14:textId="77777777" w:rsidR="003F2E79" w:rsidRPr="008D0139" w:rsidRDefault="003F2E79" w:rsidP="00BD2661">
            <w:pPr>
              <w:keepNext/>
              <w:keepLines/>
              <w:widowControl w:val="0"/>
              <w:jc w:val="center"/>
              <w:rPr>
                <w:rFonts w:ascii="Arial Narrow" w:hAnsi="Arial Narrow" w:cs="Times New Roman"/>
                <w:b/>
                <w:iCs/>
                <w:sz w:val="20"/>
                <w:szCs w:val="20"/>
                <w:lang w:val="en-US"/>
              </w:rPr>
            </w:pPr>
            <w:r w:rsidRPr="008D0139">
              <w:rPr>
                <w:rFonts w:ascii="Arial Narrow" w:hAnsi="Arial Narrow" w:cs="Times New Roman"/>
                <w:b/>
                <w:iCs/>
                <w:sz w:val="20"/>
                <w:szCs w:val="20"/>
                <w:lang w:val="en-US"/>
              </w:rPr>
              <w:t>Clinical data cut-off: March 29, 2023</w:t>
            </w:r>
          </w:p>
        </w:tc>
        <w:tc>
          <w:tcPr>
            <w:tcW w:w="2079" w:type="pct"/>
            <w:gridSpan w:val="2"/>
          </w:tcPr>
          <w:p w14:paraId="3654DC9F" w14:textId="77777777" w:rsidR="003F2E79" w:rsidRPr="008D0139" w:rsidRDefault="003F2E79" w:rsidP="00BD2661">
            <w:pPr>
              <w:keepNext/>
              <w:keepLines/>
              <w:widowControl w:val="0"/>
              <w:jc w:val="center"/>
              <w:rPr>
                <w:rFonts w:ascii="Arial Narrow" w:hAnsi="Arial Narrow" w:cs="Times New Roman"/>
                <w:b/>
                <w:iCs/>
                <w:sz w:val="20"/>
                <w:szCs w:val="20"/>
                <w:lang w:val="en-US"/>
              </w:rPr>
            </w:pPr>
            <w:r w:rsidRPr="008D0139">
              <w:rPr>
                <w:rFonts w:ascii="Arial Narrow" w:hAnsi="Arial Narrow" w:cs="Times New Roman"/>
                <w:b/>
                <w:iCs/>
                <w:sz w:val="20"/>
                <w:szCs w:val="20"/>
                <w:lang w:val="en-US"/>
              </w:rPr>
              <w:t xml:space="preserve">Updated </w:t>
            </w:r>
            <w:proofErr w:type="gramStart"/>
            <w:r w:rsidRPr="008D0139">
              <w:rPr>
                <w:rFonts w:ascii="Arial Narrow" w:hAnsi="Arial Narrow" w:cs="Times New Roman"/>
                <w:b/>
                <w:iCs/>
                <w:sz w:val="20"/>
                <w:szCs w:val="20"/>
                <w:lang w:val="en-US"/>
              </w:rPr>
              <w:t>analysis;</w:t>
            </w:r>
            <w:proofErr w:type="gramEnd"/>
          </w:p>
          <w:p w14:paraId="70A09600" w14:textId="77777777" w:rsidR="003F2E79" w:rsidRPr="008D0139" w:rsidRDefault="003F2E79" w:rsidP="00BD2661">
            <w:pPr>
              <w:keepNext/>
              <w:keepLines/>
              <w:widowControl w:val="0"/>
              <w:jc w:val="center"/>
              <w:rPr>
                <w:rFonts w:ascii="Arial Narrow" w:hAnsi="Arial Narrow" w:cs="Times New Roman"/>
                <w:b/>
                <w:iCs/>
                <w:sz w:val="20"/>
                <w:szCs w:val="20"/>
                <w:lang w:val="en-US"/>
              </w:rPr>
            </w:pPr>
            <w:r w:rsidRPr="008D0139">
              <w:rPr>
                <w:rFonts w:ascii="Arial Narrow" w:hAnsi="Arial Narrow" w:cs="Times New Roman"/>
                <w:b/>
                <w:iCs/>
                <w:sz w:val="20"/>
                <w:szCs w:val="20"/>
                <w:lang w:val="en-US"/>
              </w:rPr>
              <w:t>Clinical data cut-off: February 16, 2024</w:t>
            </w:r>
          </w:p>
        </w:tc>
      </w:tr>
      <w:tr w:rsidR="003F2E79" w:rsidRPr="008D0139" w14:paraId="1B5F668C" w14:textId="77777777" w:rsidTr="002178A9">
        <w:tc>
          <w:tcPr>
            <w:tcW w:w="946" w:type="pct"/>
            <w:vMerge/>
          </w:tcPr>
          <w:p w14:paraId="4405FE30" w14:textId="77777777" w:rsidR="003F2E79" w:rsidRPr="008D0139" w:rsidRDefault="003F2E79" w:rsidP="00BD2661">
            <w:pPr>
              <w:keepNext/>
              <w:keepLines/>
              <w:widowControl w:val="0"/>
              <w:jc w:val="left"/>
              <w:rPr>
                <w:rFonts w:ascii="Arial Narrow" w:hAnsi="Arial Narrow" w:cs="Times New Roman"/>
                <w:b/>
                <w:iCs/>
                <w:sz w:val="20"/>
                <w:szCs w:val="20"/>
                <w:lang w:val="en-US"/>
              </w:rPr>
            </w:pPr>
          </w:p>
        </w:tc>
        <w:tc>
          <w:tcPr>
            <w:tcW w:w="1026" w:type="pct"/>
          </w:tcPr>
          <w:p w14:paraId="34F5419E" w14:textId="77777777" w:rsidR="003F2E79" w:rsidRPr="008D0139" w:rsidRDefault="003F2E79" w:rsidP="00BD2661">
            <w:pPr>
              <w:keepNext/>
              <w:keepLines/>
              <w:widowControl w:val="0"/>
              <w:jc w:val="center"/>
              <w:rPr>
                <w:rFonts w:ascii="Arial Narrow" w:hAnsi="Arial Narrow" w:cs="Times New Roman"/>
                <w:b/>
                <w:iCs/>
                <w:sz w:val="20"/>
                <w:szCs w:val="20"/>
                <w:lang w:val="en-US"/>
              </w:rPr>
            </w:pPr>
            <w:r w:rsidRPr="008D0139">
              <w:rPr>
                <w:rFonts w:ascii="Arial Narrow" w:hAnsi="Arial Narrow" w:cs="Times New Roman"/>
                <w:b/>
                <w:iCs/>
                <w:sz w:val="20"/>
                <w:szCs w:val="20"/>
                <w:lang w:val="en-US"/>
              </w:rPr>
              <w:t>Glofit-GemOx</w:t>
            </w:r>
          </w:p>
        </w:tc>
        <w:tc>
          <w:tcPr>
            <w:tcW w:w="949" w:type="pct"/>
          </w:tcPr>
          <w:p w14:paraId="3FE31D7F" w14:textId="77777777" w:rsidR="003F2E79" w:rsidRPr="008D0139" w:rsidRDefault="003F2E79" w:rsidP="00BD2661">
            <w:pPr>
              <w:keepNext/>
              <w:keepLines/>
              <w:widowControl w:val="0"/>
              <w:jc w:val="center"/>
              <w:rPr>
                <w:rFonts w:ascii="Arial Narrow" w:hAnsi="Arial Narrow" w:cs="Times New Roman"/>
                <w:b/>
                <w:iCs/>
                <w:sz w:val="20"/>
                <w:szCs w:val="20"/>
                <w:lang w:val="en-US"/>
              </w:rPr>
            </w:pPr>
            <w:r w:rsidRPr="008D0139">
              <w:rPr>
                <w:rFonts w:ascii="Arial Narrow" w:hAnsi="Arial Narrow" w:cs="Times New Roman"/>
                <w:b/>
                <w:iCs/>
                <w:sz w:val="20"/>
                <w:szCs w:val="20"/>
                <w:lang w:val="en-US"/>
              </w:rPr>
              <w:t>R-</w:t>
            </w:r>
            <w:proofErr w:type="spellStart"/>
            <w:r w:rsidRPr="008D0139">
              <w:rPr>
                <w:rFonts w:ascii="Arial Narrow" w:hAnsi="Arial Narrow" w:cs="Times New Roman"/>
                <w:b/>
                <w:iCs/>
                <w:sz w:val="20"/>
                <w:szCs w:val="20"/>
                <w:lang w:val="en-US"/>
              </w:rPr>
              <w:t>GemOx</w:t>
            </w:r>
            <w:proofErr w:type="spellEnd"/>
          </w:p>
        </w:tc>
        <w:tc>
          <w:tcPr>
            <w:tcW w:w="1011" w:type="pct"/>
          </w:tcPr>
          <w:p w14:paraId="06EF557A" w14:textId="77777777" w:rsidR="003F2E79" w:rsidRPr="008D0139" w:rsidRDefault="003F2E79" w:rsidP="00BD2661">
            <w:pPr>
              <w:keepNext/>
              <w:keepLines/>
              <w:widowControl w:val="0"/>
              <w:jc w:val="center"/>
              <w:rPr>
                <w:rFonts w:ascii="Arial Narrow" w:hAnsi="Arial Narrow" w:cs="Times New Roman"/>
                <w:b/>
                <w:iCs/>
                <w:sz w:val="20"/>
                <w:szCs w:val="20"/>
                <w:lang w:val="en-US"/>
              </w:rPr>
            </w:pPr>
            <w:r w:rsidRPr="008D0139">
              <w:rPr>
                <w:rFonts w:ascii="Arial Narrow" w:hAnsi="Arial Narrow" w:cs="Times New Roman"/>
                <w:b/>
                <w:iCs/>
                <w:sz w:val="20"/>
                <w:szCs w:val="20"/>
                <w:lang w:val="en-US"/>
              </w:rPr>
              <w:t>Glofit-GemOx</w:t>
            </w:r>
          </w:p>
        </w:tc>
        <w:tc>
          <w:tcPr>
            <w:tcW w:w="1068" w:type="pct"/>
          </w:tcPr>
          <w:p w14:paraId="26AECF9C" w14:textId="77777777" w:rsidR="003F2E79" w:rsidRPr="008D0139" w:rsidRDefault="003F2E79" w:rsidP="00BD2661">
            <w:pPr>
              <w:keepNext/>
              <w:keepLines/>
              <w:widowControl w:val="0"/>
              <w:jc w:val="center"/>
              <w:rPr>
                <w:rFonts w:ascii="Arial Narrow" w:hAnsi="Arial Narrow" w:cs="Times New Roman"/>
                <w:b/>
                <w:iCs/>
                <w:sz w:val="20"/>
                <w:szCs w:val="20"/>
                <w:lang w:val="en-US"/>
              </w:rPr>
            </w:pPr>
            <w:r w:rsidRPr="008D0139">
              <w:rPr>
                <w:rFonts w:ascii="Arial Narrow" w:hAnsi="Arial Narrow" w:cs="Times New Roman"/>
                <w:b/>
                <w:iCs/>
                <w:sz w:val="20"/>
                <w:szCs w:val="20"/>
                <w:lang w:val="en-US"/>
              </w:rPr>
              <w:t>R-</w:t>
            </w:r>
            <w:proofErr w:type="spellStart"/>
            <w:r w:rsidRPr="008D0139">
              <w:rPr>
                <w:rFonts w:ascii="Arial Narrow" w:hAnsi="Arial Narrow" w:cs="Times New Roman"/>
                <w:b/>
                <w:iCs/>
                <w:sz w:val="20"/>
                <w:szCs w:val="20"/>
                <w:lang w:val="en-US"/>
              </w:rPr>
              <w:t>GemOx</w:t>
            </w:r>
            <w:proofErr w:type="spellEnd"/>
          </w:p>
        </w:tc>
      </w:tr>
      <w:tr w:rsidR="003F2E79" w:rsidRPr="008D0139" w14:paraId="7BC3C7E5" w14:textId="77777777" w:rsidTr="002178A9">
        <w:tc>
          <w:tcPr>
            <w:tcW w:w="5000" w:type="pct"/>
            <w:gridSpan w:val="5"/>
            <w:tcBorders>
              <w:bottom w:val="single" w:sz="4" w:space="0" w:color="auto"/>
            </w:tcBorders>
            <w:vAlign w:val="top"/>
          </w:tcPr>
          <w:p w14:paraId="35EDB84A" w14:textId="77777777" w:rsidR="003F2E79" w:rsidRPr="008D0139" w:rsidRDefault="003F2E79" w:rsidP="00BD2661">
            <w:pPr>
              <w:keepNext/>
              <w:keepLines/>
              <w:widowControl w:val="0"/>
              <w:jc w:val="left"/>
              <w:rPr>
                <w:rFonts w:ascii="Arial Narrow" w:hAnsi="Arial Narrow" w:cs="Times New Roman"/>
                <w:bCs/>
                <w:iCs/>
                <w:sz w:val="20"/>
                <w:szCs w:val="20"/>
              </w:rPr>
            </w:pPr>
            <w:r w:rsidRPr="008D0139">
              <w:rPr>
                <w:rFonts w:ascii="Arial Narrow" w:hAnsi="Arial Narrow" w:cs="Times New Roman"/>
                <w:b/>
                <w:bCs/>
                <w:iCs/>
                <w:sz w:val="20"/>
                <w:szCs w:val="20"/>
              </w:rPr>
              <w:t>Time to Confirmed Deterioration in Physical Functioning (using EORTC QLQ-C30)</w:t>
            </w:r>
          </w:p>
        </w:tc>
      </w:tr>
      <w:tr w:rsidR="003F2E79" w:rsidRPr="008D0139" w14:paraId="45E187FB" w14:textId="77777777" w:rsidTr="002178A9">
        <w:tc>
          <w:tcPr>
            <w:tcW w:w="946" w:type="pct"/>
            <w:tcBorders>
              <w:bottom w:val="nil"/>
            </w:tcBorders>
            <w:vAlign w:val="top"/>
          </w:tcPr>
          <w:p w14:paraId="20D8944E" w14:textId="77777777" w:rsidR="003F2E79" w:rsidRPr="008D0139" w:rsidRDefault="003F2E79" w:rsidP="00BD2661">
            <w:pPr>
              <w:keepNext/>
              <w:keepLines/>
              <w:widowControl w:val="0"/>
              <w:jc w:val="left"/>
              <w:rPr>
                <w:rFonts w:ascii="Arial Narrow" w:hAnsi="Arial Narrow" w:cs="Times New Roman"/>
                <w:bCs/>
                <w:iCs/>
                <w:sz w:val="20"/>
                <w:szCs w:val="20"/>
              </w:rPr>
            </w:pPr>
            <w:r w:rsidRPr="008D0139">
              <w:rPr>
                <w:rFonts w:ascii="Arial Narrow" w:hAnsi="Arial Narrow" w:cs="Times New Roman"/>
                <w:bCs/>
                <w:iCs/>
                <w:sz w:val="20"/>
                <w:szCs w:val="20"/>
              </w:rPr>
              <w:t>Median, months (95% CI)</w:t>
            </w:r>
          </w:p>
        </w:tc>
        <w:tc>
          <w:tcPr>
            <w:tcW w:w="1026" w:type="pct"/>
            <w:tcBorders>
              <w:bottom w:val="nil"/>
            </w:tcBorders>
          </w:tcPr>
          <w:p w14:paraId="2FBE2E68"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NE (10.1, NE)</w:t>
            </w:r>
          </w:p>
        </w:tc>
        <w:tc>
          <w:tcPr>
            <w:tcW w:w="949" w:type="pct"/>
            <w:tcBorders>
              <w:bottom w:val="nil"/>
            </w:tcBorders>
          </w:tcPr>
          <w:p w14:paraId="2E071CDB"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16.4 (16.4, NE)</w:t>
            </w:r>
          </w:p>
        </w:tc>
        <w:tc>
          <w:tcPr>
            <w:tcW w:w="1011" w:type="pct"/>
            <w:tcBorders>
              <w:bottom w:val="nil"/>
            </w:tcBorders>
          </w:tcPr>
          <w:p w14:paraId="61EAC590"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23.0 (10.3, NE)</w:t>
            </w:r>
          </w:p>
        </w:tc>
        <w:tc>
          <w:tcPr>
            <w:tcW w:w="1068" w:type="pct"/>
            <w:tcBorders>
              <w:bottom w:val="nil"/>
            </w:tcBorders>
          </w:tcPr>
          <w:p w14:paraId="06AA1483"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18.0 (8.6, NE)</w:t>
            </w:r>
          </w:p>
        </w:tc>
      </w:tr>
      <w:tr w:rsidR="003F2E79" w:rsidRPr="008D0139" w14:paraId="4D7B2C51" w14:textId="77777777" w:rsidTr="002178A9">
        <w:tc>
          <w:tcPr>
            <w:tcW w:w="946" w:type="pct"/>
            <w:tcBorders>
              <w:top w:val="nil"/>
            </w:tcBorders>
            <w:vAlign w:val="top"/>
          </w:tcPr>
          <w:p w14:paraId="782A9055" w14:textId="77777777" w:rsidR="003F2E79" w:rsidRPr="008D0139" w:rsidRDefault="003F2E79" w:rsidP="00BD2661">
            <w:pPr>
              <w:keepNext/>
              <w:keepLines/>
              <w:widowControl w:val="0"/>
              <w:jc w:val="left"/>
              <w:rPr>
                <w:rFonts w:ascii="Arial Narrow" w:hAnsi="Arial Narrow" w:cs="Times New Roman"/>
                <w:bCs/>
                <w:iCs/>
                <w:sz w:val="20"/>
                <w:szCs w:val="20"/>
              </w:rPr>
            </w:pPr>
            <w:r w:rsidRPr="008D0139">
              <w:rPr>
                <w:rFonts w:ascii="Arial Narrow" w:hAnsi="Arial Narrow" w:cs="Times New Roman"/>
                <w:bCs/>
                <w:iCs/>
                <w:sz w:val="20"/>
                <w:szCs w:val="20"/>
              </w:rPr>
              <w:t>Stratified HR (95% CI)</w:t>
            </w:r>
          </w:p>
        </w:tc>
        <w:tc>
          <w:tcPr>
            <w:tcW w:w="1975" w:type="pct"/>
            <w:gridSpan w:val="2"/>
            <w:tcBorders>
              <w:top w:val="single" w:sz="4" w:space="0" w:color="auto"/>
            </w:tcBorders>
          </w:tcPr>
          <w:p w14:paraId="13EFF927" w14:textId="77777777" w:rsidR="003F2E79" w:rsidRPr="008D0139" w:rsidRDefault="003F2E79" w:rsidP="00BD2661">
            <w:pPr>
              <w:keepNext/>
              <w:keepLines/>
              <w:widowControl w:val="0"/>
              <w:jc w:val="center"/>
              <w:rPr>
                <w:rFonts w:ascii="Arial Narrow" w:hAnsi="Arial Narrow" w:cs="Times New Roman"/>
                <w:iCs/>
                <w:sz w:val="20"/>
                <w:szCs w:val="20"/>
              </w:rPr>
            </w:pPr>
            <w:r w:rsidRPr="008D0139">
              <w:rPr>
                <w:rFonts w:ascii="Arial Narrow" w:hAnsi="Arial Narrow" w:cs="Times New Roman"/>
                <w:iCs/>
                <w:sz w:val="20"/>
                <w:szCs w:val="20"/>
              </w:rPr>
              <w:t>0.95 (0.58, 1.55)</w:t>
            </w:r>
          </w:p>
        </w:tc>
        <w:tc>
          <w:tcPr>
            <w:tcW w:w="2079" w:type="pct"/>
            <w:gridSpan w:val="2"/>
            <w:tcBorders>
              <w:top w:val="single" w:sz="4" w:space="0" w:color="auto"/>
            </w:tcBorders>
          </w:tcPr>
          <w:p w14:paraId="783612C6" w14:textId="77777777" w:rsidR="003F2E79" w:rsidRPr="008D0139" w:rsidRDefault="003F2E79" w:rsidP="00BD2661">
            <w:pPr>
              <w:keepNext/>
              <w:keepLines/>
              <w:widowControl w:val="0"/>
              <w:jc w:val="center"/>
              <w:rPr>
                <w:rFonts w:ascii="Arial Narrow" w:hAnsi="Arial Narrow" w:cs="Times New Roman"/>
                <w:iCs/>
                <w:sz w:val="20"/>
                <w:szCs w:val="20"/>
              </w:rPr>
            </w:pPr>
            <w:r w:rsidRPr="008D0139">
              <w:rPr>
                <w:rFonts w:ascii="Arial Narrow" w:hAnsi="Arial Narrow" w:cs="Times New Roman"/>
                <w:iCs/>
                <w:sz w:val="20"/>
                <w:szCs w:val="20"/>
              </w:rPr>
              <w:t>0.93 (0.59, 1.48)</w:t>
            </w:r>
          </w:p>
        </w:tc>
      </w:tr>
      <w:tr w:rsidR="003F2E79" w:rsidRPr="008D0139" w14:paraId="41DEF7E4" w14:textId="77777777" w:rsidTr="002178A9">
        <w:tc>
          <w:tcPr>
            <w:tcW w:w="5000" w:type="pct"/>
            <w:gridSpan w:val="5"/>
            <w:tcBorders>
              <w:bottom w:val="single" w:sz="4" w:space="0" w:color="auto"/>
            </w:tcBorders>
            <w:vAlign w:val="top"/>
          </w:tcPr>
          <w:p w14:paraId="095FF8F8" w14:textId="77777777" w:rsidR="003F2E79" w:rsidRPr="008D0139" w:rsidRDefault="003F2E79" w:rsidP="00BD2661">
            <w:pPr>
              <w:keepNext/>
              <w:keepLines/>
              <w:widowControl w:val="0"/>
              <w:jc w:val="left"/>
              <w:rPr>
                <w:rFonts w:ascii="Arial Narrow" w:hAnsi="Arial Narrow" w:cs="Times New Roman"/>
                <w:bCs/>
                <w:iCs/>
                <w:sz w:val="20"/>
                <w:szCs w:val="20"/>
              </w:rPr>
            </w:pPr>
            <w:r w:rsidRPr="008D0139">
              <w:rPr>
                <w:rFonts w:ascii="Arial Narrow" w:hAnsi="Arial Narrow" w:cs="Times New Roman"/>
                <w:b/>
                <w:bCs/>
                <w:iCs/>
                <w:sz w:val="20"/>
                <w:szCs w:val="20"/>
              </w:rPr>
              <w:t>Time to Confirmed Deterioration in Fatigue (using EORTC QLQ-C30)</w:t>
            </w:r>
          </w:p>
        </w:tc>
      </w:tr>
      <w:tr w:rsidR="003F2E79" w:rsidRPr="008D0139" w14:paraId="1682A809" w14:textId="77777777" w:rsidTr="002178A9">
        <w:tc>
          <w:tcPr>
            <w:tcW w:w="946" w:type="pct"/>
            <w:tcBorders>
              <w:bottom w:val="nil"/>
            </w:tcBorders>
            <w:vAlign w:val="top"/>
          </w:tcPr>
          <w:p w14:paraId="21D8CFB4" w14:textId="77777777" w:rsidR="003F2E79" w:rsidRPr="008D0139" w:rsidRDefault="003F2E79" w:rsidP="00BD2661">
            <w:pPr>
              <w:keepNext/>
              <w:keepLines/>
              <w:widowControl w:val="0"/>
              <w:jc w:val="left"/>
              <w:rPr>
                <w:rFonts w:ascii="Arial Narrow" w:hAnsi="Arial Narrow" w:cs="Times New Roman"/>
                <w:bCs/>
                <w:iCs/>
                <w:sz w:val="20"/>
                <w:szCs w:val="20"/>
              </w:rPr>
            </w:pPr>
            <w:r w:rsidRPr="008D0139">
              <w:rPr>
                <w:rFonts w:ascii="Arial Narrow" w:hAnsi="Arial Narrow" w:cs="Times New Roman"/>
                <w:bCs/>
                <w:iCs/>
                <w:sz w:val="20"/>
                <w:szCs w:val="20"/>
              </w:rPr>
              <w:t>Median, months (95% CI)</w:t>
            </w:r>
          </w:p>
        </w:tc>
        <w:tc>
          <w:tcPr>
            <w:tcW w:w="1026" w:type="pct"/>
            <w:tcBorders>
              <w:bottom w:val="nil"/>
            </w:tcBorders>
          </w:tcPr>
          <w:p w14:paraId="15A4F91F"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1.6 (1.4, 3.1)</w:t>
            </w:r>
          </w:p>
        </w:tc>
        <w:tc>
          <w:tcPr>
            <w:tcW w:w="949" w:type="pct"/>
            <w:tcBorders>
              <w:bottom w:val="nil"/>
            </w:tcBorders>
          </w:tcPr>
          <w:p w14:paraId="74F5CDBC"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1.4 (1.0, 4.2)</w:t>
            </w:r>
          </w:p>
        </w:tc>
        <w:tc>
          <w:tcPr>
            <w:tcW w:w="1011" w:type="pct"/>
            <w:tcBorders>
              <w:bottom w:val="nil"/>
            </w:tcBorders>
          </w:tcPr>
          <w:p w14:paraId="14E29D56"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1.6 (1.4, 3.1)</w:t>
            </w:r>
          </w:p>
        </w:tc>
        <w:tc>
          <w:tcPr>
            <w:tcW w:w="1068" w:type="pct"/>
            <w:tcBorders>
              <w:bottom w:val="nil"/>
            </w:tcBorders>
          </w:tcPr>
          <w:p w14:paraId="54BA9F6B"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1.4 (1.0, 4.2)</w:t>
            </w:r>
          </w:p>
        </w:tc>
      </w:tr>
      <w:tr w:rsidR="003F2E79" w:rsidRPr="008D0139" w14:paraId="00E3E6BB" w14:textId="77777777" w:rsidTr="002178A9">
        <w:tc>
          <w:tcPr>
            <w:tcW w:w="946" w:type="pct"/>
            <w:tcBorders>
              <w:top w:val="nil"/>
            </w:tcBorders>
            <w:vAlign w:val="top"/>
          </w:tcPr>
          <w:p w14:paraId="2D7524C8" w14:textId="77777777" w:rsidR="003F2E79" w:rsidRPr="008D0139" w:rsidRDefault="003F2E79" w:rsidP="00BD2661">
            <w:pPr>
              <w:keepNext/>
              <w:keepLines/>
              <w:widowControl w:val="0"/>
              <w:jc w:val="left"/>
              <w:rPr>
                <w:rFonts w:ascii="Arial Narrow" w:hAnsi="Arial Narrow" w:cs="Times New Roman"/>
                <w:bCs/>
                <w:iCs/>
                <w:sz w:val="20"/>
                <w:szCs w:val="20"/>
              </w:rPr>
            </w:pPr>
            <w:r w:rsidRPr="008D0139">
              <w:rPr>
                <w:rFonts w:ascii="Arial Narrow" w:hAnsi="Arial Narrow" w:cs="Times New Roman"/>
                <w:bCs/>
                <w:iCs/>
                <w:sz w:val="20"/>
                <w:szCs w:val="20"/>
              </w:rPr>
              <w:t>Stratified HR (95% CI)</w:t>
            </w:r>
          </w:p>
        </w:tc>
        <w:tc>
          <w:tcPr>
            <w:tcW w:w="1975" w:type="pct"/>
            <w:gridSpan w:val="2"/>
          </w:tcPr>
          <w:p w14:paraId="0210D963" w14:textId="77777777" w:rsidR="003F2E79" w:rsidRPr="008D0139" w:rsidRDefault="003F2E79" w:rsidP="00BD2661">
            <w:pPr>
              <w:keepNext/>
              <w:keepLines/>
              <w:widowControl w:val="0"/>
              <w:jc w:val="center"/>
              <w:rPr>
                <w:rFonts w:ascii="Arial Narrow" w:hAnsi="Arial Narrow" w:cs="Times New Roman"/>
                <w:iCs/>
                <w:sz w:val="20"/>
                <w:szCs w:val="20"/>
              </w:rPr>
            </w:pPr>
            <w:r w:rsidRPr="008D0139">
              <w:rPr>
                <w:rFonts w:ascii="Arial Narrow" w:hAnsi="Arial Narrow" w:cs="Times New Roman"/>
                <w:iCs/>
                <w:sz w:val="20"/>
                <w:szCs w:val="20"/>
              </w:rPr>
              <w:t>0.95 (0.67, 1.36)</w:t>
            </w:r>
          </w:p>
        </w:tc>
        <w:tc>
          <w:tcPr>
            <w:tcW w:w="2079" w:type="pct"/>
            <w:gridSpan w:val="2"/>
          </w:tcPr>
          <w:p w14:paraId="5B705E70" w14:textId="77777777" w:rsidR="003F2E79" w:rsidRPr="008D0139" w:rsidRDefault="003F2E79" w:rsidP="00BD2661">
            <w:pPr>
              <w:keepNext/>
              <w:keepLines/>
              <w:widowControl w:val="0"/>
              <w:jc w:val="center"/>
              <w:rPr>
                <w:rFonts w:ascii="Arial Narrow" w:hAnsi="Arial Narrow" w:cs="Times New Roman"/>
                <w:iCs/>
                <w:sz w:val="20"/>
                <w:szCs w:val="20"/>
              </w:rPr>
            </w:pPr>
            <w:r w:rsidRPr="008D0139">
              <w:rPr>
                <w:rFonts w:ascii="Arial Narrow" w:hAnsi="Arial Narrow" w:cs="Times New Roman"/>
                <w:iCs/>
                <w:sz w:val="20"/>
                <w:szCs w:val="20"/>
              </w:rPr>
              <w:t>0.93 (0.67, 1.30)</w:t>
            </w:r>
          </w:p>
        </w:tc>
      </w:tr>
      <w:tr w:rsidR="003F2E79" w:rsidRPr="008D0139" w14:paraId="0FBCD41C" w14:textId="77777777" w:rsidTr="002178A9">
        <w:tc>
          <w:tcPr>
            <w:tcW w:w="5000" w:type="pct"/>
            <w:gridSpan w:val="5"/>
            <w:tcBorders>
              <w:bottom w:val="single" w:sz="4" w:space="0" w:color="auto"/>
            </w:tcBorders>
            <w:vAlign w:val="top"/>
          </w:tcPr>
          <w:p w14:paraId="4217379A" w14:textId="77777777" w:rsidR="003F2E79" w:rsidRPr="008D0139" w:rsidRDefault="003F2E79" w:rsidP="00BD2661">
            <w:pPr>
              <w:keepNext/>
              <w:keepLines/>
              <w:widowControl w:val="0"/>
              <w:jc w:val="left"/>
              <w:rPr>
                <w:rFonts w:ascii="Arial Narrow" w:hAnsi="Arial Narrow" w:cs="Times New Roman"/>
                <w:bCs/>
                <w:iCs/>
                <w:sz w:val="20"/>
                <w:szCs w:val="20"/>
              </w:rPr>
            </w:pPr>
            <w:r w:rsidRPr="008D0139">
              <w:rPr>
                <w:rFonts w:ascii="Arial Narrow" w:hAnsi="Arial Narrow" w:cs="Times New Roman"/>
                <w:b/>
                <w:bCs/>
                <w:iCs/>
                <w:sz w:val="20"/>
                <w:szCs w:val="20"/>
              </w:rPr>
              <w:t xml:space="preserve">Time to Confirmed Deterioration in Lymphoma-Specific Symptoms (FACT-Lym </w:t>
            </w:r>
            <w:proofErr w:type="spellStart"/>
            <w:r w:rsidRPr="008D0139">
              <w:rPr>
                <w:rFonts w:ascii="Arial Narrow" w:hAnsi="Arial Narrow" w:cs="Times New Roman"/>
                <w:b/>
                <w:bCs/>
                <w:iCs/>
                <w:sz w:val="20"/>
                <w:szCs w:val="20"/>
              </w:rPr>
              <w:t>LymS</w:t>
            </w:r>
            <w:proofErr w:type="spellEnd"/>
            <w:r w:rsidRPr="008D0139">
              <w:rPr>
                <w:rFonts w:ascii="Arial Narrow" w:hAnsi="Arial Narrow" w:cs="Times New Roman"/>
                <w:b/>
                <w:bCs/>
                <w:iCs/>
                <w:sz w:val="20"/>
                <w:szCs w:val="20"/>
              </w:rPr>
              <w:t>)</w:t>
            </w:r>
          </w:p>
        </w:tc>
      </w:tr>
      <w:tr w:rsidR="003F2E79" w:rsidRPr="008D0139" w14:paraId="6194E5EE" w14:textId="77777777" w:rsidTr="002178A9">
        <w:tc>
          <w:tcPr>
            <w:tcW w:w="946" w:type="pct"/>
            <w:tcBorders>
              <w:bottom w:val="nil"/>
            </w:tcBorders>
            <w:vAlign w:val="top"/>
          </w:tcPr>
          <w:p w14:paraId="5A21E7D9" w14:textId="77777777" w:rsidR="003F2E79" w:rsidRPr="008D0139" w:rsidRDefault="003F2E79" w:rsidP="00BD2661">
            <w:pPr>
              <w:keepNext/>
              <w:keepLines/>
              <w:widowControl w:val="0"/>
              <w:jc w:val="left"/>
              <w:rPr>
                <w:rFonts w:ascii="Arial Narrow" w:hAnsi="Arial Narrow" w:cs="Times New Roman"/>
                <w:bCs/>
                <w:iCs/>
                <w:sz w:val="20"/>
                <w:szCs w:val="20"/>
              </w:rPr>
            </w:pPr>
            <w:r w:rsidRPr="008D0139">
              <w:rPr>
                <w:rFonts w:ascii="Arial Narrow" w:hAnsi="Arial Narrow" w:cs="Times New Roman"/>
                <w:bCs/>
                <w:iCs/>
                <w:sz w:val="20"/>
                <w:szCs w:val="20"/>
              </w:rPr>
              <w:t>Median, months (95% CI)</w:t>
            </w:r>
          </w:p>
        </w:tc>
        <w:tc>
          <w:tcPr>
            <w:tcW w:w="1026" w:type="pct"/>
            <w:tcBorders>
              <w:bottom w:val="nil"/>
            </w:tcBorders>
          </w:tcPr>
          <w:p w14:paraId="61C85A14"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6.2 (3.2, 9.4)</w:t>
            </w:r>
          </w:p>
        </w:tc>
        <w:tc>
          <w:tcPr>
            <w:tcW w:w="949" w:type="pct"/>
            <w:tcBorders>
              <w:bottom w:val="nil"/>
            </w:tcBorders>
          </w:tcPr>
          <w:p w14:paraId="5E34A0D5"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4.3 (2.4, 10.7)</w:t>
            </w:r>
          </w:p>
        </w:tc>
        <w:tc>
          <w:tcPr>
            <w:tcW w:w="1011" w:type="pct"/>
            <w:tcBorders>
              <w:bottom w:val="nil"/>
            </w:tcBorders>
          </w:tcPr>
          <w:p w14:paraId="240AF6FA"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6.2 (3.3, 8.3)</w:t>
            </w:r>
          </w:p>
        </w:tc>
        <w:tc>
          <w:tcPr>
            <w:tcW w:w="1068" w:type="pct"/>
            <w:tcBorders>
              <w:bottom w:val="nil"/>
            </w:tcBorders>
          </w:tcPr>
          <w:p w14:paraId="53B1A85D" w14:textId="77777777" w:rsidR="003F2E79" w:rsidRPr="008D0139" w:rsidRDefault="003F2E79" w:rsidP="00BD2661">
            <w:pPr>
              <w:keepNext/>
              <w:keepLines/>
              <w:widowControl w:val="0"/>
              <w:jc w:val="center"/>
              <w:rPr>
                <w:rFonts w:ascii="Arial Narrow" w:hAnsi="Arial Narrow" w:cs="Times New Roman"/>
                <w:bCs/>
                <w:iCs/>
                <w:sz w:val="20"/>
                <w:szCs w:val="20"/>
              </w:rPr>
            </w:pPr>
            <w:r w:rsidRPr="008D0139">
              <w:rPr>
                <w:rFonts w:ascii="Arial Narrow" w:hAnsi="Arial Narrow" w:cs="Times New Roman"/>
                <w:bCs/>
                <w:iCs/>
                <w:sz w:val="20"/>
                <w:szCs w:val="20"/>
              </w:rPr>
              <w:t>4.5 (3.0, 12.5)</w:t>
            </w:r>
          </w:p>
        </w:tc>
      </w:tr>
      <w:tr w:rsidR="003F2E79" w:rsidRPr="008D0139" w14:paraId="336ECF52" w14:textId="77777777" w:rsidTr="002178A9">
        <w:tc>
          <w:tcPr>
            <w:tcW w:w="946" w:type="pct"/>
            <w:tcBorders>
              <w:top w:val="nil"/>
            </w:tcBorders>
            <w:vAlign w:val="top"/>
          </w:tcPr>
          <w:p w14:paraId="2845B5C0" w14:textId="77777777" w:rsidR="003F2E79" w:rsidRPr="008D0139" w:rsidRDefault="003F2E79" w:rsidP="00BD2661">
            <w:pPr>
              <w:keepNext/>
              <w:keepLines/>
              <w:widowControl w:val="0"/>
              <w:jc w:val="left"/>
              <w:rPr>
                <w:rFonts w:ascii="Arial Narrow" w:hAnsi="Arial Narrow" w:cs="Times New Roman"/>
                <w:bCs/>
                <w:iCs/>
                <w:sz w:val="20"/>
                <w:szCs w:val="20"/>
              </w:rPr>
            </w:pPr>
            <w:r w:rsidRPr="008D0139">
              <w:rPr>
                <w:rFonts w:ascii="Arial Narrow" w:hAnsi="Arial Narrow" w:cs="Times New Roman"/>
                <w:bCs/>
                <w:iCs/>
                <w:sz w:val="20"/>
                <w:szCs w:val="20"/>
              </w:rPr>
              <w:t>Stratified HR (95% CI)</w:t>
            </w:r>
          </w:p>
        </w:tc>
        <w:tc>
          <w:tcPr>
            <w:tcW w:w="1975" w:type="pct"/>
            <w:gridSpan w:val="2"/>
          </w:tcPr>
          <w:p w14:paraId="155A5BDF" w14:textId="77777777" w:rsidR="003F2E79" w:rsidRPr="008D0139" w:rsidRDefault="003F2E79" w:rsidP="00BD2661">
            <w:pPr>
              <w:keepNext/>
              <w:keepLines/>
              <w:widowControl w:val="0"/>
              <w:jc w:val="center"/>
              <w:rPr>
                <w:rFonts w:ascii="Arial Narrow" w:hAnsi="Arial Narrow" w:cs="Times New Roman"/>
                <w:iCs/>
                <w:sz w:val="20"/>
                <w:szCs w:val="20"/>
              </w:rPr>
            </w:pPr>
            <w:r w:rsidRPr="008D0139">
              <w:rPr>
                <w:rFonts w:ascii="Arial Narrow" w:hAnsi="Arial Narrow" w:cs="Times New Roman"/>
                <w:iCs/>
                <w:sz w:val="20"/>
                <w:szCs w:val="20"/>
              </w:rPr>
              <w:t>0.96 (0.66, 1.41)</w:t>
            </w:r>
          </w:p>
        </w:tc>
        <w:tc>
          <w:tcPr>
            <w:tcW w:w="2079" w:type="pct"/>
            <w:gridSpan w:val="2"/>
          </w:tcPr>
          <w:p w14:paraId="46833AAD" w14:textId="77777777" w:rsidR="003F2E79" w:rsidRPr="008D0139" w:rsidRDefault="003F2E79" w:rsidP="00BD2661">
            <w:pPr>
              <w:keepNext/>
              <w:keepLines/>
              <w:widowControl w:val="0"/>
              <w:jc w:val="center"/>
              <w:rPr>
                <w:rFonts w:ascii="Arial Narrow" w:hAnsi="Arial Narrow" w:cs="Times New Roman"/>
                <w:b/>
                <w:bCs/>
                <w:iCs/>
                <w:sz w:val="20"/>
                <w:szCs w:val="20"/>
              </w:rPr>
            </w:pPr>
            <w:r w:rsidRPr="008D0139">
              <w:rPr>
                <w:rFonts w:ascii="Arial Narrow" w:hAnsi="Arial Narrow" w:cs="Times New Roman"/>
                <w:bCs/>
                <w:iCs/>
                <w:sz w:val="20"/>
                <w:szCs w:val="20"/>
              </w:rPr>
              <w:t>1.02 (0.71, 1.45)</w:t>
            </w:r>
          </w:p>
        </w:tc>
      </w:tr>
    </w:tbl>
    <w:p w14:paraId="4E3C4860" w14:textId="7F9693C2" w:rsidR="003F2E79" w:rsidRPr="008D0139" w:rsidRDefault="003F2E79" w:rsidP="00BD2661">
      <w:pPr>
        <w:keepNext/>
        <w:keepLines/>
        <w:spacing w:after="120"/>
        <w:rPr>
          <w:rFonts w:ascii="Arial Narrow" w:hAnsi="Arial Narrow"/>
          <w:iCs/>
          <w:sz w:val="20"/>
          <w:szCs w:val="20"/>
        </w:rPr>
      </w:pPr>
      <w:r w:rsidRPr="008D0139">
        <w:rPr>
          <w:rFonts w:ascii="Arial Narrow" w:hAnsi="Arial Narrow"/>
          <w:iCs/>
          <w:sz w:val="20"/>
          <w:szCs w:val="20"/>
        </w:rPr>
        <w:t xml:space="preserve">CI=confidence interval; </w:t>
      </w:r>
      <w:r w:rsidR="00E23374" w:rsidRPr="008D0139">
        <w:rPr>
          <w:rFonts w:ascii="Arial Narrow" w:hAnsi="Arial Narrow"/>
          <w:iCs/>
          <w:sz w:val="20"/>
          <w:szCs w:val="20"/>
        </w:rPr>
        <w:t xml:space="preserve">EORTC QLQ-C30 = European Organisation for Research and Treatment of Cancer Quality of Life-Core 30 questionnaire; </w:t>
      </w:r>
      <w:r w:rsidRPr="008D0139">
        <w:rPr>
          <w:rFonts w:ascii="Arial Narrow" w:hAnsi="Arial Narrow"/>
          <w:iCs/>
          <w:sz w:val="20"/>
          <w:szCs w:val="20"/>
        </w:rPr>
        <w:t xml:space="preserve">FACT-Lym </w:t>
      </w:r>
      <w:proofErr w:type="spellStart"/>
      <w:r w:rsidRPr="008D0139">
        <w:rPr>
          <w:rFonts w:ascii="Arial Narrow" w:hAnsi="Arial Narrow"/>
          <w:iCs/>
          <w:sz w:val="20"/>
          <w:szCs w:val="20"/>
        </w:rPr>
        <w:t>LymS</w:t>
      </w:r>
      <w:proofErr w:type="spellEnd"/>
      <w:r w:rsidRPr="008D0139">
        <w:rPr>
          <w:rFonts w:ascii="Arial Narrow" w:hAnsi="Arial Narrow"/>
          <w:iCs/>
          <w:sz w:val="20"/>
          <w:szCs w:val="20"/>
        </w:rPr>
        <w:t xml:space="preserve"> = Functional Assessment of Cancer Therapy-Lymphoma Lymphoma Subscale; Glofit-GemOx = Glofitamab in combination with gemcitabine plus oxaliplatin; R-</w:t>
      </w:r>
      <w:proofErr w:type="spellStart"/>
      <w:r w:rsidRPr="008D0139">
        <w:rPr>
          <w:rFonts w:ascii="Arial Narrow" w:hAnsi="Arial Narrow"/>
          <w:iCs/>
          <w:sz w:val="20"/>
          <w:szCs w:val="20"/>
        </w:rPr>
        <w:t>GemOx</w:t>
      </w:r>
      <w:proofErr w:type="spellEnd"/>
      <w:r w:rsidRPr="008D0139">
        <w:rPr>
          <w:rFonts w:ascii="Arial Narrow" w:hAnsi="Arial Narrow"/>
          <w:iCs/>
          <w:sz w:val="20"/>
          <w:szCs w:val="20"/>
        </w:rPr>
        <w:t xml:space="preserve"> = rituximab in combination with gemcitabine plus oxaliplatin</w:t>
      </w:r>
      <w:r w:rsidR="00E23374" w:rsidRPr="008D0139">
        <w:rPr>
          <w:rFonts w:ascii="Arial Narrow" w:hAnsi="Arial Narrow"/>
          <w:iCs/>
          <w:sz w:val="20"/>
          <w:szCs w:val="20"/>
        </w:rPr>
        <w:t>;</w:t>
      </w:r>
      <w:r w:rsidRPr="008D0139">
        <w:rPr>
          <w:rFonts w:ascii="Arial Narrow" w:hAnsi="Arial Narrow"/>
          <w:iCs/>
          <w:sz w:val="20"/>
          <w:szCs w:val="20"/>
        </w:rPr>
        <w:t xml:space="preserve"> HR = hazard ratio; NE = not evaluable</w:t>
      </w:r>
      <w:bookmarkEnd w:id="46"/>
      <w:r w:rsidR="00E23374" w:rsidRPr="008D0139">
        <w:rPr>
          <w:rFonts w:ascii="Arial Narrow" w:hAnsi="Arial Narrow"/>
          <w:iCs/>
          <w:sz w:val="20"/>
          <w:szCs w:val="20"/>
        </w:rPr>
        <w:t>.</w:t>
      </w:r>
    </w:p>
    <w:p w14:paraId="77BE02A8" w14:textId="637A1B11" w:rsidR="00230F6D" w:rsidRPr="008D0139" w:rsidRDefault="00230F6D" w:rsidP="004A1907">
      <w:pPr>
        <w:numPr>
          <w:ilvl w:val="1"/>
          <w:numId w:val="1"/>
        </w:numPr>
        <w:spacing w:before="60" w:after="60"/>
        <w:rPr>
          <w:rFonts w:asciiTheme="minorHAnsi" w:hAnsiTheme="minorHAnsi"/>
          <w:iCs/>
          <w:snapToGrid w:val="0"/>
        </w:rPr>
      </w:pPr>
      <w:r w:rsidRPr="008D0139">
        <w:rPr>
          <w:rFonts w:asciiTheme="minorHAnsi" w:hAnsiTheme="minorHAnsi"/>
          <w:iCs/>
          <w:snapToGrid w:val="0"/>
        </w:rPr>
        <w:t xml:space="preserve">The submission did not report results of the EQ-5D-5L data collected in STARGLO. The STARGLO CSR ( STARGLO CSR, 16 February 2024) stated there were no changes from baseline in the median EQ-5D-5L scores at all cycles during treatment and long-term follow-up at timepoints with ≥ 10 patients in either treatment population completing the questionnaire, indicating maintenance of health status levels reported at baseline. Compliance for completing at least 50% of the questions in the EQ-5D-5L questionnaire was 100% at baseline and remained high (93.8%-100%) up to Cycle 7 Day 1. Thereafter, compliance rates </w:t>
      </w:r>
      <w:r w:rsidR="00C45655" w:rsidRPr="008D0139">
        <w:rPr>
          <w:rFonts w:asciiTheme="minorHAnsi" w:hAnsiTheme="minorHAnsi"/>
          <w:iCs/>
          <w:snapToGrid w:val="0"/>
        </w:rPr>
        <w:t>in the Glofit-GemOx and R-</w:t>
      </w:r>
      <w:proofErr w:type="spellStart"/>
      <w:r w:rsidR="00C45655" w:rsidRPr="008D0139">
        <w:rPr>
          <w:rFonts w:asciiTheme="minorHAnsi" w:hAnsiTheme="minorHAnsi"/>
          <w:iCs/>
          <w:snapToGrid w:val="0"/>
        </w:rPr>
        <w:t>GemOx</w:t>
      </w:r>
      <w:proofErr w:type="spellEnd"/>
      <w:r w:rsidR="00C45655" w:rsidRPr="008D0139">
        <w:rPr>
          <w:rFonts w:asciiTheme="minorHAnsi" w:hAnsiTheme="minorHAnsi"/>
          <w:iCs/>
          <w:snapToGrid w:val="0"/>
        </w:rPr>
        <w:t xml:space="preserve"> populations were 74.7% and 80.8% </w:t>
      </w:r>
      <w:r w:rsidRPr="008D0139">
        <w:rPr>
          <w:rFonts w:asciiTheme="minorHAnsi" w:hAnsiTheme="minorHAnsi"/>
          <w:iCs/>
          <w:snapToGrid w:val="0"/>
        </w:rPr>
        <w:t>at treatment completion/early</w:t>
      </w:r>
      <w:r w:rsidR="00C45655" w:rsidRPr="008D0139">
        <w:rPr>
          <w:rFonts w:asciiTheme="minorHAnsi" w:hAnsiTheme="minorHAnsi"/>
          <w:iCs/>
          <w:snapToGrid w:val="0"/>
        </w:rPr>
        <w:t>, respectively, and</w:t>
      </w:r>
      <w:r w:rsidRPr="008D0139">
        <w:rPr>
          <w:rFonts w:asciiTheme="minorHAnsi" w:hAnsiTheme="minorHAnsi"/>
          <w:iCs/>
          <w:snapToGrid w:val="0"/>
        </w:rPr>
        <w:t xml:space="preserve"> </w:t>
      </w:r>
      <w:r w:rsidR="00C45655" w:rsidRPr="008D0139">
        <w:rPr>
          <w:rFonts w:asciiTheme="minorHAnsi" w:hAnsiTheme="minorHAnsi"/>
          <w:iCs/>
          <w:snapToGrid w:val="0"/>
        </w:rPr>
        <w:t xml:space="preserve">54.7%-86.8% </w:t>
      </w:r>
      <w:r w:rsidRPr="008D0139">
        <w:rPr>
          <w:rFonts w:asciiTheme="minorHAnsi" w:hAnsiTheme="minorHAnsi"/>
          <w:iCs/>
          <w:snapToGrid w:val="0"/>
        </w:rPr>
        <w:t xml:space="preserve">at </w:t>
      </w:r>
      <w:r w:rsidR="00C45655" w:rsidRPr="008D0139">
        <w:rPr>
          <w:rFonts w:asciiTheme="minorHAnsi" w:hAnsiTheme="minorHAnsi"/>
          <w:iCs/>
          <w:snapToGrid w:val="0"/>
        </w:rPr>
        <w:t xml:space="preserve">the </w:t>
      </w:r>
      <w:r w:rsidRPr="008D0139">
        <w:rPr>
          <w:rFonts w:asciiTheme="minorHAnsi" w:hAnsiTheme="minorHAnsi"/>
          <w:iCs/>
          <w:snapToGrid w:val="0"/>
        </w:rPr>
        <w:t>long-term follow-up (month 18)</w:t>
      </w:r>
      <w:r w:rsidR="00C45655" w:rsidRPr="008D0139">
        <w:rPr>
          <w:rFonts w:asciiTheme="minorHAnsi" w:hAnsiTheme="minorHAnsi"/>
          <w:iCs/>
          <w:snapToGrid w:val="0"/>
        </w:rPr>
        <w:t xml:space="preserve">, </w:t>
      </w:r>
      <w:r w:rsidRPr="008D0139">
        <w:rPr>
          <w:rFonts w:asciiTheme="minorHAnsi" w:hAnsiTheme="minorHAnsi"/>
          <w:iCs/>
          <w:snapToGrid w:val="0"/>
        </w:rPr>
        <w:t>respectively.</w:t>
      </w:r>
    </w:p>
    <w:p w14:paraId="3CE3E788" w14:textId="5E6D3D8E" w:rsidR="004154DB" w:rsidRPr="00960D90" w:rsidRDefault="004154DB" w:rsidP="004A1907">
      <w:pPr>
        <w:numPr>
          <w:ilvl w:val="1"/>
          <w:numId w:val="1"/>
        </w:numPr>
        <w:spacing w:before="60" w:after="60"/>
        <w:rPr>
          <w:rFonts w:asciiTheme="minorHAnsi" w:hAnsiTheme="minorHAnsi"/>
          <w:iCs/>
          <w:snapToGrid w:val="0"/>
        </w:rPr>
      </w:pPr>
      <w:r w:rsidRPr="008D0139">
        <w:rPr>
          <w:rFonts w:asciiTheme="minorHAnsi" w:hAnsiTheme="minorHAnsi"/>
          <w:iCs/>
          <w:snapToGrid w:val="0"/>
        </w:rPr>
        <w:t xml:space="preserve">The submission also </w:t>
      </w:r>
      <w:r w:rsidRPr="00960D90">
        <w:rPr>
          <w:rFonts w:asciiTheme="minorHAnsi" w:hAnsiTheme="minorHAnsi"/>
          <w:iCs/>
          <w:snapToGrid w:val="0"/>
        </w:rPr>
        <w:t xml:space="preserve">presented an unanchored comparison of Glofit-GemOx versus epcoritamab in the </w:t>
      </w:r>
      <w:proofErr w:type="gramStart"/>
      <w:r w:rsidRPr="00960D90">
        <w:rPr>
          <w:rFonts w:asciiTheme="minorHAnsi" w:hAnsiTheme="minorHAnsi"/>
          <w:iCs/>
          <w:snapToGrid w:val="0"/>
        </w:rPr>
        <w:t>third-line</w:t>
      </w:r>
      <w:proofErr w:type="gramEnd"/>
      <w:r w:rsidRPr="00960D90">
        <w:rPr>
          <w:rFonts w:asciiTheme="minorHAnsi" w:hAnsiTheme="minorHAnsi"/>
          <w:iCs/>
          <w:snapToGrid w:val="0"/>
        </w:rPr>
        <w:t xml:space="preserve"> setting as a supplementary analysis (</w:t>
      </w:r>
      <w:r w:rsidRPr="00960D90">
        <w:rPr>
          <w:rFonts w:asciiTheme="minorHAnsi" w:hAnsiTheme="minorHAnsi"/>
          <w:iCs/>
          <w:snapToGrid w:val="0"/>
        </w:rPr>
        <w:fldChar w:fldCharType="begin" w:fldLock="1"/>
      </w:r>
      <w:r w:rsidRPr="00960D90">
        <w:rPr>
          <w:rFonts w:asciiTheme="minorHAnsi" w:hAnsiTheme="minorHAnsi"/>
          <w:iCs/>
          <w:snapToGrid w:val="0"/>
        </w:rPr>
        <w:instrText xml:space="preserve"> REF _Ref196727926 \h </w:instrText>
      </w:r>
      <w:r w:rsidR="003F2E79" w:rsidRPr="00960D90">
        <w:rPr>
          <w:rFonts w:asciiTheme="minorHAnsi" w:hAnsiTheme="minorHAnsi"/>
          <w:iCs/>
          <w:snapToGrid w:val="0"/>
        </w:rPr>
        <w:instrText xml:space="preserve"> \* MERGEFORMAT </w:instrText>
      </w:r>
      <w:r w:rsidRPr="00960D90">
        <w:rPr>
          <w:rFonts w:asciiTheme="minorHAnsi" w:hAnsiTheme="minorHAnsi"/>
          <w:iCs/>
          <w:snapToGrid w:val="0"/>
        </w:rPr>
      </w:r>
      <w:r w:rsidRPr="00960D90">
        <w:rPr>
          <w:rFonts w:asciiTheme="minorHAnsi" w:hAnsiTheme="minorHAnsi"/>
          <w:iCs/>
          <w:snapToGrid w:val="0"/>
        </w:rPr>
        <w:fldChar w:fldCharType="separate"/>
      </w:r>
      <w:r w:rsidR="00816BA2" w:rsidRPr="00960D90">
        <w:rPr>
          <w:rFonts w:asciiTheme="minorHAnsi" w:hAnsiTheme="minorHAnsi"/>
          <w:iCs/>
          <w:snapToGrid w:val="0"/>
        </w:rPr>
        <w:t>Table 6</w:t>
      </w:r>
      <w:r w:rsidRPr="00960D90">
        <w:rPr>
          <w:rFonts w:asciiTheme="minorHAnsi" w:hAnsiTheme="minorHAnsi"/>
          <w:iCs/>
          <w:snapToGrid w:val="0"/>
        </w:rPr>
        <w:fldChar w:fldCharType="end"/>
      </w:r>
      <w:r w:rsidRPr="00960D90">
        <w:rPr>
          <w:rFonts w:asciiTheme="minorHAnsi" w:hAnsiTheme="minorHAnsi"/>
          <w:iCs/>
          <w:snapToGrid w:val="0"/>
        </w:rPr>
        <w:t xml:space="preserve">). The comparison relied on subgroup data from STARGLO (≥ 2 prior systemic therapies) and EPCORE NHL-1 (a </w:t>
      </w:r>
      <w:r w:rsidR="008E0893" w:rsidRPr="00960D90">
        <w:rPr>
          <w:rFonts w:asciiTheme="minorHAnsi" w:hAnsiTheme="minorHAnsi"/>
          <w:iCs/>
          <w:snapToGrid w:val="0"/>
        </w:rPr>
        <w:t xml:space="preserve">Phase </w:t>
      </w:r>
      <w:r w:rsidRPr="00960D90">
        <w:rPr>
          <w:rFonts w:asciiTheme="minorHAnsi" w:hAnsiTheme="minorHAnsi"/>
          <w:iCs/>
          <w:snapToGrid w:val="0"/>
        </w:rPr>
        <w:t>I/II, open-label, single-arm, dose escalation and dose expansion study of epcoritamab monotherapy in patients with R/R LBCL after ≥2 lines of prior therapy). For completeness, comparable data for glofitamab monotherapy in the third-line setting w</w:t>
      </w:r>
      <w:r w:rsidR="00774FD3" w:rsidRPr="00960D90">
        <w:rPr>
          <w:rFonts w:asciiTheme="minorHAnsi" w:hAnsiTheme="minorHAnsi"/>
          <w:iCs/>
          <w:snapToGrid w:val="0"/>
        </w:rPr>
        <w:t>ere</w:t>
      </w:r>
      <w:r w:rsidRPr="00960D90">
        <w:rPr>
          <w:rFonts w:asciiTheme="minorHAnsi" w:hAnsiTheme="minorHAnsi"/>
          <w:iCs/>
          <w:snapToGrid w:val="0"/>
        </w:rPr>
        <w:t xml:space="preserve"> extracted from Phase II of Study NP30179 (a </w:t>
      </w:r>
      <w:r w:rsidR="008E0893" w:rsidRPr="00960D90">
        <w:rPr>
          <w:rFonts w:asciiTheme="minorHAnsi" w:hAnsiTheme="minorHAnsi"/>
          <w:iCs/>
          <w:snapToGrid w:val="0"/>
        </w:rPr>
        <w:t xml:space="preserve">Phase </w:t>
      </w:r>
      <w:r w:rsidRPr="00960D90">
        <w:rPr>
          <w:rFonts w:asciiTheme="minorHAnsi" w:hAnsiTheme="minorHAnsi"/>
          <w:iCs/>
          <w:snapToGrid w:val="0"/>
        </w:rPr>
        <w:t>I/II, open-label, single arm study) in patients with R/R DLBCL ≥ 2 prior systemic therapies.</w:t>
      </w:r>
    </w:p>
    <w:p w14:paraId="0E3610D2" w14:textId="7CA397B5" w:rsidR="004154DB" w:rsidRPr="00960D90" w:rsidRDefault="004154DB" w:rsidP="00BD2661">
      <w:pPr>
        <w:pStyle w:val="3-BodyText"/>
        <w:keepNext/>
        <w:keepLines/>
        <w:spacing w:before="0" w:after="0"/>
        <w:rPr>
          <w:rFonts w:ascii="Arial Narrow" w:eastAsiaTheme="majorEastAsia" w:hAnsi="Arial Narrow" w:cstheme="majorBidi"/>
          <w:b/>
          <w:bCs/>
          <w:iCs/>
          <w:sz w:val="20"/>
          <w:szCs w:val="20"/>
        </w:rPr>
      </w:pPr>
      <w:bookmarkStart w:id="48" w:name="_Ref196727926"/>
      <w:r w:rsidRPr="00960D90">
        <w:rPr>
          <w:rFonts w:ascii="Arial Narrow" w:hAnsi="Arial Narrow"/>
          <w:b/>
          <w:bCs/>
          <w:iCs/>
          <w:sz w:val="20"/>
          <w:szCs w:val="20"/>
        </w:rPr>
        <w:t xml:space="preserve">Table </w:t>
      </w:r>
      <w:r w:rsidRPr="00960D90">
        <w:rPr>
          <w:rFonts w:ascii="Arial Narrow" w:hAnsi="Arial Narrow"/>
          <w:b/>
          <w:bCs/>
          <w:iCs/>
          <w:sz w:val="20"/>
          <w:szCs w:val="20"/>
        </w:rPr>
        <w:fldChar w:fldCharType="begin" w:fldLock="1"/>
      </w:r>
      <w:r w:rsidRPr="00960D90">
        <w:rPr>
          <w:rFonts w:ascii="Arial Narrow" w:hAnsi="Arial Narrow"/>
          <w:b/>
          <w:bCs/>
          <w:iCs/>
          <w:sz w:val="20"/>
          <w:szCs w:val="20"/>
        </w:rPr>
        <w:instrText xml:space="preserve"> SEQ Table \* ARABIC </w:instrText>
      </w:r>
      <w:r w:rsidRPr="00960D90">
        <w:rPr>
          <w:rFonts w:ascii="Arial Narrow" w:hAnsi="Arial Narrow"/>
          <w:b/>
          <w:bCs/>
          <w:iCs/>
          <w:sz w:val="20"/>
          <w:szCs w:val="20"/>
        </w:rPr>
        <w:fldChar w:fldCharType="separate"/>
      </w:r>
      <w:r w:rsidR="003C21E7" w:rsidRPr="00960D90">
        <w:rPr>
          <w:rFonts w:ascii="Arial Narrow" w:hAnsi="Arial Narrow"/>
          <w:b/>
          <w:bCs/>
          <w:iCs/>
          <w:noProof/>
          <w:sz w:val="20"/>
          <w:szCs w:val="20"/>
        </w:rPr>
        <w:t>6</w:t>
      </w:r>
      <w:r w:rsidRPr="00960D90">
        <w:rPr>
          <w:rFonts w:ascii="Arial Narrow" w:hAnsi="Arial Narrow"/>
          <w:b/>
          <w:bCs/>
          <w:iCs/>
          <w:sz w:val="20"/>
          <w:szCs w:val="20"/>
        </w:rPr>
        <w:fldChar w:fldCharType="end"/>
      </w:r>
      <w:bookmarkEnd w:id="48"/>
      <w:r w:rsidRPr="00960D90">
        <w:rPr>
          <w:rFonts w:ascii="Arial Narrow" w:hAnsi="Arial Narrow"/>
          <w:b/>
          <w:bCs/>
          <w:iCs/>
          <w:sz w:val="20"/>
          <w:szCs w:val="20"/>
        </w:rPr>
        <w:t xml:space="preserve">: </w:t>
      </w:r>
      <w:bookmarkStart w:id="49" w:name="_Hlk196732222"/>
      <w:r w:rsidRPr="00960D90">
        <w:rPr>
          <w:rFonts w:ascii="Arial Narrow" w:eastAsiaTheme="majorEastAsia" w:hAnsi="Arial Narrow" w:cstheme="majorBidi"/>
          <w:b/>
          <w:bCs/>
          <w:iCs/>
          <w:sz w:val="20"/>
          <w:szCs w:val="20"/>
        </w:rPr>
        <w:t>Unanchored comparison of results from STARGLO (subgroup: ≥ 2 prior systemic therapies), EPCORE NHL-1 and Study NP30179</w:t>
      </w:r>
      <w:bookmarkEnd w:id="49"/>
    </w:p>
    <w:tbl>
      <w:tblPr>
        <w:tblStyle w:val="PBAClayout"/>
        <w:tblW w:w="5000" w:type="pct"/>
        <w:tblLook w:val="04A0" w:firstRow="1" w:lastRow="0" w:firstColumn="1" w:lastColumn="0" w:noHBand="0" w:noVBand="1"/>
        <w:tblCaption w:val="Table 6: Unanchored comparison of results from STARGLO (subgroup: ≥ 2 prior systemic therapies), EPCORE NHL-1 and Study NP30179"/>
      </w:tblPr>
      <w:tblGrid>
        <w:gridCol w:w="3538"/>
        <w:gridCol w:w="1827"/>
        <w:gridCol w:w="1827"/>
        <w:gridCol w:w="1825"/>
      </w:tblGrid>
      <w:tr w:rsidR="004154DB" w:rsidRPr="00960D90" w14:paraId="6526E216" w14:textId="77777777" w:rsidTr="00F274C6">
        <w:trPr>
          <w:trHeight w:val="64"/>
        </w:trPr>
        <w:tc>
          <w:tcPr>
            <w:tcW w:w="1962" w:type="pct"/>
            <w:vMerge w:val="restart"/>
          </w:tcPr>
          <w:p w14:paraId="4B2FF58C" w14:textId="77777777" w:rsidR="004154DB" w:rsidRPr="00960D90" w:rsidRDefault="004154DB" w:rsidP="00BD2661">
            <w:pPr>
              <w:keepNext/>
              <w:keepLines/>
              <w:widowControl w:val="0"/>
              <w:jc w:val="left"/>
              <w:rPr>
                <w:rFonts w:ascii="Arial Narrow" w:eastAsiaTheme="majorEastAsia" w:hAnsi="Arial Narrow" w:cs="Times New Roman"/>
                <w:b/>
                <w:iCs/>
                <w:sz w:val="20"/>
                <w:lang w:val="en-US"/>
              </w:rPr>
            </w:pPr>
            <w:r w:rsidRPr="00960D90">
              <w:rPr>
                <w:rFonts w:ascii="Arial Narrow" w:eastAsiaTheme="majorEastAsia" w:hAnsi="Arial Narrow" w:cs="Times New Roman"/>
                <w:b/>
                <w:iCs/>
                <w:sz w:val="20"/>
                <w:lang w:val="en-US"/>
              </w:rPr>
              <w:t>Outcome</w:t>
            </w:r>
          </w:p>
        </w:tc>
        <w:tc>
          <w:tcPr>
            <w:tcW w:w="1013" w:type="pct"/>
          </w:tcPr>
          <w:p w14:paraId="09EBCA9D" w14:textId="77777777" w:rsidR="004154DB" w:rsidRPr="00960D90" w:rsidRDefault="004154DB" w:rsidP="00BD2661">
            <w:pPr>
              <w:keepNext/>
              <w:keepLines/>
              <w:widowControl w:val="0"/>
              <w:jc w:val="center"/>
              <w:rPr>
                <w:rFonts w:ascii="Arial Narrow" w:eastAsiaTheme="majorEastAsia" w:hAnsi="Arial Narrow" w:cs="Times New Roman"/>
                <w:b/>
                <w:iCs/>
                <w:sz w:val="20"/>
                <w:lang w:val="en-US"/>
              </w:rPr>
            </w:pPr>
            <w:r w:rsidRPr="00960D90">
              <w:rPr>
                <w:rFonts w:ascii="Arial Narrow" w:eastAsiaTheme="majorEastAsia" w:hAnsi="Arial Narrow" w:cstheme="majorBidi"/>
                <w:b/>
                <w:bCs/>
                <w:iCs/>
                <w:sz w:val="20"/>
              </w:rPr>
              <w:t>Glofit-GemOx</w:t>
            </w:r>
          </w:p>
        </w:tc>
        <w:tc>
          <w:tcPr>
            <w:tcW w:w="1013" w:type="pct"/>
            <w:tcBorders>
              <w:right w:val="thinThickSmallGap" w:sz="12" w:space="0" w:color="auto"/>
            </w:tcBorders>
          </w:tcPr>
          <w:p w14:paraId="35C898D7" w14:textId="77777777" w:rsidR="004154DB" w:rsidRPr="00960D90" w:rsidRDefault="004154DB" w:rsidP="00BD2661">
            <w:pPr>
              <w:keepNext/>
              <w:keepLines/>
              <w:widowControl w:val="0"/>
              <w:jc w:val="center"/>
              <w:rPr>
                <w:rFonts w:ascii="Arial Narrow" w:eastAsiaTheme="majorEastAsia" w:hAnsi="Arial Narrow" w:cs="Times New Roman"/>
                <w:b/>
                <w:iCs/>
                <w:sz w:val="20"/>
                <w:lang w:val="en-US"/>
              </w:rPr>
            </w:pPr>
            <w:r w:rsidRPr="00960D90">
              <w:rPr>
                <w:rFonts w:ascii="Arial Narrow" w:eastAsiaTheme="majorEastAsia" w:hAnsi="Arial Narrow" w:cs="Times New Roman"/>
                <w:b/>
                <w:iCs/>
                <w:sz w:val="20"/>
                <w:lang w:val="en-US"/>
              </w:rPr>
              <w:t>Epcoritamab</w:t>
            </w:r>
          </w:p>
        </w:tc>
        <w:tc>
          <w:tcPr>
            <w:tcW w:w="1012" w:type="pct"/>
            <w:tcBorders>
              <w:left w:val="thinThickSmallGap" w:sz="12" w:space="0" w:color="auto"/>
            </w:tcBorders>
          </w:tcPr>
          <w:p w14:paraId="6B9C4599" w14:textId="77777777" w:rsidR="004154DB" w:rsidRPr="00960D90" w:rsidRDefault="004154DB" w:rsidP="00BD2661">
            <w:pPr>
              <w:keepNext/>
              <w:keepLines/>
              <w:widowControl w:val="0"/>
              <w:jc w:val="center"/>
              <w:rPr>
                <w:rFonts w:ascii="Arial Narrow" w:eastAsiaTheme="majorEastAsia" w:hAnsi="Arial Narrow" w:cs="Times New Roman"/>
                <w:b/>
                <w:iCs/>
                <w:sz w:val="20"/>
                <w:lang w:val="en-US"/>
              </w:rPr>
            </w:pPr>
            <w:r w:rsidRPr="00960D90">
              <w:rPr>
                <w:rFonts w:ascii="Arial Narrow" w:eastAsiaTheme="majorEastAsia" w:hAnsi="Arial Narrow" w:cs="Times New Roman"/>
                <w:b/>
                <w:iCs/>
                <w:sz w:val="20"/>
                <w:lang w:val="en-US"/>
              </w:rPr>
              <w:t>Glofitamab</w:t>
            </w:r>
          </w:p>
        </w:tc>
      </w:tr>
      <w:tr w:rsidR="004154DB" w:rsidRPr="00960D90" w14:paraId="5DFC2ABD" w14:textId="77777777" w:rsidTr="00F274C6">
        <w:trPr>
          <w:trHeight w:val="64"/>
        </w:trPr>
        <w:tc>
          <w:tcPr>
            <w:tcW w:w="1962" w:type="pct"/>
            <w:vMerge/>
          </w:tcPr>
          <w:p w14:paraId="1FBC483A" w14:textId="77777777" w:rsidR="004154DB" w:rsidRPr="00960D90" w:rsidRDefault="004154DB" w:rsidP="00BD2661">
            <w:pPr>
              <w:keepNext/>
              <w:keepLines/>
              <w:widowControl w:val="0"/>
              <w:jc w:val="left"/>
              <w:rPr>
                <w:rFonts w:ascii="Arial Narrow" w:eastAsiaTheme="majorEastAsia" w:hAnsi="Arial Narrow" w:cs="Times New Roman"/>
                <w:b/>
                <w:iCs/>
                <w:sz w:val="20"/>
                <w:lang w:val="en-US"/>
              </w:rPr>
            </w:pPr>
          </w:p>
        </w:tc>
        <w:tc>
          <w:tcPr>
            <w:tcW w:w="1013" w:type="pct"/>
          </w:tcPr>
          <w:p w14:paraId="152B9192" w14:textId="77777777" w:rsidR="004154DB" w:rsidRPr="00960D90" w:rsidRDefault="004154DB" w:rsidP="00BD2661">
            <w:pPr>
              <w:keepNext/>
              <w:keepLines/>
              <w:widowControl w:val="0"/>
              <w:jc w:val="center"/>
              <w:rPr>
                <w:rFonts w:ascii="Arial Narrow" w:eastAsiaTheme="majorEastAsia" w:hAnsi="Arial Narrow" w:cs="Times New Roman"/>
                <w:b/>
                <w:iCs/>
                <w:sz w:val="20"/>
                <w:lang w:val="en-US"/>
              </w:rPr>
            </w:pPr>
            <w:r w:rsidRPr="00960D90">
              <w:rPr>
                <w:rFonts w:ascii="Arial Narrow" w:eastAsiaTheme="majorEastAsia" w:hAnsi="Arial Narrow" w:cs="Times New Roman"/>
                <w:b/>
                <w:iCs/>
                <w:sz w:val="20"/>
                <w:lang w:val="en-US"/>
              </w:rPr>
              <w:t>STARGLO</w:t>
            </w:r>
          </w:p>
          <w:p w14:paraId="437C3FDE" w14:textId="77777777" w:rsidR="004154DB" w:rsidRPr="00960D90" w:rsidRDefault="004154DB" w:rsidP="00BD2661">
            <w:pPr>
              <w:keepNext/>
              <w:keepLines/>
              <w:widowControl w:val="0"/>
              <w:jc w:val="center"/>
              <w:rPr>
                <w:rFonts w:ascii="Arial Narrow" w:eastAsiaTheme="majorEastAsia" w:hAnsi="Arial Narrow" w:cs="Times New Roman"/>
                <w:b/>
                <w:iCs/>
                <w:sz w:val="20"/>
                <w:lang w:val="en-US"/>
              </w:rPr>
            </w:pPr>
            <w:r w:rsidRPr="00960D90">
              <w:rPr>
                <w:rFonts w:ascii="Arial Narrow" w:eastAsiaTheme="majorEastAsia" w:hAnsi="Arial Narrow" w:cs="Times New Roman"/>
                <w:b/>
                <w:iCs/>
                <w:sz w:val="20"/>
                <w:lang w:val="en-US"/>
              </w:rPr>
              <w:t xml:space="preserve">(≥ 2 </w:t>
            </w:r>
            <w:proofErr w:type="gramStart"/>
            <w:r w:rsidRPr="00960D90">
              <w:rPr>
                <w:rFonts w:ascii="Arial Narrow" w:eastAsiaTheme="majorEastAsia" w:hAnsi="Arial Narrow" w:cs="Times New Roman"/>
                <w:b/>
                <w:iCs/>
                <w:sz w:val="20"/>
                <w:lang w:val="en-US"/>
              </w:rPr>
              <w:t>prior</w:t>
            </w:r>
            <w:proofErr w:type="gramEnd"/>
            <w:r w:rsidRPr="00960D90">
              <w:rPr>
                <w:rFonts w:ascii="Arial Narrow" w:eastAsiaTheme="majorEastAsia" w:hAnsi="Arial Narrow" w:cs="Times New Roman"/>
                <w:b/>
                <w:iCs/>
                <w:sz w:val="20"/>
                <w:lang w:val="en-US"/>
              </w:rPr>
              <w:t xml:space="preserve"> systemic </w:t>
            </w:r>
            <w:proofErr w:type="spellStart"/>
            <w:r w:rsidRPr="00960D90">
              <w:rPr>
                <w:rFonts w:ascii="Arial Narrow" w:eastAsiaTheme="majorEastAsia" w:hAnsi="Arial Narrow" w:cs="Times New Roman"/>
                <w:b/>
                <w:iCs/>
                <w:sz w:val="20"/>
                <w:lang w:val="en-US"/>
              </w:rPr>
              <w:t>therapies</w:t>
            </w:r>
            <w:r w:rsidRPr="00960D90">
              <w:rPr>
                <w:rFonts w:ascii="Arial Narrow" w:eastAsiaTheme="majorEastAsia" w:hAnsi="Arial Narrow" w:cs="Times New Roman"/>
                <w:b/>
                <w:iCs/>
                <w:sz w:val="20"/>
                <w:vertAlign w:val="superscript"/>
                <w:lang w:val="en-US"/>
              </w:rPr>
              <w:t>a</w:t>
            </w:r>
            <w:proofErr w:type="spellEnd"/>
            <w:r w:rsidRPr="00960D90">
              <w:rPr>
                <w:rFonts w:ascii="Arial Narrow" w:eastAsiaTheme="majorEastAsia" w:hAnsi="Arial Narrow" w:cs="Times New Roman"/>
                <w:b/>
                <w:iCs/>
                <w:sz w:val="20"/>
                <w:lang w:val="en-US"/>
              </w:rPr>
              <w:t>)</w:t>
            </w:r>
          </w:p>
          <w:p w14:paraId="10AAF979" w14:textId="77777777" w:rsidR="004154DB" w:rsidRPr="00960D90" w:rsidRDefault="004154DB" w:rsidP="00BD2661">
            <w:pPr>
              <w:keepNext/>
              <w:keepLines/>
              <w:widowControl w:val="0"/>
              <w:jc w:val="center"/>
              <w:rPr>
                <w:rFonts w:ascii="Arial Narrow" w:eastAsiaTheme="majorEastAsia" w:hAnsi="Arial Narrow" w:cs="Times New Roman"/>
                <w:b/>
                <w:iCs/>
                <w:sz w:val="20"/>
                <w:lang w:val="en-US"/>
              </w:rPr>
            </w:pPr>
            <w:r w:rsidRPr="00960D90">
              <w:rPr>
                <w:rFonts w:ascii="Arial Narrow" w:eastAsiaTheme="majorEastAsia" w:hAnsi="Arial Narrow" w:cs="Times New Roman"/>
                <w:b/>
                <w:iCs/>
                <w:sz w:val="20"/>
                <w:lang w:val="en-US"/>
              </w:rPr>
              <w:t>N=68</w:t>
            </w:r>
          </w:p>
        </w:tc>
        <w:tc>
          <w:tcPr>
            <w:tcW w:w="1013" w:type="pct"/>
            <w:tcBorders>
              <w:right w:val="thinThickSmallGap" w:sz="12" w:space="0" w:color="auto"/>
            </w:tcBorders>
          </w:tcPr>
          <w:p w14:paraId="0A3157EC" w14:textId="77777777" w:rsidR="004154DB" w:rsidRPr="00960D90" w:rsidRDefault="004154DB" w:rsidP="00BD2661">
            <w:pPr>
              <w:keepNext/>
              <w:keepLines/>
              <w:widowControl w:val="0"/>
              <w:jc w:val="center"/>
              <w:rPr>
                <w:rFonts w:ascii="Arial Narrow" w:eastAsiaTheme="majorEastAsia" w:hAnsi="Arial Narrow" w:cs="Times New Roman"/>
                <w:b/>
                <w:iCs/>
                <w:sz w:val="20"/>
                <w:lang w:val="en-US"/>
              </w:rPr>
            </w:pPr>
            <w:r w:rsidRPr="00960D90">
              <w:rPr>
                <w:rFonts w:ascii="Arial Narrow" w:eastAsiaTheme="majorEastAsia" w:hAnsi="Arial Narrow" w:cs="Times New Roman"/>
                <w:b/>
                <w:iCs/>
                <w:sz w:val="20"/>
                <w:lang w:val="en-US"/>
              </w:rPr>
              <w:t>EPCORE NHL-1</w:t>
            </w:r>
          </w:p>
          <w:p w14:paraId="2206BEB8" w14:textId="77777777" w:rsidR="004154DB" w:rsidRPr="00960D90" w:rsidRDefault="004154DB" w:rsidP="00BD2661">
            <w:pPr>
              <w:keepNext/>
              <w:keepLines/>
              <w:widowControl w:val="0"/>
              <w:jc w:val="center"/>
              <w:rPr>
                <w:rFonts w:ascii="Arial Narrow" w:eastAsiaTheme="majorEastAsia" w:hAnsi="Arial Narrow" w:cs="Times New Roman"/>
                <w:b/>
                <w:iCs/>
                <w:sz w:val="20"/>
                <w:lang w:val="en-US"/>
              </w:rPr>
            </w:pPr>
            <w:r w:rsidRPr="00960D90">
              <w:rPr>
                <w:rFonts w:ascii="Arial Narrow" w:eastAsiaTheme="majorEastAsia" w:hAnsi="Arial Narrow" w:cs="Times New Roman"/>
                <w:b/>
                <w:iCs/>
                <w:sz w:val="20"/>
                <w:lang w:val="en-US"/>
              </w:rPr>
              <w:t>N=157</w:t>
            </w:r>
            <w:r w:rsidRPr="00960D90">
              <w:rPr>
                <w:rFonts w:ascii="Arial Narrow" w:eastAsiaTheme="majorEastAsia" w:hAnsi="Arial Narrow" w:cs="Times New Roman"/>
                <w:b/>
                <w:iCs/>
                <w:sz w:val="20"/>
                <w:vertAlign w:val="superscript"/>
                <w:lang w:val="en-US"/>
              </w:rPr>
              <w:t>d</w:t>
            </w:r>
          </w:p>
        </w:tc>
        <w:tc>
          <w:tcPr>
            <w:tcW w:w="1012" w:type="pct"/>
            <w:tcBorders>
              <w:left w:val="thinThickSmallGap" w:sz="12" w:space="0" w:color="auto"/>
            </w:tcBorders>
          </w:tcPr>
          <w:p w14:paraId="77CF6558" w14:textId="77777777" w:rsidR="004154DB" w:rsidRPr="00960D90" w:rsidRDefault="004154DB" w:rsidP="00BD2661">
            <w:pPr>
              <w:keepNext/>
              <w:keepLines/>
              <w:widowControl w:val="0"/>
              <w:jc w:val="center"/>
              <w:rPr>
                <w:rFonts w:ascii="Arial Narrow" w:eastAsiaTheme="majorEastAsia" w:hAnsi="Arial Narrow" w:cs="Times New Roman"/>
                <w:b/>
                <w:iCs/>
                <w:sz w:val="20"/>
                <w:lang w:val="en-US"/>
              </w:rPr>
            </w:pPr>
            <w:r w:rsidRPr="00960D90">
              <w:rPr>
                <w:rFonts w:ascii="Arial Narrow" w:eastAsiaTheme="majorEastAsia" w:hAnsi="Arial Narrow" w:cs="Times New Roman"/>
                <w:b/>
                <w:iCs/>
                <w:sz w:val="20"/>
                <w:lang w:val="en-US"/>
              </w:rPr>
              <w:t>Study NP30179</w:t>
            </w:r>
          </w:p>
          <w:p w14:paraId="6A6FCC44" w14:textId="77777777" w:rsidR="004154DB" w:rsidRPr="00960D90" w:rsidRDefault="004154DB" w:rsidP="00BD2661">
            <w:pPr>
              <w:keepNext/>
              <w:keepLines/>
              <w:widowControl w:val="0"/>
              <w:jc w:val="center"/>
              <w:rPr>
                <w:rFonts w:ascii="Arial Narrow" w:eastAsiaTheme="majorEastAsia" w:hAnsi="Arial Narrow" w:cs="Times New Roman"/>
                <w:b/>
                <w:iCs/>
                <w:sz w:val="20"/>
                <w:lang w:val="en-US"/>
              </w:rPr>
            </w:pPr>
            <w:r w:rsidRPr="00960D90">
              <w:rPr>
                <w:rFonts w:ascii="Arial Narrow" w:eastAsiaTheme="majorEastAsia" w:hAnsi="Arial Narrow" w:cs="Times New Roman"/>
                <w:b/>
                <w:iCs/>
                <w:sz w:val="20"/>
                <w:lang w:val="en-US"/>
              </w:rPr>
              <w:t>N=155</w:t>
            </w:r>
            <w:r w:rsidRPr="00960D90">
              <w:rPr>
                <w:rFonts w:ascii="Arial Narrow" w:eastAsiaTheme="majorEastAsia" w:hAnsi="Arial Narrow" w:cs="Times New Roman"/>
                <w:b/>
                <w:iCs/>
                <w:sz w:val="20"/>
                <w:vertAlign w:val="superscript"/>
                <w:lang w:val="en-US"/>
              </w:rPr>
              <w:t>b,c,f</w:t>
            </w:r>
          </w:p>
        </w:tc>
      </w:tr>
      <w:tr w:rsidR="004154DB" w:rsidRPr="00960D90" w14:paraId="5FF25A73" w14:textId="77777777" w:rsidTr="00F274C6">
        <w:trPr>
          <w:trHeight w:val="233"/>
        </w:trPr>
        <w:tc>
          <w:tcPr>
            <w:tcW w:w="1962" w:type="pct"/>
          </w:tcPr>
          <w:p w14:paraId="2E006CED"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Cs/>
                <w:iCs/>
                <w:sz w:val="20"/>
              </w:rPr>
              <w:t>Median follow up, months (range)</w:t>
            </w:r>
          </w:p>
        </w:tc>
        <w:tc>
          <w:tcPr>
            <w:tcW w:w="1013" w:type="pct"/>
          </w:tcPr>
          <w:p w14:paraId="615F98E3"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23.7 (20.4, 26.2)</w:t>
            </w:r>
          </w:p>
        </w:tc>
        <w:tc>
          <w:tcPr>
            <w:tcW w:w="1013" w:type="pct"/>
            <w:tcBorders>
              <w:right w:val="thinThickSmallGap" w:sz="12" w:space="0" w:color="auto"/>
            </w:tcBorders>
          </w:tcPr>
          <w:p w14:paraId="2B791FAC"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25.1 (24.0, 26.0)</w:t>
            </w:r>
          </w:p>
        </w:tc>
        <w:tc>
          <w:tcPr>
            <w:tcW w:w="1012" w:type="pct"/>
            <w:tcBorders>
              <w:left w:val="thinThickSmallGap" w:sz="12" w:space="0" w:color="auto"/>
            </w:tcBorders>
          </w:tcPr>
          <w:p w14:paraId="60C0CFD7"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39.3 (31.7, 42.3)</w:t>
            </w:r>
            <w:r w:rsidRPr="00960D90">
              <w:rPr>
                <w:rFonts w:ascii="Arial Narrow" w:eastAsiaTheme="majorEastAsia" w:hAnsi="Arial Narrow" w:cstheme="majorBidi"/>
                <w:bCs/>
                <w:iCs/>
                <w:sz w:val="20"/>
                <w:vertAlign w:val="superscript"/>
              </w:rPr>
              <w:t>e</w:t>
            </w:r>
          </w:p>
        </w:tc>
      </w:tr>
      <w:tr w:rsidR="004154DB" w:rsidRPr="00960D90" w14:paraId="53720F80" w14:textId="77777777" w:rsidTr="00F274C6">
        <w:trPr>
          <w:trHeight w:val="266"/>
        </w:trPr>
        <w:tc>
          <w:tcPr>
            <w:tcW w:w="5000" w:type="pct"/>
            <w:gridSpan w:val="4"/>
            <w:tcBorders>
              <w:bottom w:val="single" w:sz="4" w:space="0" w:color="auto"/>
            </w:tcBorders>
            <w:vAlign w:val="top"/>
          </w:tcPr>
          <w:p w14:paraId="6F84C478"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
                <w:bCs/>
                <w:iCs/>
                <w:sz w:val="20"/>
              </w:rPr>
              <w:t>Overall survival (OS)</w:t>
            </w:r>
          </w:p>
        </w:tc>
      </w:tr>
      <w:tr w:rsidR="004154DB" w:rsidRPr="00960D90" w14:paraId="5DA96030" w14:textId="77777777" w:rsidTr="00F274C6">
        <w:trPr>
          <w:trHeight w:val="64"/>
        </w:trPr>
        <w:tc>
          <w:tcPr>
            <w:tcW w:w="1962" w:type="pct"/>
            <w:tcBorders>
              <w:bottom w:val="nil"/>
            </w:tcBorders>
            <w:vAlign w:val="top"/>
          </w:tcPr>
          <w:p w14:paraId="59C98E85"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Cs/>
                <w:iCs/>
                <w:sz w:val="20"/>
              </w:rPr>
              <w:t>Median OS, months (95% CI)</w:t>
            </w:r>
          </w:p>
        </w:tc>
        <w:tc>
          <w:tcPr>
            <w:tcW w:w="1013" w:type="pct"/>
            <w:tcBorders>
              <w:bottom w:val="nil"/>
            </w:tcBorders>
          </w:tcPr>
          <w:p w14:paraId="246D692C"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18.3 (11.5, NE)</w:t>
            </w:r>
          </w:p>
        </w:tc>
        <w:tc>
          <w:tcPr>
            <w:tcW w:w="1013" w:type="pct"/>
            <w:tcBorders>
              <w:bottom w:val="nil"/>
              <w:right w:val="thinThickSmallGap" w:sz="12" w:space="0" w:color="auto"/>
            </w:tcBorders>
          </w:tcPr>
          <w:p w14:paraId="14688332"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18.5 (11.7, 27.7)</w:t>
            </w:r>
          </w:p>
        </w:tc>
        <w:tc>
          <w:tcPr>
            <w:tcW w:w="1012" w:type="pct"/>
            <w:tcBorders>
              <w:left w:val="thinThickSmallGap" w:sz="12" w:space="0" w:color="auto"/>
              <w:bottom w:val="nil"/>
            </w:tcBorders>
          </w:tcPr>
          <w:p w14:paraId="087DD036"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12.6 (7.9, 17.8)</w:t>
            </w:r>
          </w:p>
        </w:tc>
      </w:tr>
      <w:tr w:rsidR="004154DB" w:rsidRPr="00960D90" w14:paraId="2F84AFDD" w14:textId="77777777" w:rsidTr="00F274C6">
        <w:trPr>
          <w:trHeight w:val="224"/>
        </w:trPr>
        <w:tc>
          <w:tcPr>
            <w:tcW w:w="1962" w:type="pct"/>
            <w:tcBorders>
              <w:top w:val="nil"/>
            </w:tcBorders>
            <w:vAlign w:val="top"/>
          </w:tcPr>
          <w:p w14:paraId="45DBF099"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Cs/>
                <w:iCs/>
                <w:sz w:val="20"/>
              </w:rPr>
              <w:t>Estimated OS rate at 12 months (%) (95% CI)</w:t>
            </w:r>
          </w:p>
        </w:tc>
        <w:tc>
          <w:tcPr>
            <w:tcW w:w="1013" w:type="pct"/>
            <w:tcBorders>
              <w:top w:val="nil"/>
            </w:tcBorders>
          </w:tcPr>
          <w:p w14:paraId="21A9EB49"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59.6 (47.5, 71.6)</w:t>
            </w:r>
          </w:p>
        </w:tc>
        <w:tc>
          <w:tcPr>
            <w:tcW w:w="1013" w:type="pct"/>
            <w:tcBorders>
              <w:top w:val="nil"/>
              <w:right w:val="thinThickSmallGap" w:sz="12" w:space="0" w:color="auto"/>
            </w:tcBorders>
          </w:tcPr>
          <w:p w14:paraId="0EB410DC"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58.0 (49.7, 65.4)</w:t>
            </w:r>
          </w:p>
        </w:tc>
        <w:tc>
          <w:tcPr>
            <w:tcW w:w="1012" w:type="pct"/>
            <w:tcBorders>
              <w:top w:val="nil"/>
              <w:left w:val="thinThickSmallGap" w:sz="12" w:space="0" w:color="auto"/>
            </w:tcBorders>
          </w:tcPr>
          <w:p w14:paraId="2CF78A62"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50.8 (42.7, 59.0)</w:t>
            </w:r>
          </w:p>
        </w:tc>
      </w:tr>
      <w:tr w:rsidR="004154DB" w:rsidRPr="00960D90" w14:paraId="201AFD26" w14:textId="77777777" w:rsidTr="00F274C6">
        <w:trPr>
          <w:trHeight w:val="224"/>
        </w:trPr>
        <w:tc>
          <w:tcPr>
            <w:tcW w:w="5000" w:type="pct"/>
            <w:gridSpan w:val="4"/>
            <w:tcBorders>
              <w:bottom w:val="single" w:sz="4" w:space="0" w:color="auto"/>
            </w:tcBorders>
            <w:vAlign w:val="top"/>
          </w:tcPr>
          <w:p w14:paraId="105B7818"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
                <w:bCs/>
                <w:iCs/>
                <w:sz w:val="20"/>
              </w:rPr>
              <w:t>Progression-free survival (PFS): IRC assessed</w:t>
            </w:r>
          </w:p>
        </w:tc>
      </w:tr>
      <w:tr w:rsidR="004154DB" w:rsidRPr="00960D90" w14:paraId="4ED6F723" w14:textId="77777777" w:rsidTr="00F274C6">
        <w:trPr>
          <w:trHeight w:val="224"/>
        </w:trPr>
        <w:tc>
          <w:tcPr>
            <w:tcW w:w="1962" w:type="pct"/>
            <w:tcBorders>
              <w:bottom w:val="nil"/>
            </w:tcBorders>
            <w:vAlign w:val="top"/>
          </w:tcPr>
          <w:p w14:paraId="466E58C5" w14:textId="77777777" w:rsidR="004154DB" w:rsidRPr="00960D90" w:rsidRDefault="004154DB" w:rsidP="00BD2661">
            <w:pPr>
              <w:keepNext/>
              <w:keepLines/>
              <w:widowControl w:val="0"/>
              <w:jc w:val="left"/>
              <w:rPr>
                <w:rFonts w:ascii="Arial Narrow" w:eastAsiaTheme="majorEastAsia" w:hAnsi="Arial Narrow" w:cstheme="majorBidi"/>
                <w:b/>
                <w:bCs/>
                <w:iCs/>
                <w:sz w:val="20"/>
              </w:rPr>
            </w:pPr>
            <w:r w:rsidRPr="00960D90">
              <w:rPr>
                <w:rFonts w:ascii="Arial Narrow" w:eastAsiaTheme="majorEastAsia" w:hAnsi="Arial Narrow" w:cstheme="majorBidi"/>
                <w:bCs/>
                <w:iCs/>
                <w:sz w:val="20"/>
              </w:rPr>
              <w:t>Median PFS, months (95% CI)</w:t>
            </w:r>
          </w:p>
        </w:tc>
        <w:tc>
          <w:tcPr>
            <w:tcW w:w="1013" w:type="pct"/>
            <w:tcBorders>
              <w:bottom w:val="nil"/>
            </w:tcBorders>
          </w:tcPr>
          <w:p w14:paraId="12505FBA"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9.2 (5.4, 17.0)</w:t>
            </w:r>
          </w:p>
        </w:tc>
        <w:tc>
          <w:tcPr>
            <w:tcW w:w="1013" w:type="pct"/>
            <w:tcBorders>
              <w:bottom w:val="nil"/>
              <w:right w:val="thinThickSmallGap" w:sz="12" w:space="0" w:color="auto"/>
            </w:tcBorders>
          </w:tcPr>
          <w:p w14:paraId="30751419"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4.4 (3.0, 8.8)</w:t>
            </w:r>
          </w:p>
        </w:tc>
        <w:tc>
          <w:tcPr>
            <w:tcW w:w="1012" w:type="pct"/>
            <w:tcBorders>
              <w:left w:val="thinThickSmallGap" w:sz="12" w:space="0" w:color="auto"/>
              <w:bottom w:val="nil"/>
            </w:tcBorders>
          </w:tcPr>
          <w:p w14:paraId="1690DF66"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4.9 (3.4, 7.8)</w:t>
            </w:r>
          </w:p>
        </w:tc>
      </w:tr>
      <w:tr w:rsidR="004154DB" w:rsidRPr="00960D90" w14:paraId="47C12064" w14:textId="77777777" w:rsidTr="00F274C6">
        <w:trPr>
          <w:trHeight w:val="224"/>
        </w:trPr>
        <w:tc>
          <w:tcPr>
            <w:tcW w:w="1962" w:type="pct"/>
            <w:tcBorders>
              <w:top w:val="nil"/>
              <w:bottom w:val="single" w:sz="4" w:space="0" w:color="auto"/>
            </w:tcBorders>
          </w:tcPr>
          <w:p w14:paraId="27D3E490"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Cs/>
                <w:iCs/>
                <w:sz w:val="20"/>
              </w:rPr>
              <w:t>Estimated PFS rate at 12 months (%) (95% CI)</w:t>
            </w:r>
          </w:p>
        </w:tc>
        <w:tc>
          <w:tcPr>
            <w:tcW w:w="1013" w:type="pct"/>
            <w:tcBorders>
              <w:top w:val="nil"/>
              <w:bottom w:val="single" w:sz="4" w:space="0" w:color="auto"/>
            </w:tcBorders>
          </w:tcPr>
          <w:p w14:paraId="06F442E8"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46.0 (33.3, 58.7)</w:t>
            </w:r>
          </w:p>
        </w:tc>
        <w:tc>
          <w:tcPr>
            <w:tcW w:w="1013" w:type="pct"/>
            <w:tcBorders>
              <w:top w:val="nil"/>
              <w:bottom w:val="single" w:sz="4" w:space="0" w:color="auto"/>
              <w:right w:val="thinThickSmallGap" w:sz="12" w:space="0" w:color="auto"/>
            </w:tcBorders>
          </w:tcPr>
          <w:p w14:paraId="63B7628B"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39.9 (31.8–47.8)</w:t>
            </w:r>
          </w:p>
        </w:tc>
        <w:tc>
          <w:tcPr>
            <w:tcW w:w="1012" w:type="pct"/>
            <w:tcBorders>
              <w:top w:val="nil"/>
              <w:left w:val="thinThickSmallGap" w:sz="12" w:space="0" w:color="auto"/>
              <w:bottom w:val="single" w:sz="4" w:space="0" w:color="auto"/>
            </w:tcBorders>
          </w:tcPr>
          <w:p w14:paraId="0D4C6B68"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36.7 (28.6, 44.8)</w:t>
            </w:r>
          </w:p>
        </w:tc>
      </w:tr>
      <w:tr w:rsidR="004154DB" w:rsidRPr="00960D90" w14:paraId="5F92742C" w14:textId="77777777" w:rsidTr="00F274C6">
        <w:trPr>
          <w:trHeight w:val="64"/>
        </w:trPr>
        <w:tc>
          <w:tcPr>
            <w:tcW w:w="5000" w:type="pct"/>
            <w:gridSpan w:val="4"/>
            <w:tcBorders>
              <w:top w:val="single" w:sz="4" w:space="0" w:color="auto"/>
              <w:bottom w:val="single" w:sz="4" w:space="0" w:color="auto"/>
            </w:tcBorders>
          </w:tcPr>
          <w:p w14:paraId="57046B3A"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
                <w:bCs/>
                <w:iCs/>
                <w:sz w:val="20"/>
              </w:rPr>
              <w:t>Duration of response (DOR): IRC assessed</w:t>
            </w:r>
          </w:p>
        </w:tc>
      </w:tr>
      <w:tr w:rsidR="004154DB" w:rsidRPr="00960D90" w14:paraId="41C6EBE5" w14:textId="77777777" w:rsidTr="00F274C6">
        <w:trPr>
          <w:trHeight w:val="64"/>
        </w:trPr>
        <w:tc>
          <w:tcPr>
            <w:tcW w:w="1962" w:type="pct"/>
            <w:tcBorders>
              <w:top w:val="single" w:sz="4" w:space="0" w:color="auto"/>
              <w:bottom w:val="nil"/>
            </w:tcBorders>
          </w:tcPr>
          <w:p w14:paraId="107FAF9A" w14:textId="77777777" w:rsidR="004154DB" w:rsidRPr="00960D90" w:rsidRDefault="004154DB" w:rsidP="00BD2661">
            <w:pPr>
              <w:keepNext/>
              <w:keepLines/>
              <w:widowControl w:val="0"/>
              <w:jc w:val="left"/>
              <w:rPr>
                <w:rFonts w:ascii="Arial Narrow" w:eastAsiaTheme="majorEastAsia" w:hAnsi="Arial Narrow" w:cstheme="majorBidi"/>
                <w:b/>
                <w:bCs/>
                <w:iCs/>
                <w:sz w:val="20"/>
              </w:rPr>
            </w:pPr>
            <w:r w:rsidRPr="00960D90">
              <w:rPr>
                <w:rFonts w:ascii="Arial Narrow" w:eastAsiaTheme="majorEastAsia" w:hAnsi="Arial Narrow" w:cstheme="majorBidi"/>
                <w:bCs/>
                <w:iCs/>
                <w:sz w:val="20"/>
              </w:rPr>
              <w:t>Responders</w:t>
            </w:r>
          </w:p>
        </w:tc>
        <w:tc>
          <w:tcPr>
            <w:tcW w:w="1013" w:type="pct"/>
            <w:tcBorders>
              <w:top w:val="single" w:sz="4" w:space="0" w:color="auto"/>
              <w:bottom w:val="nil"/>
            </w:tcBorders>
          </w:tcPr>
          <w:p w14:paraId="0D8064D7" w14:textId="77777777" w:rsidR="004154DB" w:rsidRPr="00960D90" w:rsidRDefault="004154DB" w:rsidP="00BD2661">
            <w:pPr>
              <w:keepNext/>
              <w:keepLines/>
              <w:widowControl w:val="0"/>
              <w:jc w:val="center"/>
              <w:rPr>
                <w:rFonts w:ascii="Arial Narrow" w:eastAsiaTheme="majorEastAsia" w:hAnsi="Arial Narrow" w:cstheme="majorBidi"/>
                <w:b/>
                <w:bCs/>
                <w:iCs/>
                <w:sz w:val="20"/>
              </w:rPr>
            </w:pPr>
            <w:r w:rsidRPr="00960D90">
              <w:rPr>
                <w:rFonts w:ascii="Arial Narrow" w:eastAsiaTheme="majorEastAsia" w:hAnsi="Arial Narrow" w:cstheme="majorBidi"/>
                <w:bCs/>
                <w:iCs/>
                <w:sz w:val="20"/>
              </w:rPr>
              <w:t>42 (61.8%)</w:t>
            </w:r>
          </w:p>
        </w:tc>
        <w:tc>
          <w:tcPr>
            <w:tcW w:w="1013" w:type="pct"/>
            <w:tcBorders>
              <w:top w:val="single" w:sz="4" w:space="0" w:color="auto"/>
              <w:bottom w:val="nil"/>
              <w:right w:val="thinThickSmallGap" w:sz="12" w:space="0" w:color="auto"/>
            </w:tcBorders>
          </w:tcPr>
          <w:p w14:paraId="11A940EF"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99 (63.1%)</w:t>
            </w:r>
          </w:p>
        </w:tc>
        <w:tc>
          <w:tcPr>
            <w:tcW w:w="1012" w:type="pct"/>
            <w:tcBorders>
              <w:top w:val="single" w:sz="4" w:space="0" w:color="auto"/>
              <w:left w:val="thinThickSmallGap" w:sz="12" w:space="0" w:color="auto"/>
              <w:bottom w:val="nil"/>
            </w:tcBorders>
          </w:tcPr>
          <w:p w14:paraId="252CC67A" w14:textId="77777777" w:rsidR="004154DB" w:rsidRPr="00960D90" w:rsidRDefault="004154DB" w:rsidP="00BD2661">
            <w:pPr>
              <w:keepNext/>
              <w:keepLines/>
              <w:widowControl w:val="0"/>
              <w:jc w:val="center"/>
              <w:rPr>
                <w:rFonts w:ascii="Arial Narrow" w:eastAsiaTheme="majorEastAsia" w:hAnsi="Arial Narrow" w:cstheme="majorBidi"/>
                <w:b/>
                <w:bCs/>
                <w:iCs/>
                <w:sz w:val="20"/>
              </w:rPr>
            </w:pPr>
            <w:r w:rsidRPr="00960D90">
              <w:rPr>
                <w:rFonts w:ascii="Arial Narrow" w:eastAsiaTheme="majorEastAsia" w:hAnsi="Arial Narrow" w:cstheme="majorBidi"/>
                <w:bCs/>
                <w:iCs/>
                <w:sz w:val="20"/>
              </w:rPr>
              <w:t>N/R</w:t>
            </w:r>
          </w:p>
        </w:tc>
      </w:tr>
      <w:tr w:rsidR="004154DB" w:rsidRPr="00960D90" w14:paraId="760B883E" w14:textId="77777777" w:rsidTr="00F274C6">
        <w:trPr>
          <w:trHeight w:val="224"/>
        </w:trPr>
        <w:tc>
          <w:tcPr>
            <w:tcW w:w="1962" w:type="pct"/>
            <w:tcBorders>
              <w:top w:val="nil"/>
            </w:tcBorders>
            <w:vAlign w:val="top"/>
          </w:tcPr>
          <w:p w14:paraId="0754852A" w14:textId="77777777" w:rsidR="004154DB" w:rsidRPr="00960D90" w:rsidRDefault="004154DB" w:rsidP="00BD2661">
            <w:pPr>
              <w:keepNext/>
              <w:keepLines/>
              <w:widowControl w:val="0"/>
              <w:jc w:val="left"/>
              <w:rPr>
                <w:rFonts w:ascii="Arial Narrow" w:eastAsiaTheme="majorEastAsia" w:hAnsi="Arial Narrow" w:cstheme="majorBidi"/>
                <w:b/>
                <w:bCs/>
                <w:iCs/>
                <w:sz w:val="20"/>
              </w:rPr>
            </w:pPr>
            <w:r w:rsidRPr="00960D90">
              <w:rPr>
                <w:rFonts w:ascii="Arial Narrow" w:eastAsiaTheme="majorEastAsia" w:hAnsi="Arial Narrow" w:cstheme="majorBidi"/>
                <w:bCs/>
                <w:iCs/>
                <w:sz w:val="20"/>
              </w:rPr>
              <w:t>Duration of response months, median (95% CI)</w:t>
            </w:r>
          </w:p>
        </w:tc>
        <w:tc>
          <w:tcPr>
            <w:tcW w:w="1013" w:type="pct"/>
            <w:tcBorders>
              <w:top w:val="nil"/>
            </w:tcBorders>
          </w:tcPr>
          <w:p w14:paraId="50854EFC" w14:textId="77777777" w:rsidR="004154DB" w:rsidRPr="00960D90" w:rsidRDefault="004154DB" w:rsidP="00BD2661">
            <w:pPr>
              <w:keepNext/>
              <w:keepLines/>
              <w:widowControl w:val="0"/>
              <w:jc w:val="center"/>
              <w:rPr>
                <w:rFonts w:ascii="Arial Narrow" w:eastAsiaTheme="majorEastAsia" w:hAnsi="Arial Narrow" w:cstheme="majorBidi"/>
                <w:b/>
                <w:bCs/>
                <w:iCs/>
                <w:sz w:val="20"/>
              </w:rPr>
            </w:pPr>
            <w:r w:rsidRPr="00960D90">
              <w:rPr>
                <w:rFonts w:ascii="Arial Narrow" w:eastAsiaTheme="majorEastAsia" w:hAnsi="Arial Narrow" w:cstheme="majorBidi"/>
                <w:bCs/>
                <w:iCs/>
                <w:sz w:val="20"/>
              </w:rPr>
              <w:t>17.9 (11.8, NE)</w:t>
            </w:r>
          </w:p>
        </w:tc>
        <w:tc>
          <w:tcPr>
            <w:tcW w:w="1013" w:type="pct"/>
            <w:tcBorders>
              <w:top w:val="nil"/>
              <w:right w:val="thinThickSmallGap" w:sz="12" w:space="0" w:color="auto"/>
            </w:tcBorders>
          </w:tcPr>
          <w:p w14:paraId="2533F244"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17.3 (9.7, 26.5)</w:t>
            </w:r>
          </w:p>
        </w:tc>
        <w:tc>
          <w:tcPr>
            <w:tcW w:w="1012" w:type="pct"/>
            <w:tcBorders>
              <w:top w:val="nil"/>
              <w:left w:val="thinThickSmallGap" w:sz="12" w:space="0" w:color="auto"/>
            </w:tcBorders>
          </w:tcPr>
          <w:p w14:paraId="54E1D093" w14:textId="77777777" w:rsidR="004154DB" w:rsidRPr="00960D90" w:rsidRDefault="004154DB" w:rsidP="00BD2661">
            <w:pPr>
              <w:keepNext/>
              <w:keepLines/>
              <w:widowControl w:val="0"/>
              <w:jc w:val="center"/>
              <w:rPr>
                <w:rFonts w:ascii="Arial Narrow" w:eastAsiaTheme="majorEastAsia" w:hAnsi="Arial Narrow" w:cstheme="majorBidi"/>
                <w:b/>
                <w:bCs/>
                <w:iCs/>
                <w:sz w:val="20"/>
              </w:rPr>
            </w:pPr>
            <w:r w:rsidRPr="00960D90">
              <w:rPr>
                <w:rFonts w:ascii="Arial Narrow" w:eastAsiaTheme="majorEastAsia" w:hAnsi="Arial Narrow" w:cstheme="majorBidi"/>
                <w:bCs/>
                <w:iCs/>
                <w:sz w:val="20"/>
              </w:rPr>
              <w:t>22.0 (12.6, 29.8)</w:t>
            </w:r>
          </w:p>
        </w:tc>
      </w:tr>
      <w:tr w:rsidR="004154DB" w:rsidRPr="00960D90" w14:paraId="691E390F" w14:textId="77777777" w:rsidTr="00F274C6">
        <w:trPr>
          <w:trHeight w:val="64"/>
        </w:trPr>
        <w:tc>
          <w:tcPr>
            <w:tcW w:w="5000" w:type="pct"/>
            <w:gridSpan w:val="4"/>
            <w:tcBorders>
              <w:bottom w:val="single" w:sz="4" w:space="0" w:color="auto"/>
            </w:tcBorders>
          </w:tcPr>
          <w:p w14:paraId="3376A17E"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
                <w:bCs/>
                <w:iCs/>
                <w:sz w:val="20"/>
              </w:rPr>
              <w:t>Duration of complete response (DOCR): IRC assessed</w:t>
            </w:r>
          </w:p>
        </w:tc>
      </w:tr>
      <w:tr w:rsidR="004154DB" w:rsidRPr="00960D90" w14:paraId="6A053BCA" w14:textId="77777777" w:rsidTr="008E0893">
        <w:trPr>
          <w:trHeight w:val="64"/>
        </w:trPr>
        <w:tc>
          <w:tcPr>
            <w:tcW w:w="1962" w:type="pct"/>
            <w:tcBorders>
              <w:bottom w:val="nil"/>
            </w:tcBorders>
          </w:tcPr>
          <w:p w14:paraId="477FEFEE"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Cs/>
                <w:iCs/>
                <w:sz w:val="20"/>
              </w:rPr>
              <w:t>Complete response n (%)</w:t>
            </w:r>
          </w:p>
        </w:tc>
        <w:tc>
          <w:tcPr>
            <w:tcW w:w="1013" w:type="pct"/>
            <w:tcBorders>
              <w:bottom w:val="nil"/>
            </w:tcBorders>
          </w:tcPr>
          <w:p w14:paraId="1224647E"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34 (50.0%)</w:t>
            </w:r>
          </w:p>
        </w:tc>
        <w:tc>
          <w:tcPr>
            <w:tcW w:w="1013" w:type="pct"/>
            <w:tcBorders>
              <w:bottom w:val="nil"/>
              <w:right w:val="thinThickSmallGap" w:sz="12" w:space="0" w:color="auto"/>
            </w:tcBorders>
          </w:tcPr>
          <w:p w14:paraId="192FDFE3"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63 (40.1%)</w:t>
            </w:r>
          </w:p>
        </w:tc>
        <w:tc>
          <w:tcPr>
            <w:tcW w:w="1012" w:type="pct"/>
            <w:tcBorders>
              <w:left w:val="thinThickSmallGap" w:sz="12" w:space="0" w:color="auto"/>
              <w:bottom w:val="nil"/>
            </w:tcBorders>
          </w:tcPr>
          <w:p w14:paraId="5CACBE16"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N/R</w:t>
            </w:r>
          </w:p>
        </w:tc>
      </w:tr>
      <w:tr w:rsidR="004154DB" w:rsidRPr="00960D90" w14:paraId="6D31B745" w14:textId="77777777" w:rsidTr="008E0893">
        <w:trPr>
          <w:trHeight w:val="74"/>
        </w:trPr>
        <w:tc>
          <w:tcPr>
            <w:tcW w:w="1962" w:type="pct"/>
            <w:tcBorders>
              <w:top w:val="nil"/>
              <w:bottom w:val="single" w:sz="4" w:space="0" w:color="auto"/>
            </w:tcBorders>
            <w:vAlign w:val="top"/>
          </w:tcPr>
          <w:p w14:paraId="65D3A081"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Cs/>
                <w:iCs/>
                <w:sz w:val="20"/>
              </w:rPr>
              <w:t>Duration of complete response months, median (95% CI)</w:t>
            </w:r>
          </w:p>
        </w:tc>
        <w:tc>
          <w:tcPr>
            <w:tcW w:w="1013" w:type="pct"/>
            <w:tcBorders>
              <w:top w:val="nil"/>
              <w:bottom w:val="single" w:sz="4" w:space="0" w:color="auto"/>
            </w:tcBorders>
          </w:tcPr>
          <w:p w14:paraId="02C152D4"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NE (14.4, NE)</w:t>
            </w:r>
          </w:p>
        </w:tc>
        <w:tc>
          <w:tcPr>
            <w:tcW w:w="1013" w:type="pct"/>
            <w:tcBorders>
              <w:top w:val="nil"/>
              <w:bottom w:val="single" w:sz="4" w:space="0" w:color="auto"/>
              <w:right w:val="thinThickSmallGap" w:sz="12" w:space="0" w:color="auto"/>
            </w:tcBorders>
          </w:tcPr>
          <w:p w14:paraId="4D9339F3"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NE</w:t>
            </w:r>
          </w:p>
        </w:tc>
        <w:tc>
          <w:tcPr>
            <w:tcW w:w="1012" w:type="pct"/>
            <w:tcBorders>
              <w:top w:val="nil"/>
              <w:left w:val="thinThickSmallGap" w:sz="12" w:space="0" w:color="auto"/>
              <w:bottom w:val="single" w:sz="4" w:space="0" w:color="auto"/>
            </w:tcBorders>
          </w:tcPr>
          <w:p w14:paraId="2422FC31"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29.8 (22.0, NE)</w:t>
            </w:r>
          </w:p>
        </w:tc>
      </w:tr>
      <w:tr w:rsidR="008E0893" w:rsidRPr="00960D90" w14:paraId="7E7D0EFC" w14:textId="77777777" w:rsidTr="008E0893">
        <w:trPr>
          <w:trHeight w:val="74"/>
        </w:trPr>
        <w:tc>
          <w:tcPr>
            <w:tcW w:w="5000" w:type="pct"/>
            <w:gridSpan w:val="4"/>
            <w:tcBorders>
              <w:top w:val="single" w:sz="4" w:space="0" w:color="auto"/>
              <w:bottom w:val="single" w:sz="4" w:space="0" w:color="auto"/>
            </w:tcBorders>
          </w:tcPr>
          <w:p w14:paraId="6A9C051D" w14:textId="1C59C535" w:rsidR="008E0893" w:rsidRPr="00960D90" w:rsidRDefault="008E0893"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
                <w:bCs/>
                <w:iCs/>
                <w:sz w:val="20"/>
              </w:rPr>
              <w:t>Treatment-emergent AE in ≥20% of patients, n (%)</w:t>
            </w:r>
          </w:p>
        </w:tc>
      </w:tr>
      <w:tr w:rsidR="004154DB" w:rsidRPr="00960D90" w14:paraId="4A096795" w14:textId="77777777" w:rsidTr="008E0893">
        <w:trPr>
          <w:trHeight w:val="74"/>
        </w:trPr>
        <w:tc>
          <w:tcPr>
            <w:tcW w:w="1962" w:type="pct"/>
            <w:tcBorders>
              <w:top w:val="single" w:sz="4" w:space="0" w:color="auto"/>
              <w:bottom w:val="nil"/>
            </w:tcBorders>
            <w:vAlign w:val="top"/>
          </w:tcPr>
          <w:p w14:paraId="1EB4D781"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Cs/>
                <w:iCs/>
                <w:sz w:val="20"/>
              </w:rPr>
              <w:t>CRS</w:t>
            </w:r>
          </w:p>
        </w:tc>
        <w:tc>
          <w:tcPr>
            <w:tcW w:w="1013" w:type="pct"/>
            <w:tcBorders>
              <w:top w:val="single" w:sz="4" w:space="0" w:color="auto"/>
              <w:bottom w:val="nil"/>
            </w:tcBorders>
          </w:tcPr>
          <w:p w14:paraId="1ABC3061"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25 (36.8%)</w:t>
            </w:r>
          </w:p>
        </w:tc>
        <w:tc>
          <w:tcPr>
            <w:tcW w:w="1013" w:type="pct"/>
            <w:tcBorders>
              <w:top w:val="single" w:sz="4" w:space="0" w:color="auto"/>
              <w:bottom w:val="nil"/>
              <w:right w:val="thinThickSmallGap" w:sz="12" w:space="0" w:color="auto"/>
            </w:tcBorders>
          </w:tcPr>
          <w:p w14:paraId="4098BBC6"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80 (51.0%)</w:t>
            </w:r>
          </w:p>
        </w:tc>
        <w:tc>
          <w:tcPr>
            <w:tcW w:w="1012" w:type="pct"/>
            <w:tcBorders>
              <w:top w:val="single" w:sz="4" w:space="0" w:color="auto"/>
              <w:left w:val="thinThickSmallGap" w:sz="12" w:space="0" w:color="auto"/>
              <w:bottom w:val="nil"/>
            </w:tcBorders>
          </w:tcPr>
          <w:p w14:paraId="3E688029"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103 (66.9%)</w:t>
            </w:r>
          </w:p>
        </w:tc>
      </w:tr>
      <w:tr w:rsidR="004154DB" w:rsidRPr="00960D90" w14:paraId="5D91971C" w14:textId="77777777" w:rsidTr="00F274C6">
        <w:trPr>
          <w:trHeight w:val="74"/>
        </w:trPr>
        <w:tc>
          <w:tcPr>
            <w:tcW w:w="1962" w:type="pct"/>
            <w:tcBorders>
              <w:top w:val="nil"/>
              <w:bottom w:val="nil"/>
            </w:tcBorders>
            <w:vAlign w:val="top"/>
          </w:tcPr>
          <w:p w14:paraId="65D78BEE"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Cs/>
                <w:iCs/>
                <w:sz w:val="20"/>
              </w:rPr>
              <w:t>Neutropenia</w:t>
            </w:r>
          </w:p>
        </w:tc>
        <w:tc>
          <w:tcPr>
            <w:tcW w:w="1013" w:type="pct"/>
            <w:tcBorders>
              <w:top w:val="nil"/>
              <w:bottom w:val="nil"/>
            </w:tcBorders>
          </w:tcPr>
          <w:p w14:paraId="19200A45"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13 (19.1%)</w:t>
            </w:r>
          </w:p>
        </w:tc>
        <w:tc>
          <w:tcPr>
            <w:tcW w:w="1013" w:type="pct"/>
            <w:tcBorders>
              <w:top w:val="nil"/>
              <w:bottom w:val="nil"/>
              <w:right w:val="thinThickSmallGap" w:sz="12" w:space="0" w:color="auto"/>
            </w:tcBorders>
          </w:tcPr>
          <w:p w14:paraId="7D36C69D"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37 (23.6%)</w:t>
            </w:r>
          </w:p>
        </w:tc>
        <w:tc>
          <w:tcPr>
            <w:tcW w:w="1012" w:type="pct"/>
            <w:tcBorders>
              <w:top w:val="nil"/>
              <w:left w:val="thinThickSmallGap" w:sz="12" w:space="0" w:color="auto"/>
              <w:bottom w:val="nil"/>
            </w:tcBorders>
          </w:tcPr>
          <w:p w14:paraId="396E752A"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59 (38.3%)</w:t>
            </w:r>
          </w:p>
        </w:tc>
      </w:tr>
      <w:tr w:rsidR="004154DB" w:rsidRPr="00960D90" w14:paraId="2146D0F0" w14:textId="77777777" w:rsidTr="00F274C6">
        <w:trPr>
          <w:trHeight w:val="74"/>
        </w:trPr>
        <w:tc>
          <w:tcPr>
            <w:tcW w:w="1962" w:type="pct"/>
            <w:tcBorders>
              <w:top w:val="nil"/>
              <w:bottom w:val="nil"/>
            </w:tcBorders>
            <w:vAlign w:val="top"/>
          </w:tcPr>
          <w:p w14:paraId="355EF89F" w14:textId="77777777" w:rsidR="004154DB" w:rsidRPr="00960D90" w:rsidRDefault="004154DB" w:rsidP="00BD2661">
            <w:pPr>
              <w:keepNext/>
              <w:keepLines/>
              <w:widowControl w:val="0"/>
              <w:jc w:val="left"/>
              <w:rPr>
                <w:rFonts w:ascii="Arial Narrow" w:eastAsiaTheme="majorEastAsia" w:hAnsi="Arial Narrow" w:cstheme="majorBidi"/>
                <w:bCs/>
                <w:iCs/>
                <w:sz w:val="20"/>
              </w:rPr>
            </w:pPr>
            <w:r w:rsidRPr="00960D90">
              <w:rPr>
                <w:rFonts w:ascii="Arial Narrow" w:eastAsiaTheme="majorEastAsia" w:hAnsi="Arial Narrow" w:cstheme="majorBidi"/>
                <w:bCs/>
                <w:iCs/>
                <w:sz w:val="20"/>
              </w:rPr>
              <w:t>Anaemia</w:t>
            </w:r>
          </w:p>
        </w:tc>
        <w:tc>
          <w:tcPr>
            <w:tcW w:w="1013" w:type="pct"/>
            <w:tcBorders>
              <w:top w:val="nil"/>
              <w:bottom w:val="nil"/>
            </w:tcBorders>
          </w:tcPr>
          <w:p w14:paraId="1774B15F"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32 (47.1%)</w:t>
            </w:r>
          </w:p>
        </w:tc>
        <w:tc>
          <w:tcPr>
            <w:tcW w:w="1013" w:type="pct"/>
            <w:tcBorders>
              <w:top w:val="nil"/>
              <w:bottom w:val="nil"/>
              <w:right w:val="thinThickSmallGap" w:sz="12" w:space="0" w:color="auto"/>
            </w:tcBorders>
          </w:tcPr>
          <w:p w14:paraId="72C55988"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33 (21.0%)</w:t>
            </w:r>
          </w:p>
        </w:tc>
        <w:tc>
          <w:tcPr>
            <w:tcW w:w="1012" w:type="pct"/>
            <w:tcBorders>
              <w:top w:val="nil"/>
              <w:left w:val="thinThickSmallGap" w:sz="12" w:space="0" w:color="auto"/>
              <w:bottom w:val="nil"/>
            </w:tcBorders>
          </w:tcPr>
          <w:p w14:paraId="1808B650"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46 (29.9%)</w:t>
            </w:r>
          </w:p>
        </w:tc>
      </w:tr>
      <w:tr w:rsidR="004154DB" w:rsidRPr="00960D90" w14:paraId="242ADFD8" w14:textId="77777777" w:rsidTr="00F274C6">
        <w:trPr>
          <w:trHeight w:val="74"/>
        </w:trPr>
        <w:tc>
          <w:tcPr>
            <w:tcW w:w="1962" w:type="pct"/>
            <w:tcBorders>
              <w:top w:val="nil"/>
              <w:bottom w:val="nil"/>
            </w:tcBorders>
            <w:vAlign w:val="top"/>
          </w:tcPr>
          <w:p w14:paraId="34CA51AB" w14:textId="77777777" w:rsidR="004154DB" w:rsidRPr="00960D90" w:rsidRDefault="004154DB" w:rsidP="00BD2661">
            <w:pPr>
              <w:keepNext/>
              <w:keepLines/>
              <w:widowControl w:val="0"/>
              <w:jc w:val="left"/>
              <w:rPr>
                <w:rFonts w:ascii="Arial Narrow" w:eastAsiaTheme="majorEastAsia" w:hAnsi="Arial Narrow" w:cstheme="majorBidi"/>
                <w:iCs/>
                <w:sz w:val="20"/>
              </w:rPr>
            </w:pPr>
            <w:r w:rsidRPr="00960D90">
              <w:rPr>
                <w:rFonts w:ascii="Arial Narrow" w:eastAsiaTheme="majorEastAsia" w:hAnsi="Arial Narrow" w:cstheme="majorBidi"/>
                <w:iCs/>
                <w:sz w:val="20"/>
              </w:rPr>
              <w:t>Infections, n (%)</w:t>
            </w:r>
          </w:p>
        </w:tc>
        <w:tc>
          <w:tcPr>
            <w:tcW w:w="1013" w:type="pct"/>
            <w:tcBorders>
              <w:top w:val="nil"/>
              <w:bottom w:val="nil"/>
            </w:tcBorders>
          </w:tcPr>
          <w:p w14:paraId="50ABD5BA" w14:textId="77777777" w:rsidR="004154DB" w:rsidRPr="00960D90" w:rsidRDefault="004154DB" w:rsidP="00BD2661">
            <w:pPr>
              <w:keepNext/>
              <w:keepLines/>
              <w:widowControl w:val="0"/>
              <w:jc w:val="center"/>
              <w:rPr>
                <w:rFonts w:ascii="Arial Narrow" w:eastAsiaTheme="majorEastAsia" w:hAnsi="Arial Narrow" w:cstheme="majorBidi"/>
                <w:bCs/>
                <w:iCs/>
                <w:sz w:val="20"/>
              </w:rPr>
            </w:pPr>
          </w:p>
        </w:tc>
        <w:tc>
          <w:tcPr>
            <w:tcW w:w="1013" w:type="pct"/>
            <w:tcBorders>
              <w:top w:val="nil"/>
              <w:bottom w:val="nil"/>
              <w:right w:val="thinThickSmallGap" w:sz="12" w:space="0" w:color="auto"/>
            </w:tcBorders>
          </w:tcPr>
          <w:p w14:paraId="6B331AC8" w14:textId="77777777" w:rsidR="004154DB" w:rsidRPr="00960D90" w:rsidRDefault="004154DB" w:rsidP="00BD2661">
            <w:pPr>
              <w:keepNext/>
              <w:keepLines/>
              <w:widowControl w:val="0"/>
              <w:jc w:val="center"/>
              <w:rPr>
                <w:rFonts w:ascii="Arial Narrow" w:eastAsiaTheme="majorEastAsia" w:hAnsi="Arial Narrow" w:cstheme="majorBidi"/>
                <w:bCs/>
                <w:iCs/>
                <w:sz w:val="20"/>
              </w:rPr>
            </w:pPr>
          </w:p>
        </w:tc>
        <w:tc>
          <w:tcPr>
            <w:tcW w:w="1012" w:type="pct"/>
            <w:tcBorders>
              <w:top w:val="nil"/>
              <w:left w:val="thinThickSmallGap" w:sz="12" w:space="0" w:color="auto"/>
              <w:bottom w:val="nil"/>
            </w:tcBorders>
          </w:tcPr>
          <w:p w14:paraId="22975F2C" w14:textId="77777777" w:rsidR="004154DB" w:rsidRPr="00960D90" w:rsidRDefault="004154DB" w:rsidP="00BD2661">
            <w:pPr>
              <w:keepNext/>
              <w:keepLines/>
              <w:widowControl w:val="0"/>
              <w:jc w:val="center"/>
              <w:rPr>
                <w:rFonts w:ascii="Arial Narrow" w:eastAsiaTheme="majorEastAsia" w:hAnsi="Arial Narrow" w:cstheme="majorBidi"/>
                <w:bCs/>
                <w:iCs/>
                <w:sz w:val="20"/>
              </w:rPr>
            </w:pPr>
          </w:p>
        </w:tc>
      </w:tr>
      <w:tr w:rsidR="004154DB" w:rsidRPr="00960D90" w14:paraId="2F7C628B" w14:textId="77777777" w:rsidTr="00F274C6">
        <w:trPr>
          <w:trHeight w:val="74"/>
        </w:trPr>
        <w:tc>
          <w:tcPr>
            <w:tcW w:w="1962" w:type="pct"/>
            <w:tcBorders>
              <w:top w:val="nil"/>
              <w:bottom w:val="nil"/>
            </w:tcBorders>
            <w:vAlign w:val="top"/>
          </w:tcPr>
          <w:p w14:paraId="1BDA388A" w14:textId="77777777" w:rsidR="004154DB" w:rsidRPr="00960D90" w:rsidRDefault="004154DB" w:rsidP="00BD2661">
            <w:pPr>
              <w:keepNext/>
              <w:keepLines/>
              <w:widowControl w:val="0"/>
              <w:ind w:left="107"/>
              <w:jc w:val="left"/>
              <w:rPr>
                <w:rFonts w:ascii="Arial Narrow" w:eastAsiaTheme="majorEastAsia" w:hAnsi="Arial Narrow" w:cstheme="majorBidi"/>
                <w:b/>
                <w:bCs/>
                <w:iCs/>
                <w:sz w:val="20"/>
                <w:szCs w:val="20"/>
              </w:rPr>
            </w:pPr>
            <w:r w:rsidRPr="00960D90">
              <w:rPr>
                <w:rFonts w:ascii="Arial Narrow" w:hAnsi="Arial Narrow"/>
                <w:iCs/>
                <w:sz w:val="20"/>
                <w:szCs w:val="20"/>
              </w:rPr>
              <w:t>COVID-19</w:t>
            </w:r>
          </w:p>
        </w:tc>
        <w:tc>
          <w:tcPr>
            <w:tcW w:w="1013" w:type="pct"/>
            <w:tcBorders>
              <w:top w:val="nil"/>
              <w:bottom w:val="nil"/>
            </w:tcBorders>
            <w:vAlign w:val="top"/>
          </w:tcPr>
          <w:p w14:paraId="1DB7BC29" w14:textId="77777777" w:rsidR="004154DB" w:rsidRPr="00960D90" w:rsidRDefault="004154DB" w:rsidP="00BD2661">
            <w:pPr>
              <w:keepNext/>
              <w:keepLines/>
              <w:widowControl w:val="0"/>
              <w:jc w:val="center"/>
              <w:rPr>
                <w:rFonts w:ascii="Arial Narrow" w:eastAsiaTheme="majorEastAsia" w:hAnsi="Arial Narrow" w:cstheme="majorBidi"/>
                <w:bCs/>
                <w:iCs/>
                <w:sz w:val="20"/>
                <w:szCs w:val="20"/>
              </w:rPr>
            </w:pPr>
            <w:r w:rsidRPr="00960D90">
              <w:rPr>
                <w:rFonts w:ascii="Arial Narrow" w:hAnsi="Arial Narrow"/>
                <w:iCs/>
                <w:sz w:val="20"/>
                <w:szCs w:val="20"/>
              </w:rPr>
              <w:t>12 (17.6%)</w:t>
            </w:r>
          </w:p>
        </w:tc>
        <w:tc>
          <w:tcPr>
            <w:tcW w:w="1013" w:type="pct"/>
            <w:tcBorders>
              <w:top w:val="nil"/>
              <w:bottom w:val="nil"/>
              <w:right w:val="thinThickSmallGap" w:sz="12" w:space="0" w:color="auto"/>
            </w:tcBorders>
            <w:vAlign w:val="top"/>
          </w:tcPr>
          <w:p w14:paraId="2CBA22F3" w14:textId="77777777" w:rsidR="004154DB" w:rsidRPr="00960D90" w:rsidRDefault="004154DB" w:rsidP="00BD2661">
            <w:pPr>
              <w:keepNext/>
              <w:keepLines/>
              <w:widowControl w:val="0"/>
              <w:jc w:val="center"/>
              <w:rPr>
                <w:rFonts w:ascii="Arial Narrow" w:eastAsiaTheme="majorEastAsia" w:hAnsi="Arial Narrow" w:cstheme="majorBidi"/>
                <w:bCs/>
                <w:iCs/>
                <w:sz w:val="20"/>
                <w:szCs w:val="20"/>
              </w:rPr>
            </w:pPr>
            <w:r w:rsidRPr="00960D90">
              <w:rPr>
                <w:rFonts w:ascii="Arial Narrow" w:hAnsi="Arial Narrow"/>
                <w:iCs/>
                <w:sz w:val="20"/>
                <w:szCs w:val="20"/>
              </w:rPr>
              <w:t>30 (19.1%)</w:t>
            </w:r>
          </w:p>
        </w:tc>
        <w:tc>
          <w:tcPr>
            <w:tcW w:w="1012" w:type="pct"/>
            <w:tcBorders>
              <w:top w:val="nil"/>
              <w:left w:val="thinThickSmallGap" w:sz="12" w:space="0" w:color="auto"/>
              <w:bottom w:val="nil"/>
            </w:tcBorders>
          </w:tcPr>
          <w:p w14:paraId="7BDB84A3"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5 (3.2%)</w:t>
            </w:r>
          </w:p>
        </w:tc>
      </w:tr>
      <w:tr w:rsidR="004154DB" w:rsidRPr="00960D90" w14:paraId="58065366" w14:textId="77777777" w:rsidTr="00F274C6">
        <w:trPr>
          <w:trHeight w:val="74"/>
        </w:trPr>
        <w:tc>
          <w:tcPr>
            <w:tcW w:w="1962" w:type="pct"/>
            <w:tcBorders>
              <w:top w:val="nil"/>
              <w:bottom w:val="nil"/>
            </w:tcBorders>
            <w:vAlign w:val="top"/>
          </w:tcPr>
          <w:p w14:paraId="51DD35C1" w14:textId="77777777" w:rsidR="004154DB" w:rsidRPr="00960D90" w:rsidRDefault="004154DB" w:rsidP="00BD2661">
            <w:pPr>
              <w:keepNext/>
              <w:keepLines/>
              <w:widowControl w:val="0"/>
              <w:ind w:left="107"/>
              <w:jc w:val="left"/>
              <w:rPr>
                <w:rFonts w:ascii="Arial Narrow" w:eastAsiaTheme="majorEastAsia" w:hAnsi="Arial Narrow" w:cstheme="majorBidi"/>
                <w:b/>
                <w:bCs/>
                <w:iCs/>
                <w:sz w:val="20"/>
                <w:szCs w:val="20"/>
              </w:rPr>
            </w:pPr>
            <w:r w:rsidRPr="00960D90">
              <w:rPr>
                <w:rFonts w:ascii="Arial Narrow" w:hAnsi="Arial Narrow"/>
                <w:iCs/>
                <w:sz w:val="20"/>
                <w:szCs w:val="20"/>
              </w:rPr>
              <w:t>Pneumonia</w:t>
            </w:r>
          </w:p>
        </w:tc>
        <w:tc>
          <w:tcPr>
            <w:tcW w:w="1013" w:type="pct"/>
            <w:tcBorders>
              <w:top w:val="nil"/>
              <w:bottom w:val="nil"/>
            </w:tcBorders>
            <w:vAlign w:val="top"/>
          </w:tcPr>
          <w:p w14:paraId="2E63FCFD" w14:textId="77777777" w:rsidR="004154DB" w:rsidRPr="00960D90" w:rsidRDefault="004154DB" w:rsidP="00BD2661">
            <w:pPr>
              <w:keepNext/>
              <w:keepLines/>
              <w:widowControl w:val="0"/>
              <w:jc w:val="center"/>
              <w:rPr>
                <w:rFonts w:ascii="Arial Narrow" w:eastAsiaTheme="majorEastAsia" w:hAnsi="Arial Narrow" w:cstheme="majorBidi"/>
                <w:bCs/>
                <w:iCs/>
                <w:sz w:val="20"/>
                <w:szCs w:val="20"/>
              </w:rPr>
            </w:pPr>
            <w:r w:rsidRPr="00960D90">
              <w:rPr>
                <w:rFonts w:ascii="Arial Narrow" w:hAnsi="Arial Narrow"/>
                <w:iCs/>
                <w:sz w:val="20"/>
                <w:szCs w:val="20"/>
              </w:rPr>
              <w:t>5 (7.4%)</w:t>
            </w:r>
          </w:p>
        </w:tc>
        <w:tc>
          <w:tcPr>
            <w:tcW w:w="1013" w:type="pct"/>
            <w:tcBorders>
              <w:top w:val="nil"/>
              <w:bottom w:val="nil"/>
              <w:right w:val="thinThickSmallGap" w:sz="12" w:space="0" w:color="auto"/>
            </w:tcBorders>
            <w:vAlign w:val="top"/>
          </w:tcPr>
          <w:p w14:paraId="4CED4183" w14:textId="77777777" w:rsidR="004154DB" w:rsidRPr="00960D90" w:rsidRDefault="004154DB" w:rsidP="00BD2661">
            <w:pPr>
              <w:keepNext/>
              <w:keepLines/>
              <w:widowControl w:val="0"/>
              <w:jc w:val="center"/>
              <w:rPr>
                <w:rFonts w:ascii="Arial Narrow" w:eastAsiaTheme="majorEastAsia" w:hAnsi="Arial Narrow" w:cstheme="majorBidi"/>
                <w:bCs/>
                <w:iCs/>
                <w:sz w:val="20"/>
                <w:szCs w:val="20"/>
              </w:rPr>
            </w:pPr>
            <w:r w:rsidRPr="00960D90">
              <w:rPr>
                <w:rFonts w:ascii="Arial Narrow" w:hAnsi="Arial Narrow"/>
                <w:iCs/>
                <w:sz w:val="20"/>
                <w:szCs w:val="20"/>
              </w:rPr>
              <w:t>13 (8.3%)</w:t>
            </w:r>
          </w:p>
        </w:tc>
        <w:tc>
          <w:tcPr>
            <w:tcW w:w="1012" w:type="pct"/>
            <w:tcBorders>
              <w:top w:val="nil"/>
              <w:left w:val="thinThickSmallGap" w:sz="12" w:space="0" w:color="auto"/>
              <w:bottom w:val="nil"/>
            </w:tcBorders>
          </w:tcPr>
          <w:p w14:paraId="44F722FE"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2 (1.3%)</w:t>
            </w:r>
          </w:p>
        </w:tc>
      </w:tr>
      <w:tr w:rsidR="004154DB" w:rsidRPr="00960D90" w14:paraId="4F61A0C4" w14:textId="77777777" w:rsidTr="00F274C6">
        <w:trPr>
          <w:trHeight w:val="74"/>
        </w:trPr>
        <w:tc>
          <w:tcPr>
            <w:tcW w:w="1962" w:type="pct"/>
            <w:tcBorders>
              <w:top w:val="nil"/>
            </w:tcBorders>
            <w:vAlign w:val="top"/>
          </w:tcPr>
          <w:p w14:paraId="05BA43D4" w14:textId="77777777" w:rsidR="004154DB" w:rsidRPr="00960D90" w:rsidRDefault="004154DB" w:rsidP="00BD2661">
            <w:pPr>
              <w:keepNext/>
              <w:keepLines/>
              <w:widowControl w:val="0"/>
              <w:ind w:left="107"/>
              <w:jc w:val="left"/>
              <w:rPr>
                <w:rFonts w:ascii="Arial Narrow" w:eastAsiaTheme="majorEastAsia" w:hAnsi="Arial Narrow" w:cstheme="majorBidi"/>
                <w:b/>
                <w:bCs/>
                <w:iCs/>
                <w:sz w:val="20"/>
                <w:szCs w:val="20"/>
              </w:rPr>
            </w:pPr>
            <w:r w:rsidRPr="00960D90">
              <w:rPr>
                <w:rFonts w:ascii="Arial Narrow" w:hAnsi="Arial Narrow"/>
                <w:iCs/>
                <w:sz w:val="20"/>
                <w:szCs w:val="20"/>
              </w:rPr>
              <w:t>Sepsis</w:t>
            </w:r>
          </w:p>
        </w:tc>
        <w:tc>
          <w:tcPr>
            <w:tcW w:w="1013" w:type="pct"/>
            <w:tcBorders>
              <w:top w:val="nil"/>
            </w:tcBorders>
            <w:vAlign w:val="top"/>
          </w:tcPr>
          <w:p w14:paraId="55C8D256" w14:textId="77777777" w:rsidR="004154DB" w:rsidRPr="00960D90" w:rsidRDefault="004154DB" w:rsidP="00BD2661">
            <w:pPr>
              <w:keepNext/>
              <w:keepLines/>
              <w:widowControl w:val="0"/>
              <w:jc w:val="center"/>
              <w:rPr>
                <w:rFonts w:ascii="Arial Narrow" w:eastAsiaTheme="majorEastAsia" w:hAnsi="Arial Narrow" w:cstheme="majorBidi"/>
                <w:bCs/>
                <w:iCs/>
                <w:sz w:val="20"/>
                <w:szCs w:val="20"/>
              </w:rPr>
            </w:pPr>
            <w:r w:rsidRPr="00960D90">
              <w:rPr>
                <w:rFonts w:ascii="Arial Narrow" w:hAnsi="Arial Narrow"/>
                <w:iCs/>
                <w:sz w:val="20"/>
                <w:szCs w:val="20"/>
              </w:rPr>
              <w:t>1 (1.5%)</w:t>
            </w:r>
          </w:p>
        </w:tc>
        <w:tc>
          <w:tcPr>
            <w:tcW w:w="1013" w:type="pct"/>
            <w:tcBorders>
              <w:top w:val="nil"/>
              <w:right w:val="thinThickSmallGap" w:sz="12" w:space="0" w:color="auto"/>
            </w:tcBorders>
            <w:vAlign w:val="top"/>
          </w:tcPr>
          <w:p w14:paraId="143A2189" w14:textId="77777777" w:rsidR="004154DB" w:rsidRPr="00960D90" w:rsidRDefault="004154DB" w:rsidP="00BD2661">
            <w:pPr>
              <w:keepNext/>
              <w:keepLines/>
              <w:widowControl w:val="0"/>
              <w:jc w:val="center"/>
              <w:rPr>
                <w:rFonts w:ascii="Arial Narrow" w:eastAsiaTheme="majorEastAsia" w:hAnsi="Arial Narrow" w:cstheme="majorBidi"/>
                <w:bCs/>
                <w:iCs/>
                <w:sz w:val="20"/>
                <w:szCs w:val="20"/>
              </w:rPr>
            </w:pPr>
            <w:r w:rsidRPr="00960D90">
              <w:rPr>
                <w:rFonts w:ascii="Arial Narrow" w:hAnsi="Arial Narrow"/>
                <w:iCs/>
                <w:sz w:val="20"/>
                <w:szCs w:val="20"/>
              </w:rPr>
              <w:t>5 (3.2%)</w:t>
            </w:r>
          </w:p>
        </w:tc>
        <w:tc>
          <w:tcPr>
            <w:tcW w:w="1012" w:type="pct"/>
            <w:tcBorders>
              <w:top w:val="nil"/>
              <w:left w:val="thinThickSmallGap" w:sz="12" w:space="0" w:color="auto"/>
            </w:tcBorders>
          </w:tcPr>
          <w:p w14:paraId="152534A7" w14:textId="77777777" w:rsidR="004154DB" w:rsidRPr="00960D90" w:rsidRDefault="004154DB" w:rsidP="00BD2661">
            <w:pPr>
              <w:keepNext/>
              <w:keepLines/>
              <w:widowControl w:val="0"/>
              <w:jc w:val="center"/>
              <w:rPr>
                <w:rFonts w:ascii="Arial Narrow" w:eastAsiaTheme="majorEastAsia" w:hAnsi="Arial Narrow" w:cstheme="majorBidi"/>
                <w:bCs/>
                <w:iCs/>
                <w:sz w:val="20"/>
              </w:rPr>
            </w:pPr>
            <w:r w:rsidRPr="00960D90">
              <w:rPr>
                <w:rFonts w:ascii="Arial Narrow" w:eastAsiaTheme="majorEastAsia" w:hAnsi="Arial Narrow" w:cstheme="majorBidi"/>
                <w:bCs/>
                <w:iCs/>
                <w:sz w:val="20"/>
              </w:rPr>
              <w:t>6 (3.9%)</w:t>
            </w:r>
          </w:p>
        </w:tc>
      </w:tr>
    </w:tbl>
    <w:p w14:paraId="6F615E96" w14:textId="77777777" w:rsidR="004154DB" w:rsidRPr="00960D90" w:rsidRDefault="004154DB" w:rsidP="00BD2661">
      <w:pPr>
        <w:keepNext/>
        <w:keepLines/>
        <w:widowControl w:val="0"/>
        <w:spacing w:after="120"/>
        <w:contextualSpacing/>
        <w:rPr>
          <w:rFonts w:ascii="Arial Narrow" w:hAnsi="Arial Narrow"/>
          <w:iCs/>
          <w:snapToGrid w:val="0"/>
          <w:sz w:val="18"/>
          <w:szCs w:val="22"/>
        </w:rPr>
      </w:pPr>
      <w:r w:rsidRPr="00960D90">
        <w:rPr>
          <w:rFonts w:ascii="Arial Narrow" w:hAnsi="Arial Narrow"/>
          <w:iCs/>
          <w:snapToGrid w:val="0"/>
          <w:sz w:val="18"/>
          <w:szCs w:val="22"/>
        </w:rPr>
        <w:t xml:space="preserve">Source: Table 1.3, p11 and Table 1.5, p13 of Supplementary Appendix 1 of the submission, Table 2, p2656 of </w:t>
      </w:r>
      <w:proofErr w:type="spellStart"/>
      <w:r w:rsidRPr="00960D90">
        <w:rPr>
          <w:rFonts w:ascii="Arial Narrow" w:hAnsi="Arial Narrow"/>
          <w:iCs/>
          <w:snapToGrid w:val="0"/>
          <w:sz w:val="18"/>
          <w:szCs w:val="22"/>
        </w:rPr>
        <w:t>Thieblemont</w:t>
      </w:r>
      <w:proofErr w:type="spellEnd"/>
      <w:r w:rsidRPr="00960D90">
        <w:rPr>
          <w:rFonts w:ascii="Arial Narrow" w:hAnsi="Arial Narrow"/>
          <w:iCs/>
          <w:snapToGrid w:val="0"/>
          <w:sz w:val="18"/>
          <w:szCs w:val="22"/>
        </w:rPr>
        <w:t xml:space="preserve"> et al. (2024), Table 1.8, p16 and Table 1.10, p21, Table 1.11, p22 of Attachment 1 (study NP30179) of the submission. </w:t>
      </w:r>
    </w:p>
    <w:p w14:paraId="0576831A" w14:textId="77777777" w:rsidR="004154DB" w:rsidRPr="00960D90" w:rsidRDefault="004154DB" w:rsidP="00BD2661">
      <w:pPr>
        <w:keepNext/>
        <w:keepLines/>
        <w:widowControl w:val="0"/>
        <w:spacing w:after="120"/>
        <w:contextualSpacing/>
        <w:rPr>
          <w:rFonts w:ascii="Arial Narrow" w:hAnsi="Arial Narrow"/>
          <w:iCs/>
          <w:snapToGrid w:val="0"/>
          <w:sz w:val="18"/>
          <w:szCs w:val="22"/>
        </w:rPr>
      </w:pPr>
      <w:r w:rsidRPr="00960D90">
        <w:rPr>
          <w:rFonts w:ascii="Arial Narrow" w:hAnsi="Arial Narrow"/>
          <w:iCs/>
          <w:snapToGrid w:val="0"/>
          <w:sz w:val="18"/>
          <w:szCs w:val="22"/>
        </w:rPr>
        <w:t>OS=overall survival; PFS=progression-free survival; DOR=duration of response; DOCR=duration of complete response; N/A=not applicable; N/R=not reported; CRS=cytokine release syndrome.</w:t>
      </w:r>
    </w:p>
    <w:p w14:paraId="2E90316C" w14:textId="77777777" w:rsidR="004154DB" w:rsidRPr="00960D90" w:rsidRDefault="004154DB" w:rsidP="00BD2661">
      <w:pPr>
        <w:keepNext/>
        <w:keepLines/>
        <w:widowControl w:val="0"/>
        <w:spacing w:after="120"/>
        <w:contextualSpacing/>
        <w:rPr>
          <w:rFonts w:ascii="Arial Narrow" w:hAnsi="Arial Narrow"/>
          <w:iCs/>
          <w:snapToGrid w:val="0"/>
          <w:sz w:val="18"/>
          <w:szCs w:val="22"/>
        </w:rPr>
      </w:pPr>
      <w:r w:rsidRPr="00960D90">
        <w:rPr>
          <w:rFonts w:ascii="Arial Narrow" w:hAnsi="Arial Narrow"/>
          <w:iCs/>
          <w:snapToGrid w:val="0"/>
          <w:sz w:val="18"/>
          <w:szCs w:val="22"/>
          <w:vertAlign w:val="superscript"/>
        </w:rPr>
        <w:t xml:space="preserve">a </w:t>
      </w:r>
      <w:r w:rsidRPr="00960D90">
        <w:rPr>
          <w:rFonts w:ascii="Arial Narrow" w:hAnsi="Arial Narrow"/>
          <w:iCs/>
          <w:snapToGrid w:val="0"/>
          <w:sz w:val="18"/>
          <w:szCs w:val="22"/>
        </w:rPr>
        <w:t xml:space="preserve">Results were from the updated analysis with the clinical cut-off date of February 16, 2024. </w:t>
      </w:r>
    </w:p>
    <w:p w14:paraId="6CC4BFD1" w14:textId="77777777" w:rsidR="004154DB" w:rsidRPr="00960D90" w:rsidRDefault="004154DB" w:rsidP="00BD2661">
      <w:pPr>
        <w:keepNext/>
        <w:keepLines/>
        <w:widowControl w:val="0"/>
        <w:spacing w:after="120"/>
        <w:contextualSpacing/>
        <w:rPr>
          <w:rFonts w:ascii="Arial Narrow" w:hAnsi="Arial Narrow"/>
          <w:iCs/>
          <w:snapToGrid w:val="0"/>
          <w:sz w:val="18"/>
          <w:szCs w:val="18"/>
        </w:rPr>
      </w:pPr>
      <w:r w:rsidRPr="00960D90">
        <w:rPr>
          <w:rFonts w:ascii="Arial Narrow" w:hAnsi="Arial Narrow"/>
          <w:iCs/>
          <w:snapToGrid w:val="0"/>
          <w:sz w:val="18"/>
          <w:szCs w:val="18"/>
          <w:vertAlign w:val="superscript"/>
        </w:rPr>
        <w:t>b</w:t>
      </w:r>
      <w:r w:rsidRPr="00960D90">
        <w:rPr>
          <w:rFonts w:ascii="Arial Narrow" w:hAnsi="Arial Narrow"/>
          <w:iCs/>
          <w:snapToGrid w:val="0"/>
          <w:sz w:val="18"/>
          <w:szCs w:val="18"/>
        </w:rPr>
        <w:t xml:space="preserve"> Results based on second updated analysis with clinical cut-off date of 17 May 2024. </w:t>
      </w:r>
    </w:p>
    <w:p w14:paraId="52FFAEFC" w14:textId="77777777" w:rsidR="004154DB" w:rsidRPr="00960D90" w:rsidRDefault="004154DB" w:rsidP="00BD2661">
      <w:pPr>
        <w:keepNext/>
        <w:keepLines/>
        <w:widowControl w:val="0"/>
        <w:spacing w:after="120"/>
        <w:contextualSpacing/>
        <w:rPr>
          <w:rFonts w:ascii="Arial Narrow" w:hAnsi="Arial Narrow"/>
          <w:iCs/>
          <w:snapToGrid w:val="0"/>
          <w:sz w:val="18"/>
          <w:szCs w:val="18"/>
        </w:rPr>
      </w:pPr>
      <w:r w:rsidRPr="00960D90">
        <w:rPr>
          <w:rFonts w:ascii="Arial Narrow" w:hAnsi="Arial Narrow"/>
          <w:iCs/>
          <w:snapToGrid w:val="0"/>
          <w:sz w:val="18"/>
          <w:szCs w:val="18"/>
          <w:vertAlign w:val="superscript"/>
        </w:rPr>
        <w:t>c</w:t>
      </w:r>
      <w:r w:rsidRPr="00960D90">
        <w:rPr>
          <w:rFonts w:ascii="Arial Narrow" w:hAnsi="Arial Narrow"/>
          <w:iCs/>
          <w:snapToGrid w:val="0"/>
          <w:sz w:val="18"/>
          <w:szCs w:val="18"/>
        </w:rPr>
        <w:t xml:space="preserve"> 110/155 (71.4%) of patients had a diagnosis of DLBCL NOS</w:t>
      </w:r>
    </w:p>
    <w:p w14:paraId="35E8CF57" w14:textId="77777777" w:rsidR="004154DB" w:rsidRPr="00960D90" w:rsidRDefault="004154DB" w:rsidP="00BD2661">
      <w:pPr>
        <w:keepNext/>
        <w:keepLines/>
        <w:widowControl w:val="0"/>
        <w:spacing w:after="120"/>
        <w:contextualSpacing/>
        <w:rPr>
          <w:rFonts w:ascii="Arial Narrow" w:hAnsi="Arial Narrow"/>
          <w:iCs/>
          <w:snapToGrid w:val="0"/>
          <w:sz w:val="18"/>
          <w:szCs w:val="18"/>
        </w:rPr>
      </w:pPr>
      <w:r w:rsidRPr="00960D90">
        <w:rPr>
          <w:rFonts w:ascii="Arial Narrow" w:hAnsi="Arial Narrow"/>
          <w:iCs/>
          <w:snapToGrid w:val="0"/>
          <w:sz w:val="18"/>
          <w:szCs w:val="18"/>
          <w:vertAlign w:val="superscript"/>
        </w:rPr>
        <w:t xml:space="preserve">d </w:t>
      </w:r>
      <w:r w:rsidRPr="00960D90">
        <w:rPr>
          <w:rFonts w:ascii="Arial Narrow" w:hAnsi="Arial Narrow"/>
          <w:iCs/>
          <w:snapToGrid w:val="0"/>
          <w:sz w:val="18"/>
          <w:szCs w:val="18"/>
        </w:rPr>
        <w:t>139/157 (88.5%) of patients had a diagnosis of DLBCL NOS</w:t>
      </w:r>
    </w:p>
    <w:p w14:paraId="3F67159F" w14:textId="77777777" w:rsidR="004154DB" w:rsidRPr="00960D90" w:rsidRDefault="004154DB" w:rsidP="00BD2661">
      <w:pPr>
        <w:keepNext/>
        <w:keepLines/>
        <w:widowControl w:val="0"/>
        <w:spacing w:after="120"/>
        <w:contextualSpacing/>
        <w:rPr>
          <w:rFonts w:ascii="Arial Narrow" w:hAnsi="Arial Narrow"/>
          <w:iCs/>
          <w:snapToGrid w:val="0"/>
          <w:sz w:val="18"/>
          <w:szCs w:val="18"/>
        </w:rPr>
      </w:pPr>
      <w:r w:rsidRPr="00960D90">
        <w:rPr>
          <w:rFonts w:ascii="Arial Narrow" w:hAnsi="Arial Narrow"/>
          <w:iCs/>
          <w:snapToGrid w:val="0"/>
          <w:sz w:val="18"/>
          <w:szCs w:val="18"/>
          <w:vertAlign w:val="superscript"/>
        </w:rPr>
        <w:t xml:space="preserve">e </w:t>
      </w:r>
      <w:r w:rsidRPr="00960D90">
        <w:rPr>
          <w:rFonts w:ascii="Arial Narrow" w:hAnsi="Arial Narrow"/>
          <w:iCs/>
          <w:snapToGrid w:val="0"/>
          <w:sz w:val="18"/>
          <w:szCs w:val="18"/>
        </w:rPr>
        <w:t>Median duration of follow-up for IRC-assessed PFS. Note that it is longer than the median follow-up for STARGLO &amp; EPCORE NHL-1.</w:t>
      </w:r>
    </w:p>
    <w:p w14:paraId="70B54681" w14:textId="77777777" w:rsidR="004154DB" w:rsidRPr="008D0139" w:rsidRDefault="004154DB" w:rsidP="00BD2661">
      <w:pPr>
        <w:keepNext/>
        <w:keepLines/>
        <w:widowControl w:val="0"/>
        <w:spacing w:after="120"/>
        <w:contextualSpacing/>
        <w:rPr>
          <w:rFonts w:ascii="Arial Narrow" w:hAnsi="Arial Narrow"/>
          <w:iCs/>
          <w:snapToGrid w:val="0"/>
          <w:sz w:val="18"/>
          <w:szCs w:val="18"/>
        </w:rPr>
      </w:pPr>
      <w:r w:rsidRPr="00960D90">
        <w:rPr>
          <w:rFonts w:ascii="Arial Narrow" w:hAnsi="Arial Narrow"/>
          <w:iCs/>
          <w:snapToGrid w:val="0"/>
          <w:sz w:val="18"/>
          <w:szCs w:val="18"/>
          <w:vertAlign w:val="superscript"/>
        </w:rPr>
        <w:t>f</w:t>
      </w:r>
      <w:r w:rsidRPr="00960D90">
        <w:rPr>
          <w:rFonts w:ascii="Arial Narrow" w:hAnsi="Arial Narrow"/>
          <w:iCs/>
          <w:snapToGrid w:val="0"/>
          <w:sz w:val="18"/>
          <w:szCs w:val="18"/>
        </w:rPr>
        <w:t xml:space="preserve"> Primary outcome of Study NP30179 was complete response (CR).</w:t>
      </w:r>
      <w:r w:rsidRPr="008D0139">
        <w:rPr>
          <w:rFonts w:ascii="Arial Narrow" w:hAnsi="Arial Narrow"/>
          <w:iCs/>
          <w:snapToGrid w:val="0"/>
          <w:sz w:val="18"/>
          <w:szCs w:val="18"/>
        </w:rPr>
        <w:t xml:space="preserve"> </w:t>
      </w:r>
    </w:p>
    <w:p w14:paraId="1AAF1722" w14:textId="77777777" w:rsidR="004360C4" w:rsidRPr="008D0139" w:rsidRDefault="004360C4" w:rsidP="004154DB">
      <w:pPr>
        <w:widowControl w:val="0"/>
        <w:spacing w:after="120"/>
        <w:contextualSpacing/>
        <w:rPr>
          <w:rFonts w:ascii="Arial Narrow" w:hAnsi="Arial Narrow"/>
          <w:iCs/>
          <w:snapToGrid w:val="0"/>
          <w:sz w:val="18"/>
          <w:szCs w:val="18"/>
        </w:rPr>
      </w:pPr>
    </w:p>
    <w:p w14:paraId="755EC995" w14:textId="1FDF5D62" w:rsidR="004154DB" w:rsidRPr="008D0139" w:rsidRDefault="004154DB" w:rsidP="000A4E5E">
      <w:pPr>
        <w:numPr>
          <w:ilvl w:val="1"/>
          <w:numId w:val="1"/>
        </w:numPr>
        <w:spacing w:before="60" w:after="60"/>
        <w:rPr>
          <w:rFonts w:asciiTheme="minorHAnsi" w:hAnsiTheme="minorHAnsi"/>
          <w:iCs/>
          <w:snapToGrid w:val="0"/>
        </w:rPr>
      </w:pPr>
      <w:r w:rsidRPr="008D0139">
        <w:rPr>
          <w:rFonts w:asciiTheme="minorHAnsi" w:hAnsiTheme="minorHAnsi"/>
          <w:iCs/>
          <w:snapToGrid w:val="0"/>
        </w:rPr>
        <w:t xml:space="preserve">The submission concluded that Glofit-GemOx was superior to epcoritamab (in the 3L+ setting) in terms of efficacy as demonstrated by greater PFS and CR, and superior in terms of safety with fewer serious adverse events (AEs) and lower incidence of CRS. The results </w:t>
      </w:r>
      <w:r w:rsidRPr="00960D90">
        <w:rPr>
          <w:rFonts w:asciiTheme="minorHAnsi" w:hAnsiTheme="minorHAnsi"/>
          <w:iCs/>
          <w:snapToGrid w:val="0"/>
        </w:rPr>
        <w:t>of the unanchored comparison</w:t>
      </w:r>
      <w:r w:rsidRPr="008D0139">
        <w:rPr>
          <w:rFonts w:asciiTheme="minorHAnsi" w:hAnsiTheme="minorHAnsi"/>
          <w:iCs/>
          <w:snapToGrid w:val="0"/>
        </w:rPr>
        <w:t xml:space="preserve"> should be interpreted with caution given the simple side-by-side comparison of trial results does not control for any differences in the baseline characteristics among groups being compared, as well as the small / exploratory nature of the STARGLO subgroup. </w:t>
      </w:r>
      <w:r w:rsidR="00CC2DCE" w:rsidRPr="008D0139">
        <w:rPr>
          <w:rFonts w:asciiTheme="minorHAnsi" w:hAnsiTheme="minorHAnsi"/>
          <w:iCs/>
          <w:snapToGrid w:val="0"/>
        </w:rPr>
        <w:t>The ESC agreed with the evaluation that o</w:t>
      </w:r>
      <w:r w:rsidRPr="008D0139">
        <w:rPr>
          <w:rFonts w:asciiTheme="minorHAnsi" w:hAnsiTheme="minorHAnsi"/>
          <w:iCs/>
          <w:snapToGrid w:val="0"/>
        </w:rPr>
        <w:t xml:space="preserve">n face value, it appears that the efficacy of Glofit-GemOx may be comparable to epcoritamab in the third-line setting, but </w:t>
      </w:r>
      <w:r w:rsidR="00587F99" w:rsidRPr="008D0139">
        <w:rPr>
          <w:rFonts w:asciiTheme="minorHAnsi" w:hAnsiTheme="minorHAnsi"/>
          <w:iCs/>
          <w:snapToGrid w:val="0"/>
        </w:rPr>
        <w:t>based on the available evidence</w:t>
      </w:r>
      <w:r w:rsidRPr="008D0139">
        <w:rPr>
          <w:rFonts w:asciiTheme="minorHAnsi" w:hAnsiTheme="minorHAnsi"/>
          <w:iCs/>
          <w:snapToGrid w:val="0"/>
        </w:rPr>
        <w:t xml:space="preserve">, a claim of superiority cannot be </w:t>
      </w:r>
      <w:r w:rsidR="008238FB" w:rsidRPr="008D0139">
        <w:rPr>
          <w:rFonts w:asciiTheme="minorHAnsi" w:hAnsiTheme="minorHAnsi"/>
          <w:iCs/>
          <w:snapToGrid w:val="0"/>
        </w:rPr>
        <w:t>supported</w:t>
      </w:r>
      <w:r w:rsidRPr="008D0139">
        <w:rPr>
          <w:rFonts w:asciiTheme="minorHAnsi" w:hAnsiTheme="minorHAnsi"/>
          <w:iCs/>
          <w:snapToGrid w:val="0"/>
        </w:rPr>
        <w:t>.</w:t>
      </w:r>
    </w:p>
    <w:p w14:paraId="4BE1FE86" w14:textId="77777777" w:rsidR="004154DB" w:rsidRPr="00C9624D" w:rsidRDefault="004154DB" w:rsidP="004154DB">
      <w:pPr>
        <w:pStyle w:val="4-SubsectionHeading"/>
      </w:pPr>
      <w:bookmarkStart w:id="50" w:name="_Toc22897642"/>
      <w:bookmarkStart w:id="51" w:name="_Toc107927628"/>
      <w:bookmarkStart w:id="52" w:name="_Toc198716599"/>
      <w:r w:rsidRPr="00C9624D">
        <w:t>Comparative harms</w:t>
      </w:r>
      <w:bookmarkEnd w:id="50"/>
      <w:bookmarkEnd w:id="51"/>
      <w:bookmarkEnd w:id="52"/>
    </w:p>
    <w:p w14:paraId="37EE483A" w14:textId="27D072D2" w:rsidR="004154DB" w:rsidRPr="008D0139" w:rsidRDefault="004154DB" w:rsidP="0049041C">
      <w:pPr>
        <w:numPr>
          <w:ilvl w:val="1"/>
          <w:numId w:val="1"/>
        </w:numPr>
        <w:spacing w:before="60" w:after="60"/>
        <w:rPr>
          <w:rFonts w:asciiTheme="minorHAnsi" w:hAnsiTheme="minorHAnsi"/>
          <w:iCs/>
          <w:snapToGrid w:val="0"/>
        </w:rPr>
      </w:pPr>
      <w:r w:rsidRPr="008D0139">
        <w:rPr>
          <w:rFonts w:asciiTheme="minorHAnsi" w:hAnsiTheme="minorHAnsi"/>
          <w:iCs/>
          <w:snapToGrid w:val="0"/>
        </w:rPr>
        <w:fldChar w:fldCharType="begin" w:fldLock="1"/>
      </w:r>
      <w:r w:rsidRPr="008D0139">
        <w:rPr>
          <w:rFonts w:asciiTheme="minorHAnsi" w:hAnsiTheme="minorHAnsi"/>
          <w:iCs/>
          <w:snapToGrid w:val="0"/>
        </w:rPr>
        <w:instrText xml:space="preserve"> REF _Ref196728628 \h </w:instrText>
      </w:r>
      <w:r w:rsidR="0049041C" w:rsidRPr="008D0139">
        <w:rPr>
          <w:rFonts w:asciiTheme="minorHAnsi" w:hAnsiTheme="minorHAnsi"/>
          <w:iCs/>
          <w:snapToGrid w:val="0"/>
        </w:rPr>
        <w:instrText xml:space="preserve"> \* MERGEFORMAT </w:instrText>
      </w:r>
      <w:r w:rsidRPr="008D0139">
        <w:rPr>
          <w:rFonts w:asciiTheme="minorHAnsi" w:hAnsiTheme="minorHAnsi"/>
          <w:iCs/>
          <w:snapToGrid w:val="0"/>
        </w:rPr>
      </w:r>
      <w:r w:rsidRPr="008D0139">
        <w:rPr>
          <w:rFonts w:asciiTheme="minorHAnsi" w:hAnsiTheme="minorHAnsi"/>
          <w:iCs/>
          <w:snapToGrid w:val="0"/>
        </w:rPr>
        <w:fldChar w:fldCharType="separate"/>
      </w:r>
      <w:r w:rsidR="003C21E7" w:rsidRPr="003C21E7">
        <w:rPr>
          <w:rFonts w:asciiTheme="minorHAnsi" w:hAnsiTheme="minorHAnsi"/>
          <w:iCs/>
          <w:snapToGrid w:val="0"/>
        </w:rPr>
        <w:t>Table 7</w:t>
      </w:r>
      <w:r w:rsidRPr="008D0139">
        <w:rPr>
          <w:rFonts w:asciiTheme="minorHAnsi" w:hAnsiTheme="minorHAnsi"/>
          <w:iCs/>
          <w:snapToGrid w:val="0"/>
        </w:rPr>
        <w:fldChar w:fldCharType="end"/>
      </w:r>
      <w:r w:rsidRPr="008D0139">
        <w:rPr>
          <w:rFonts w:asciiTheme="minorHAnsi" w:hAnsiTheme="minorHAnsi"/>
          <w:iCs/>
          <w:snapToGrid w:val="0"/>
        </w:rPr>
        <w:t xml:space="preserve"> summarises the AEs in STARGLO for the safety population (clinical cut-off date 16 Feb 2024), including AEs of special interest.</w:t>
      </w:r>
    </w:p>
    <w:p w14:paraId="4B55A1FA" w14:textId="4C605CD8" w:rsidR="004154DB" w:rsidRPr="008D0139" w:rsidRDefault="004154DB" w:rsidP="009D7D57">
      <w:pPr>
        <w:pStyle w:val="Caption"/>
        <w:rPr>
          <w:iCs/>
        </w:rPr>
      </w:pPr>
      <w:bookmarkStart w:id="53" w:name="_Ref196728628"/>
      <w:r w:rsidRPr="008D0139">
        <w:rPr>
          <w:iCs/>
        </w:rPr>
        <w:t xml:space="preserve">Table </w:t>
      </w:r>
      <w:r w:rsidR="00F257F5" w:rsidRPr="008D0139">
        <w:rPr>
          <w:iCs/>
        </w:rPr>
        <w:fldChar w:fldCharType="begin" w:fldLock="1"/>
      </w:r>
      <w:r w:rsidR="00F257F5" w:rsidRPr="008D0139">
        <w:rPr>
          <w:iCs/>
        </w:rPr>
        <w:instrText xml:space="preserve"> SEQ Table \* ARABIC </w:instrText>
      </w:r>
      <w:r w:rsidR="00F257F5" w:rsidRPr="008D0139">
        <w:rPr>
          <w:iCs/>
        </w:rPr>
        <w:fldChar w:fldCharType="separate"/>
      </w:r>
      <w:r w:rsidR="003C21E7">
        <w:rPr>
          <w:iCs/>
          <w:noProof/>
        </w:rPr>
        <w:t>7</w:t>
      </w:r>
      <w:r w:rsidR="00F257F5" w:rsidRPr="008D0139">
        <w:rPr>
          <w:iCs/>
          <w:noProof/>
        </w:rPr>
        <w:fldChar w:fldCharType="end"/>
      </w:r>
      <w:bookmarkEnd w:id="53"/>
      <w:r w:rsidRPr="008D0139">
        <w:rPr>
          <w:iCs/>
        </w:rPr>
        <w:t>: Key adverse events reported in STARGLO (safety population)</w:t>
      </w:r>
    </w:p>
    <w:tbl>
      <w:tblPr>
        <w:tblStyle w:val="PBAClayout"/>
        <w:tblW w:w="0" w:type="auto"/>
        <w:tblLook w:val="04A0" w:firstRow="1" w:lastRow="0" w:firstColumn="1" w:lastColumn="0" w:noHBand="0" w:noVBand="1"/>
        <w:tblCaption w:val="Table 7: Key adverse events reported in STARGLO (safety population)"/>
      </w:tblPr>
      <w:tblGrid>
        <w:gridCol w:w="4092"/>
        <w:gridCol w:w="2413"/>
        <w:gridCol w:w="2413"/>
      </w:tblGrid>
      <w:tr w:rsidR="004154DB" w:rsidRPr="008D0139" w14:paraId="7BD70205" w14:textId="77777777" w:rsidTr="00F274C6">
        <w:trPr>
          <w:trHeight w:val="462"/>
        </w:trPr>
        <w:tc>
          <w:tcPr>
            <w:tcW w:w="4092" w:type="dxa"/>
            <w:tcBorders>
              <w:bottom w:val="single" w:sz="4" w:space="0" w:color="auto"/>
            </w:tcBorders>
          </w:tcPr>
          <w:p w14:paraId="2F33C38C" w14:textId="77777777" w:rsidR="004154DB" w:rsidRPr="008D0139" w:rsidRDefault="004154DB" w:rsidP="009D7D57">
            <w:pPr>
              <w:pStyle w:val="In-tableHeading"/>
              <w:keepLines/>
              <w:widowControl w:val="0"/>
              <w:rPr>
                <w:iCs/>
              </w:rPr>
            </w:pPr>
            <w:bookmarkStart w:id="54" w:name="_Hlk196400932"/>
            <w:r w:rsidRPr="008D0139">
              <w:rPr>
                <w:iCs/>
              </w:rPr>
              <w:t>Outcome</w:t>
            </w:r>
          </w:p>
        </w:tc>
        <w:tc>
          <w:tcPr>
            <w:tcW w:w="2413" w:type="dxa"/>
            <w:tcBorders>
              <w:bottom w:val="single" w:sz="4" w:space="0" w:color="auto"/>
            </w:tcBorders>
          </w:tcPr>
          <w:p w14:paraId="6FE18F86" w14:textId="77777777" w:rsidR="004154DB" w:rsidRPr="008D0139" w:rsidRDefault="004154DB" w:rsidP="009D7D57">
            <w:pPr>
              <w:pStyle w:val="In-tableHeading"/>
              <w:keepLines/>
              <w:widowControl w:val="0"/>
              <w:jc w:val="center"/>
              <w:rPr>
                <w:iCs/>
              </w:rPr>
            </w:pPr>
            <w:r w:rsidRPr="008D0139">
              <w:rPr>
                <w:iCs/>
              </w:rPr>
              <w:t>Glofit-GemOx</w:t>
            </w:r>
          </w:p>
          <w:p w14:paraId="3B4BF454" w14:textId="77777777" w:rsidR="004154DB" w:rsidRPr="008D0139" w:rsidRDefault="004154DB" w:rsidP="009D7D57">
            <w:pPr>
              <w:pStyle w:val="In-tableHeading"/>
              <w:keepLines/>
              <w:widowControl w:val="0"/>
              <w:jc w:val="center"/>
              <w:rPr>
                <w:iCs/>
              </w:rPr>
            </w:pPr>
            <w:r w:rsidRPr="008D0139">
              <w:rPr>
                <w:iCs/>
              </w:rPr>
              <w:t>N=172</w:t>
            </w:r>
          </w:p>
        </w:tc>
        <w:tc>
          <w:tcPr>
            <w:tcW w:w="2413" w:type="dxa"/>
            <w:tcBorders>
              <w:bottom w:val="single" w:sz="4" w:space="0" w:color="auto"/>
            </w:tcBorders>
          </w:tcPr>
          <w:p w14:paraId="6BE8FCAD" w14:textId="77777777" w:rsidR="004154DB" w:rsidRPr="008D0139" w:rsidRDefault="004154DB" w:rsidP="009D7D57">
            <w:pPr>
              <w:pStyle w:val="In-tableHeading"/>
              <w:keepLines/>
              <w:widowControl w:val="0"/>
              <w:jc w:val="center"/>
              <w:rPr>
                <w:iCs/>
              </w:rPr>
            </w:pPr>
            <w:r w:rsidRPr="008D0139">
              <w:rPr>
                <w:iCs/>
              </w:rPr>
              <w:t>R-</w:t>
            </w:r>
            <w:proofErr w:type="spellStart"/>
            <w:r w:rsidRPr="008D0139">
              <w:rPr>
                <w:iCs/>
              </w:rPr>
              <w:t>GemOx</w:t>
            </w:r>
            <w:proofErr w:type="spellEnd"/>
          </w:p>
          <w:p w14:paraId="64326198" w14:textId="77777777" w:rsidR="004154DB" w:rsidRPr="008D0139" w:rsidRDefault="004154DB" w:rsidP="009D7D57">
            <w:pPr>
              <w:pStyle w:val="In-tableHeading"/>
              <w:keepLines/>
              <w:widowControl w:val="0"/>
              <w:jc w:val="center"/>
              <w:rPr>
                <w:iCs/>
              </w:rPr>
            </w:pPr>
            <w:r w:rsidRPr="008D0139">
              <w:rPr>
                <w:iCs/>
              </w:rPr>
              <w:t>N=88</w:t>
            </w:r>
          </w:p>
        </w:tc>
      </w:tr>
      <w:tr w:rsidR="004154DB" w:rsidRPr="008D0139" w14:paraId="29985DEC" w14:textId="77777777" w:rsidTr="00F274C6">
        <w:trPr>
          <w:trHeight w:val="226"/>
        </w:trPr>
        <w:tc>
          <w:tcPr>
            <w:tcW w:w="4092" w:type="dxa"/>
            <w:tcBorders>
              <w:bottom w:val="nil"/>
            </w:tcBorders>
            <w:vAlign w:val="top"/>
          </w:tcPr>
          <w:p w14:paraId="0275790C" w14:textId="77777777" w:rsidR="004154DB" w:rsidRPr="008D0139" w:rsidRDefault="004154DB" w:rsidP="009D7D57">
            <w:pPr>
              <w:pStyle w:val="TableText0"/>
              <w:keepLines/>
              <w:widowControl w:val="0"/>
              <w:rPr>
                <w:iCs/>
                <w:szCs w:val="20"/>
              </w:rPr>
            </w:pPr>
            <w:r w:rsidRPr="008D0139">
              <w:rPr>
                <w:iCs/>
                <w:szCs w:val="20"/>
              </w:rPr>
              <w:t>Any AE</w:t>
            </w:r>
          </w:p>
        </w:tc>
        <w:tc>
          <w:tcPr>
            <w:tcW w:w="2413" w:type="dxa"/>
            <w:tcBorders>
              <w:bottom w:val="nil"/>
            </w:tcBorders>
          </w:tcPr>
          <w:p w14:paraId="6FB18551" w14:textId="77777777" w:rsidR="004154DB" w:rsidRPr="008D0139" w:rsidRDefault="004154DB" w:rsidP="009D7D57">
            <w:pPr>
              <w:pStyle w:val="TableText0"/>
              <w:keepLines/>
              <w:widowControl w:val="0"/>
              <w:jc w:val="center"/>
              <w:rPr>
                <w:iCs/>
              </w:rPr>
            </w:pPr>
            <w:r w:rsidRPr="008D0139">
              <w:rPr>
                <w:iCs/>
              </w:rPr>
              <w:t>149 (86.6%)</w:t>
            </w:r>
          </w:p>
        </w:tc>
        <w:tc>
          <w:tcPr>
            <w:tcW w:w="2413" w:type="dxa"/>
            <w:tcBorders>
              <w:bottom w:val="nil"/>
            </w:tcBorders>
          </w:tcPr>
          <w:p w14:paraId="08546AF8" w14:textId="77777777" w:rsidR="004154DB" w:rsidRPr="008D0139" w:rsidRDefault="004154DB" w:rsidP="009D7D57">
            <w:pPr>
              <w:pStyle w:val="TableText0"/>
              <w:keepLines/>
              <w:widowControl w:val="0"/>
              <w:jc w:val="center"/>
              <w:rPr>
                <w:iCs/>
              </w:rPr>
            </w:pPr>
            <w:r w:rsidRPr="008D0139">
              <w:rPr>
                <w:iCs/>
              </w:rPr>
              <w:t>58 (65.9%)</w:t>
            </w:r>
          </w:p>
        </w:tc>
      </w:tr>
      <w:tr w:rsidR="004154DB" w:rsidRPr="008D0139" w14:paraId="3D9B90C7" w14:textId="77777777" w:rsidTr="00F274C6">
        <w:trPr>
          <w:trHeight w:val="226"/>
        </w:trPr>
        <w:tc>
          <w:tcPr>
            <w:tcW w:w="4092" w:type="dxa"/>
            <w:tcBorders>
              <w:top w:val="nil"/>
              <w:bottom w:val="nil"/>
            </w:tcBorders>
            <w:vAlign w:val="top"/>
          </w:tcPr>
          <w:p w14:paraId="5557F88E" w14:textId="77777777" w:rsidR="004154DB" w:rsidRPr="008D0139" w:rsidRDefault="004154DB" w:rsidP="009D7D57">
            <w:pPr>
              <w:pStyle w:val="TableText0"/>
              <w:keepLines/>
              <w:widowControl w:val="0"/>
              <w:rPr>
                <w:iCs/>
                <w:szCs w:val="20"/>
              </w:rPr>
            </w:pPr>
            <w:r w:rsidRPr="008D0139">
              <w:rPr>
                <w:iCs/>
                <w:szCs w:val="20"/>
              </w:rPr>
              <w:t>Any Grade 3-5 AE</w:t>
            </w:r>
          </w:p>
        </w:tc>
        <w:tc>
          <w:tcPr>
            <w:tcW w:w="2413" w:type="dxa"/>
            <w:tcBorders>
              <w:top w:val="nil"/>
              <w:bottom w:val="nil"/>
            </w:tcBorders>
          </w:tcPr>
          <w:p w14:paraId="2AE746EA" w14:textId="77777777" w:rsidR="004154DB" w:rsidRPr="008D0139" w:rsidRDefault="004154DB" w:rsidP="009D7D57">
            <w:pPr>
              <w:pStyle w:val="TableText0"/>
              <w:keepLines/>
              <w:widowControl w:val="0"/>
              <w:jc w:val="center"/>
              <w:rPr>
                <w:iCs/>
              </w:rPr>
            </w:pPr>
            <w:r w:rsidRPr="008D0139">
              <w:rPr>
                <w:iCs/>
              </w:rPr>
              <w:t>85 (49.4%)</w:t>
            </w:r>
          </w:p>
        </w:tc>
        <w:tc>
          <w:tcPr>
            <w:tcW w:w="2413" w:type="dxa"/>
            <w:tcBorders>
              <w:top w:val="nil"/>
              <w:bottom w:val="nil"/>
            </w:tcBorders>
          </w:tcPr>
          <w:p w14:paraId="059844FF" w14:textId="77777777" w:rsidR="004154DB" w:rsidRPr="008D0139" w:rsidRDefault="004154DB" w:rsidP="009D7D57">
            <w:pPr>
              <w:pStyle w:val="TableText0"/>
              <w:keepLines/>
              <w:widowControl w:val="0"/>
              <w:jc w:val="center"/>
              <w:rPr>
                <w:iCs/>
              </w:rPr>
            </w:pPr>
            <w:r w:rsidRPr="008D0139">
              <w:rPr>
                <w:iCs/>
              </w:rPr>
              <w:t>20 (22.7%)</w:t>
            </w:r>
          </w:p>
        </w:tc>
      </w:tr>
      <w:tr w:rsidR="004154DB" w:rsidRPr="008D0139" w14:paraId="77484FD7" w14:textId="77777777" w:rsidTr="00F274C6">
        <w:trPr>
          <w:trHeight w:val="226"/>
        </w:trPr>
        <w:tc>
          <w:tcPr>
            <w:tcW w:w="4092" w:type="dxa"/>
            <w:tcBorders>
              <w:top w:val="nil"/>
              <w:bottom w:val="nil"/>
            </w:tcBorders>
            <w:vAlign w:val="top"/>
          </w:tcPr>
          <w:p w14:paraId="140DE73B" w14:textId="77777777" w:rsidR="004154DB" w:rsidRPr="008D0139" w:rsidRDefault="004154DB" w:rsidP="009D7D57">
            <w:pPr>
              <w:pStyle w:val="TableText0"/>
              <w:keepLines/>
              <w:widowControl w:val="0"/>
              <w:rPr>
                <w:iCs/>
                <w:szCs w:val="20"/>
              </w:rPr>
            </w:pPr>
            <w:r w:rsidRPr="008D0139">
              <w:rPr>
                <w:iCs/>
                <w:szCs w:val="20"/>
              </w:rPr>
              <w:t>Any SAE</w:t>
            </w:r>
          </w:p>
        </w:tc>
        <w:tc>
          <w:tcPr>
            <w:tcW w:w="2413" w:type="dxa"/>
            <w:tcBorders>
              <w:top w:val="nil"/>
              <w:bottom w:val="nil"/>
            </w:tcBorders>
          </w:tcPr>
          <w:p w14:paraId="746C7A1A" w14:textId="77777777" w:rsidR="004154DB" w:rsidRPr="008D0139" w:rsidRDefault="004154DB" w:rsidP="009D7D57">
            <w:pPr>
              <w:pStyle w:val="TableText0"/>
              <w:keepLines/>
              <w:widowControl w:val="0"/>
              <w:jc w:val="center"/>
              <w:rPr>
                <w:iCs/>
              </w:rPr>
            </w:pPr>
            <w:r w:rsidRPr="008D0139">
              <w:rPr>
                <w:iCs/>
              </w:rPr>
              <w:t>62 (36.0%)</w:t>
            </w:r>
          </w:p>
        </w:tc>
        <w:tc>
          <w:tcPr>
            <w:tcW w:w="2413" w:type="dxa"/>
            <w:tcBorders>
              <w:top w:val="nil"/>
              <w:bottom w:val="nil"/>
            </w:tcBorders>
          </w:tcPr>
          <w:p w14:paraId="00953614" w14:textId="77777777" w:rsidR="004154DB" w:rsidRPr="008D0139" w:rsidRDefault="004154DB" w:rsidP="009D7D57">
            <w:pPr>
              <w:pStyle w:val="TableText0"/>
              <w:keepLines/>
              <w:widowControl w:val="0"/>
              <w:jc w:val="center"/>
              <w:rPr>
                <w:iCs/>
              </w:rPr>
            </w:pPr>
            <w:r w:rsidRPr="008D0139">
              <w:rPr>
                <w:iCs/>
              </w:rPr>
              <w:t>7 (8.0%)</w:t>
            </w:r>
          </w:p>
        </w:tc>
      </w:tr>
      <w:tr w:rsidR="004154DB" w:rsidRPr="008D0139" w14:paraId="686C468C" w14:textId="77777777" w:rsidTr="00F274C6">
        <w:trPr>
          <w:trHeight w:val="236"/>
        </w:trPr>
        <w:tc>
          <w:tcPr>
            <w:tcW w:w="4092" w:type="dxa"/>
            <w:tcBorders>
              <w:top w:val="nil"/>
              <w:bottom w:val="nil"/>
            </w:tcBorders>
            <w:vAlign w:val="top"/>
          </w:tcPr>
          <w:p w14:paraId="2C2BDC40" w14:textId="77777777" w:rsidR="004154DB" w:rsidRPr="008D0139" w:rsidRDefault="004154DB" w:rsidP="009D7D57">
            <w:pPr>
              <w:pStyle w:val="TableText0"/>
              <w:keepLines/>
              <w:widowControl w:val="0"/>
              <w:rPr>
                <w:iCs/>
                <w:szCs w:val="20"/>
              </w:rPr>
            </w:pPr>
            <w:r w:rsidRPr="008D0139">
              <w:rPr>
                <w:iCs/>
                <w:szCs w:val="20"/>
              </w:rPr>
              <w:t xml:space="preserve">AE leading to treatment </w:t>
            </w:r>
            <w:proofErr w:type="spellStart"/>
            <w:r w:rsidRPr="008D0139">
              <w:rPr>
                <w:iCs/>
                <w:szCs w:val="20"/>
              </w:rPr>
              <w:t>discontinuation</w:t>
            </w:r>
            <w:r w:rsidRPr="008D0139">
              <w:rPr>
                <w:iCs/>
                <w:szCs w:val="20"/>
                <w:vertAlign w:val="superscript"/>
              </w:rPr>
              <w:t>a</w:t>
            </w:r>
            <w:proofErr w:type="spellEnd"/>
          </w:p>
        </w:tc>
        <w:tc>
          <w:tcPr>
            <w:tcW w:w="2413" w:type="dxa"/>
            <w:tcBorders>
              <w:top w:val="nil"/>
              <w:bottom w:val="nil"/>
            </w:tcBorders>
          </w:tcPr>
          <w:p w14:paraId="29AD4CE8" w14:textId="77777777" w:rsidR="004154DB" w:rsidRPr="008D0139" w:rsidRDefault="004154DB" w:rsidP="009D7D57">
            <w:pPr>
              <w:pStyle w:val="TableText0"/>
              <w:keepLines/>
              <w:widowControl w:val="0"/>
              <w:jc w:val="center"/>
              <w:rPr>
                <w:iCs/>
              </w:rPr>
            </w:pPr>
            <w:r w:rsidRPr="008D0139">
              <w:rPr>
                <w:iCs/>
              </w:rPr>
              <w:t>13 (7.6%)</w:t>
            </w:r>
          </w:p>
        </w:tc>
        <w:tc>
          <w:tcPr>
            <w:tcW w:w="2413" w:type="dxa"/>
            <w:tcBorders>
              <w:top w:val="nil"/>
              <w:bottom w:val="nil"/>
            </w:tcBorders>
          </w:tcPr>
          <w:p w14:paraId="786C28F5" w14:textId="77777777" w:rsidR="004154DB" w:rsidRPr="008D0139" w:rsidRDefault="004154DB" w:rsidP="009D7D57">
            <w:pPr>
              <w:pStyle w:val="TableText0"/>
              <w:keepLines/>
              <w:widowControl w:val="0"/>
              <w:jc w:val="center"/>
              <w:rPr>
                <w:iCs/>
              </w:rPr>
            </w:pPr>
            <w:r w:rsidRPr="008D0139">
              <w:rPr>
                <w:iCs/>
              </w:rPr>
              <w:t>3 (3.4%)</w:t>
            </w:r>
          </w:p>
        </w:tc>
      </w:tr>
      <w:tr w:rsidR="004154DB" w:rsidRPr="008D0139" w14:paraId="7420FE54" w14:textId="77777777" w:rsidTr="00F274C6">
        <w:trPr>
          <w:trHeight w:val="226"/>
        </w:trPr>
        <w:tc>
          <w:tcPr>
            <w:tcW w:w="4092" w:type="dxa"/>
            <w:tcBorders>
              <w:top w:val="nil"/>
              <w:bottom w:val="nil"/>
            </w:tcBorders>
            <w:vAlign w:val="top"/>
          </w:tcPr>
          <w:p w14:paraId="1CDB5954" w14:textId="77777777" w:rsidR="004154DB" w:rsidRPr="008D0139" w:rsidRDefault="004154DB" w:rsidP="009D7D57">
            <w:pPr>
              <w:pStyle w:val="TableText0"/>
              <w:keepLines/>
              <w:widowControl w:val="0"/>
              <w:rPr>
                <w:iCs/>
                <w:szCs w:val="20"/>
              </w:rPr>
            </w:pPr>
            <w:r w:rsidRPr="008D0139">
              <w:rPr>
                <w:iCs/>
                <w:szCs w:val="20"/>
              </w:rPr>
              <w:t xml:space="preserve">AE leading to dose </w:t>
            </w:r>
            <w:proofErr w:type="spellStart"/>
            <w:r w:rsidRPr="008D0139">
              <w:rPr>
                <w:iCs/>
                <w:szCs w:val="20"/>
              </w:rPr>
              <w:t>interruption</w:t>
            </w:r>
            <w:r w:rsidRPr="008D0139">
              <w:rPr>
                <w:iCs/>
                <w:szCs w:val="20"/>
                <w:vertAlign w:val="superscript"/>
              </w:rPr>
              <w:t>a</w:t>
            </w:r>
            <w:proofErr w:type="spellEnd"/>
          </w:p>
        </w:tc>
        <w:tc>
          <w:tcPr>
            <w:tcW w:w="2413" w:type="dxa"/>
            <w:tcBorders>
              <w:top w:val="nil"/>
              <w:bottom w:val="nil"/>
            </w:tcBorders>
          </w:tcPr>
          <w:p w14:paraId="25FEB7A5" w14:textId="77777777" w:rsidR="004154DB" w:rsidRPr="008D0139" w:rsidRDefault="004154DB" w:rsidP="009D7D57">
            <w:pPr>
              <w:pStyle w:val="TableText0"/>
              <w:keepLines/>
              <w:widowControl w:val="0"/>
              <w:jc w:val="center"/>
              <w:rPr>
                <w:iCs/>
              </w:rPr>
            </w:pPr>
            <w:r w:rsidRPr="008D0139">
              <w:rPr>
                <w:iCs/>
              </w:rPr>
              <w:t>43 (25.0%)</w:t>
            </w:r>
          </w:p>
        </w:tc>
        <w:tc>
          <w:tcPr>
            <w:tcW w:w="2413" w:type="dxa"/>
            <w:tcBorders>
              <w:top w:val="nil"/>
              <w:bottom w:val="nil"/>
            </w:tcBorders>
          </w:tcPr>
          <w:p w14:paraId="37D7FD66" w14:textId="77777777" w:rsidR="004154DB" w:rsidRPr="008D0139" w:rsidRDefault="004154DB" w:rsidP="009D7D57">
            <w:pPr>
              <w:pStyle w:val="TableText0"/>
              <w:keepLines/>
              <w:widowControl w:val="0"/>
              <w:jc w:val="center"/>
              <w:rPr>
                <w:iCs/>
              </w:rPr>
            </w:pPr>
            <w:r w:rsidRPr="008D0139">
              <w:rPr>
                <w:iCs/>
              </w:rPr>
              <w:t>9 (10.2%)</w:t>
            </w:r>
          </w:p>
        </w:tc>
      </w:tr>
      <w:tr w:rsidR="004154DB" w:rsidRPr="008D0139" w14:paraId="60C64BC1" w14:textId="77777777" w:rsidTr="00F274C6">
        <w:trPr>
          <w:trHeight w:val="226"/>
        </w:trPr>
        <w:tc>
          <w:tcPr>
            <w:tcW w:w="4092" w:type="dxa"/>
            <w:tcBorders>
              <w:top w:val="nil"/>
            </w:tcBorders>
            <w:vAlign w:val="top"/>
          </w:tcPr>
          <w:p w14:paraId="30C9D946" w14:textId="77777777" w:rsidR="004154DB" w:rsidRPr="008D0139" w:rsidRDefault="004154DB" w:rsidP="009D7D57">
            <w:pPr>
              <w:pStyle w:val="TableText0"/>
              <w:keepLines/>
              <w:widowControl w:val="0"/>
              <w:rPr>
                <w:iCs/>
                <w:szCs w:val="20"/>
              </w:rPr>
            </w:pPr>
            <w:r w:rsidRPr="008D0139">
              <w:rPr>
                <w:iCs/>
                <w:szCs w:val="20"/>
              </w:rPr>
              <w:t>AE resulting in death</w:t>
            </w:r>
          </w:p>
        </w:tc>
        <w:tc>
          <w:tcPr>
            <w:tcW w:w="2413" w:type="dxa"/>
            <w:tcBorders>
              <w:top w:val="nil"/>
            </w:tcBorders>
            <w:vAlign w:val="top"/>
          </w:tcPr>
          <w:p w14:paraId="4AA1168A" w14:textId="77777777" w:rsidR="004154DB" w:rsidRPr="008D0139" w:rsidRDefault="004154DB" w:rsidP="009D7D57">
            <w:pPr>
              <w:pStyle w:val="TableText0"/>
              <w:keepLines/>
              <w:widowControl w:val="0"/>
              <w:jc w:val="center"/>
              <w:rPr>
                <w:iCs/>
              </w:rPr>
            </w:pPr>
            <w:r w:rsidRPr="008D0139">
              <w:rPr>
                <w:iCs/>
              </w:rPr>
              <w:t>12 (7.0%)</w:t>
            </w:r>
          </w:p>
        </w:tc>
        <w:tc>
          <w:tcPr>
            <w:tcW w:w="2413" w:type="dxa"/>
            <w:tcBorders>
              <w:top w:val="nil"/>
            </w:tcBorders>
            <w:vAlign w:val="top"/>
          </w:tcPr>
          <w:p w14:paraId="20EA8A3F" w14:textId="77777777" w:rsidR="004154DB" w:rsidRPr="008D0139" w:rsidRDefault="004154DB" w:rsidP="009D7D57">
            <w:pPr>
              <w:pStyle w:val="TableText0"/>
              <w:keepLines/>
              <w:widowControl w:val="0"/>
              <w:jc w:val="center"/>
              <w:rPr>
                <w:iCs/>
              </w:rPr>
            </w:pPr>
            <w:r w:rsidRPr="008D0139">
              <w:rPr>
                <w:iCs/>
              </w:rPr>
              <w:t>4 (4.5%)</w:t>
            </w:r>
          </w:p>
        </w:tc>
      </w:tr>
      <w:tr w:rsidR="004154DB" w:rsidRPr="008D0139" w14:paraId="07A53D06" w14:textId="77777777" w:rsidTr="00F274C6">
        <w:trPr>
          <w:trHeight w:val="245"/>
        </w:trPr>
        <w:tc>
          <w:tcPr>
            <w:tcW w:w="8918" w:type="dxa"/>
            <w:gridSpan w:val="3"/>
            <w:tcBorders>
              <w:bottom w:val="single" w:sz="4" w:space="0" w:color="auto"/>
            </w:tcBorders>
            <w:vAlign w:val="top"/>
          </w:tcPr>
          <w:p w14:paraId="32552626" w14:textId="77777777" w:rsidR="004154DB" w:rsidRPr="008D0139" w:rsidRDefault="004154DB" w:rsidP="009D7D57">
            <w:pPr>
              <w:pStyle w:val="TableText0"/>
              <w:keepLines/>
              <w:widowControl w:val="0"/>
              <w:rPr>
                <w:iCs/>
              </w:rPr>
            </w:pPr>
            <w:r w:rsidRPr="008D0139">
              <w:rPr>
                <w:b/>
                <w:iCs/>
              </w:rPr>
              <w:t>Adverse events with ≥10% increase in Glofit-GemOx vs R-</w:t>
            </w:r>
            <w:proofErr w:type="spellStart"/>
            <w:r w:rsidRPr="008D0139">
              <w:rPr>
                <w:b/>
                <w:iCs/>
              </w:rPr>
              <w:t>GemOx</w:t>
            </w:r>
            <w:proofErr w:type="spellEnd"/>
          </w:p>
        </w:tc>
      </w:tr>
      <w:tr w:rsidR="004154DB" w:rsidRPr="008D0139" w14:paraId="0082829A" w14:textId="77777777" w:rsidTr="00F274C6">
        <w:trPr>
          <w:trHeight w:val="226"/>
        </w:trPr>
        <w:tc>
          <w:tcPr>
            <w:tcW w:w="4092" w:type="dxa"/>
            <w:tcBorders>
              <w:bottom w:val="nil"/>
            </w:tcBorders>
            <w:vAlign w:val="top"/>
          </w:tcPr>
          <w:p w14:paraId="6922D203" w14:textId="77777777" w:rsidR="004154DB" w:rsidRPr="008D0139" w:rsidRDefault="004154DB" w:rsidP="009D7D57">
            <w:pPr>
              <w:pStyle w:val="TableText0"/>
              <w:keepLines/>
              <w:widowControl w:val="0"/>
              <w:rPr>
                <w:iCs/>
                <w:szCs w:val="20"/>
              </w:rPr>
            </w:pPr>
            <w:r w:rsidRPr="008D0139">
              <w:rPr>
                <w:iCs/>
                <w:szCs w:val="20"/>
              </w:rPr>
              <w:t>CRS</w:t>
            </w:r>
          </w:p>
        </w:tc>
        <w:tc>
          <w:tcPr>
            <w:tcW w:w="2413" w:type="dxa"/>
            <w:tcBorders>
              <w:bottom w:val="nil"/>
            </w:tcBorders>
            <w:vAlign w:val="top"/>
          </w:tcPr>
          <w:p w14:paraId="77DFBE30" w14:textId="77777777" w:rsidR="004154DB" w:rsidRPr="008D0139" w:rsidRDefault="004154DB" w:rsidP="009D7D57">
            <w:pPr>
              <w:pStyle w:val="TableText0"/>
              <w:keepLines/>
              <w:widowControl w:val="0"/>
              <w:jc w:val="center"/>
              <w:rPr>
                <w:iCs/>
              </w:rPr>
            </w:pPr>
            <w:r w:rsidRPr="008D0139">
              <w:rPr>
                <w:iCs/>
              </w:rPr>
              <w:t>76 (44.2%)</w:t>
            </w:r>
          </w:p>
        </w:tc>
        <w:tc>
          <w:tcPr>
            <w:tcW w:w="2413" w:type="dxa"/>
            <w:tcBorders>
              <w:bottom w:val="nil"/>
            </w:tcBorders>
            <w:vAlign w:val="top"/>
          </w:tcPr>
          <w:p w14:paraId="5D90365D" w14:textId="77777777" w:rsidR="004154DB" w:rsidRPr="008D0139" w:rsidRDefault="004154DB" w:rsidP="009D7D57">
            <w:pPr>
              <w:pStyle w:val="TableText0"/>
              <w:keepLines/>
              <w:widowControl w:val="0"/>
              <w:jc w:val="center"/>
              <w:rPr>
                <w:iCs/>
              </w:rPr>
            </w:pPr>
            <w:r w:rsidRPr="008D0139">
              <w:rPr>
                <w:iCs/>
              </w:rPr>
              <w:t>0 (0%)</w:t>
            </w:r>
          </w:p>
        </w:tc>
      </w:tr>
      <w:tr w:rsidR="004154DB" w:rsidRPr="008D0139" w14:paraId="1A646150" w14:textId="77777777" w:rsidTr="00F274C6">
        <w:trPr>
          <w:trHeight w:val="236"/>
        </w:trPr>
        <w:tc>
          <w:tcPr>
            <w:tcW w:w="4092" w:type="dxa"/>
            <w:tcBorders>
              <w:top w:val="nil"/>
              <w:bottom w:val="nil"/>
            </w:tcBorders>
            <w:vAlign w:val="top"/>
          </w:tcPr>
          <w:p w14:paraId="29D9083E" w14:textId="77777777" w:rsidR="004154DB" w:rsidRPr="008D0139" w:rsidRDefault="004154DB" w:rsidP="009D7D57">
            <w:pPr>
              <w:pStyle w:val="TableText0"/>
              <w:keepLines/>
              <w:widowControl w:val="0"/>
              <w:rPr>
                <w:iCs/>
                <w:szCs w:val="20"/>
              </w:rPr>
            </w:pPr>
            <w:r w:rsidRPr="008D0139">
              <w:rPr>
                <w:iCs/>
                <w:szCs w:val="20"/>
              </w:rPr>
              <w:t>Anaemia</w:t>
            </w:r>
          </w:p>
        </w:tc>
        <w:tc>
          <w:tcPr>
            <w:tcW w:w="2413" w:type="dxa"/>
            <w:tcBorders>
              <w:top w:val="nil"/>
              <w:bottom w:val="nil"/>
            </w:tcBorders>
            <w:vAlign w:val="top"/>
          </w:tcPr>
          <w:p w14:paraId="061DF225" w14:textId="77777777" w:rsidR="004154DB" w:rsidRPr="008D0139" w:rsidRDefault="004154DB" w:rsidP="009D7D57">
            <w:pPr>
              <w:pStyle w:val="TableText0"/>
              <w:keepLines/>
              <w:widowControl w:val="0"/>
              <w:jc w:val="center"/>
              <w:rPr>
                <w:iCs/>
              </w:rPr>
            </w:pPr>
            <w:r w:rsidRPr="008D0139">
              <w:rPr>
                <w:iCs/>
              </w:rPr>
              <w:t>71 (41.3%)</w:t>
            </w:r>
          </w:p>
        </w:tc>
        <w:tc>
          <w:tcPr>
            <w:tcW w:w="2413" w:type="dxa"/>
            <w:tcBorders>
              <w:top w:val="nil"/>
              <w:bottom w:val="nil"/>
            </w:tcBorders>
            <w:vAlign w:val="top"/>
          </w:tcPr>
          <w:p w14:paraId="45DF1639" w14:textId="77777777" w:rsidR="004154DB" w:rsidRPr="008D0139" w:rsidRDefault="004154DB" w:rsidP="009D7D57">
            <w:pPr>
              <w:pStyle w:val="TableText0"/>
              <w:keepLines/>
              <w:widowControl w:val="0"/>
              <w:jc w:val="center"/>
              <w:rPr>
                <w:iCs/>
              </w:rPr>
            </w:pPr>
            <w:r w:rsidRPr="008D0139">
              <w:rPr>
                <w:iCs/>
              </w:rPr>
              <w:t>19 (21.6%)</w:t>
            </w:r>
          </w:p>
        </w:tc>
      </w:tr>
      <w:tr w:rsidR="004154DB" w:rsidRPr="008D0139" w14:paraId="1BB75D83" w14:textId="77777777" w:rsidTr="00F274C6">
        <w:trPr>
          <w:trHeight w:val="226"/>
        </w:trPr>
        <w:tc>
          <w:tcPr>
            <w:tcW w:w="4092" w:type="dxa"/>
            <w:tcBorders>
              <w:top w:val="nil"/>
              <w:bottom w:val="nil"/>
            </w:tcBorders>
            <w:vAlign w:val="top"/>
          </w:tcPr>
          <w:p w14:paraId="17F5F8B5" w14:textId="77777777" w:rsidR="004154DB" w:rsidRPr="008D0139" w:rsidRDefault="004154DB" w:rsidP="009D7D57">
            <w:pPr>
              <w:pStyle w:val="TableText0"/>
              <w:keepLines/>
              <w:widowControl w:val="0"/>
              <w:rPr>
                <w:iCs/>
                <w:szCs w:val="20"/>
              </w:rPr>
            </w:pPr>
            <w:r w:rsidRPr="008D0139">
              <w:rPr>
                <w:iCs/>
                <w:szCs w:val="20"/>
              </w:rPr>
              <w:t>Increased AST</w:t>
            </w:r>
          </w:p>
        </w:tc>
        <w:tc>
          <w:tcPr>
            <w:tcW w:w="2413" w:type="dxa"/>
            <w:tcBorders>
              <w:top w:val="nil"/>
              <w:bottom w:val="nil"/>
            </w:tcBorders>
            <w:vAlign w:val="top"/>
          </w:tcPr>
          <w:p w14:paraId="5252E589" w14:textId="77777777" w:rsidR="004154DB" w:rsidRPr="008D0139" w:rsidRDefault="004154DB" w:rsidP="009D7D57">
            <w:pPr>
              <w:pStyle w:val="TableText0"/>
              <w:keepLines/>
              <w:widowControl w:val="0"/>
              <w:jc w:val="center"/>
              <w:rPr>
                <w:iCs/>
              </w:rPr>
            </w:pPr>
            <w:r w:rsidRPr="008D0139">
              <w:rPr>
                <w:iCs/>
              </w:rPr>
              <w:t>59 (34.3%)</w:t>
            </w:r>
          </w:p>
        </w:tc>
        <w:tc>
          <w:tcPr>
            <w:tcW w:w="2413" w:type="dxa"/>
            <w:tcBorders>
              <w:top w:val="nil"/>
              <w:bottom w:val="nil"/>
            </w:tcBorders>
            <w:vAlign w:val="top"/>
          </w:tcPr>
          <w:p w14:paraId="513C91EF" w14:textId="77777777" w:rsidR="004154DB" w:rsidRPr="008D0139" w:rsidRDefault="004154DB" w:rsidP="009D7D57">
            <w:pPr>
              <w:pStyle w:val="TableText0"/>
              <w:keepLines/>
              <w:widowControl w:val="0"/>
              <w:jc w:val="center"/>
              <w:rPr>
                <w:iCs/>
              </w:rPr>
            </w:pPr>
            <w:r w:rsidRPr="008D0139">
              <w:rPr>
                <w:iCs/>
              </w:rPr>
              <w:t>17 (19.3%)</w:t>
            </w:r>
          </w:p>
        </w:tc>
      </w:tr>
      <w:tr w:rsidR="004154DB" w:rsidRPr="008D0139" w14:paraId="4489E545" w14:textId="77777777" w:rsidTr="00F274C6">
        <w:trPr>
          <w:trHeight w:val="226"/>
        </w:trPr>
        <w:tc>
          <w:tcPr>
            <w:tcW w:w="4092" w:type="dxa"/>
            <w:tcBorders>
              <w:top w:val="nil"/>
              <w:bottom w:val="nil"/>
            </w:tcBorders>
            <w:vAlign w:val="top"/>
          </w:tcPr>
          <w:p w14:paraId="648B1C57" w14:textId="77777777" w:rsidR="004154DB" w:rsidRPr="008D0139" w:rsidRDefault="004154DB" w:rsidP="009D7D57">
            <w:pPr>
              <w:pStyle w:val="TableText0"/>
              <w:keepLines/>
              <w:widowControl w:val="0"/>
              <w:rPr>
                <w:iCs/>
                <w:szCs w:val="20"/>
              </w:rPr>
            </w:pPr>
            <w:r w:rsidRPr="008D0139">
              <w:rPr>
                <w:iCs/>
                <w:szCs w:val="20"/>
              </w:rPr>
              <w:t>Reduced neutrophil count</w:t>
            </w:r>
          </w:p>
        </w:tc>
        <w:tc>
          <w:tcPr>
            <w:tcW w:w="2413" w:type="dxa"/>
            <w:tcBorders>
              <w:top w:val="nil"/>
              <w:bottom w:val="nil"/>
            </w:tcBorders>
            <w:vAlign w:val="top"/>
          </w:tcPr>
          <w:p w14:paraId="47CB26D2" w14:textId="77777777" w:rsidR="004154DB" w:rsidRPr="008D0139" w:rsidRDefault="004154DB" w:rsidP="009D7D57">
            <w:pPr>
              <w:pStyle w:val="TableText0"/>
              <w:keepLines/>
              <w:widowControl w:val="0"/>
              <w:jc w:val="center"/>
              <w:rPr>
                <w:iCs/>
              </w:rPr>
            </w:pPr>
            <w:r w:rsidRPr="008D0139">
              <w:rPr>
                <w:iCs/>
              </w:rPr>
              <w:t>51 (29.7%)</w:t>
            </w:r>
          </w:p>
        </w:tc>
        <w:tc>
          <w:tcPr>
            <w:tcW w:w="2413" w:type="dxa"/>
            <w:tcBorders>
              <w:top w:val="nil"/>
              <w:bottom w:val="nil"/>
            </w:tcBorders>
            <w:vAlign w:val="top"/>
          </w:tcPr>
          <w:p w14:paraId="579D31BC" w14:textId="77777777" w:rsidR="004154DB" w:rsidRPr="008D0139" w:rsidRDefault="004154DB" w:rsidP="009D7D57">
            <w:pPr>
              <w:pStyle w:val="TableText0"/>
              <w:keepLines/>
              <w:widowControl w:val="0"/>
              <w:jc w:val="center"/>
              <w:rPr>
                <w:iCs/>
              </w:rPr>
            </w:pPr>
            <w:r w:rsidRPr="008D0139">
              <w:rPr>
                <w:iCs/>
              </w:rPr>
              <w:t>18 (20.5%)</w:t>
            </w:r>
          </w:p>
        </w:tc>
      </w:tr>
      <w:tr w:rsidR="004154DB" w:rsidRPr="008D0139" w14:paraId="0ABB3A71" w14:textId="77777777" w:rsidTr="00F274C6">
        <w:trPr>
          <w:trHeight w:val="226"/>
        </w:trPr>
        <w:tc>
          <w:tcPr>
            <w:tcW w:w="4092" w:type="dxa"/>
            <w:tcBorders>
              <w:top w:val="nil"/>
            </w:tcBorders>
            <w:vAlign w:val="top"/>
          </w:tcPr>
          <w:p w14:paraId="792D5816" w14:textId="77777777" w:rsidR="004154DB" w:rsidRPr="008D0139" w:rsidRDefault="004154DB" w:rsidP="009D7D57">
            <w:pPr>
              <w:pStyle w:val="TableText0"/>
              <w:keepLines/>
              <w:widowControl w:val="0"/>
              <w:rPr>
                <w:iCs/>
                <w:szCs w:val="20"/>
              </w:rPr>
            </w:pPr>
            <w:r w:rsidRPr="008D0139">
              <w:rPr>
                <w:iCs/>
                <w:szCs w:val="20"/>
              </w:rPr>
              <w:t>Pyrexia</w:t>
            </w:r>
          </w:p>
        </w:tc>
        <w:tc>
          <w:tcPr>
            <w:tcW w:w="2413" w:type="dxa"/>
            <w:tcBorders>
              <w:top w:val="nil"/>
            </w:tcBorders>
            <w:vAlign w:val="top"/>
          </w:tcPr>
          <w:p w14:paraId="5B9943E5" w14:textId="77777777" w:rsidR="004154DB" w:rsidRPr="008D0139" w:rsidRDefault="004154DB" w:rsidP="009D7D57">
            <w:pPr>
              <w:pStyle w:val="TableText0"/>
              <w:keepLines/>
              <w:widowControl w:val="0"/>
              <w:jc w:val="center"/>
              <w:rPr>
                <w:iCs/>
              </w:rPr>
            </w:pPr>
            <w:r w:rsidRPr="008D0139">
              <w:rPr>
                <w:iCs/>
              </w:rPr>
              <w:t>42 (24.4%)</w:t>
            </w:r>
          </w:p>
        </w:tc>
        <w:tc>
          <w:tcPr>
            <w:tcW w:w="2413" w:type="dxa"/>
            <w:tcBorders>
              <w:top w:val="nil"/>
            </w:tcBorders>
            <w:vAlign w:val="top"/>
          </w:tcPr>
          <w:p w14:paraId="21CE846E" w14:textId="77777777" w:rsidR="004154DB" w:rsidRPr="008D0139" w:rsidRDefault="004154DB" w:rsidP="009D7D57">
            <w:pPr>
              <w:pStyle w:val="TableText0"/>
              <w:keepLines/>
              <w:widowControl w:val="0"/>
              <w:jc w:val="center"/>
              <w:rPr>
                <w:iCs/>
              </w:rPr>
            </w:pPr>
            <w:r w:rsidRPr="008D0139">
              <w:rPr>
                <w:iCs/>
              </w:rPr>
              <w:t>5 (5.7%)</w:t>
            </w:r>
          </w:p>
        </w:tc>
      </w:tr>
      <w:tr w:rsidR="004154DB" w:rsidRPr="008D0139" w14:paraId="4AEE0C3F" w14:textId="77777777" w:rsidTr="00F274C6">
        <w:trPr>
          <w:trHeight w:val="209"/>
        </w:trPr>
        <w:tc>
          <w:tcPr>
            <w:tcW w:w="8918" w:type="dxa"/>
            <w:gridSpan w:val="3"/>
            <w:tcBorders>
              <w:bottom w:val="single" w:sz="4" w:space="0" w:color="auto"/>
            </w:tcBorders>
            <w:vAlign w:val="top"/>
          </w:tcPr>
          <w:p w14:paraId="4BBDC9A8" w14:textId="77777777" w:rsidR="004154DB" w:rsidRPr="008D0139" w:rsidRDefault="004154DB" w:rsidP="009D7D57">
            <w:pPr>
              <w:pStyle w:val="TableText0"/>
              <w:keepLines/>
              <w:widowControl w:val="0"/>
              <w:rPr>
                <w:iCs/>
              </w:rPr>
            </w:pPr>
            <w:r w:rsidRPr="008D0139">
              <w:rPr>
                <w:b/>
                <w:iCs/>
                <w:szCs w:val="20"/>
              </w:rPr>
              <w:t>Grade 3-5 adverse events occurring in ≥ 5% of patients</w:t>
            </w:r>
          </w:p>
        </w:tc>
      </w:tr>
      <w:tr w:rsidR="004154DB" w:rsidRPr="008D0139" w14:paraId="07F6ED9B" w14:textId="77777777" w:rsidTr="00F274C6">
        <w:trPr>
          <w:trHeight w:val="226"/>
        </w:trPr>
        <w:tc>
          <w:tcPr>
            <w:tcW w:w="4092" w:type="dxa"/>
            <w:tcBorders>
              <w:bottom w:val="nil"/>
            </w:tcBorders>
          </w:tcPr>
          <w:p w14:paraId="29589B0A" w14:textId="77777777" w:rsidR="004154DB" w:rsidRPr="008D0139" w:rsidRDefault="004154DB" w:rsidP="009D7D57">
            <w:pPr>
              <w:pStyle w:val="TableText0"/>
              <w:keepLines/>
              <w:widowControl w:val="0"/>
              <w:rPr>
                <w:iCs/>
                <w:szCs w:val="20"/>
              </w:rPr>
            </w:pPr>
            <w:r w:rsidRPr="008D0139">
              <w:rPr>
                <w:iCs/>
                <w:szCs w:val="20"/>
              </w:rPr>
              <w:t xml:space="preserve">Anaemia </w:t>
            </w:r>
          </w:p>
        </w:tc>
        <w:tc>
          <w:tcPr>
            <w:tcW w:w="2413" w:type="dxa"/>
            <w:tcBorders>
              <w:bottom w:val="nil"/>
            </w:tcBorders>
          </w:tcPr>
          <w:p w14:paraId="4740936B" w14:textId="77777777" w:rsidR="004154DB" w:rsidRPr="008D0139" w:rsidRDefault="004154DB" w:rsidP="009D7D57">
            <w:pPr>
              <w:pStyle w:val="TableText0"/>
              <w:keepLines/>
              <w:widowControl w:val="0"/>
              <w:jc w:val="center"/>
              <w:rPr>
                <w:iCs/>
              </w:rPr>
            </w:pPr>
            <w:r w:rsidRPr="008D0139">
              <w:rPr>
                <w:iCs/>
              </w:rPr>
              <w:t>29 (16.9%)</w:t>
            </w:r>
          </w:p>
        </w:tc>
        <w:tc>
          <w:tcPr>
            <w:tcW w:w="2413" w:type="dxa"/>
            <w:tcBorders>
              <w:bottom w:val="nil"/>
            </w:tcBorders>
          </w:tcPr>
          <w:p w14:paraId="13643FF9" w14:textId="77777777" w:rsidR="004154DB" w:rsidRPr="008D0139" w:rsidRDefault="004154DB" w:rsidP="009D7D57">
            <w:pPr>
              <w:pStyle w:val="TableText0"/>
              <w:keepLines/>
              <w:widowControl w:val="0"/>
              <w:jc w:val="center"/>
              <w:rPr>
                <w:iCs/>
              </w:rPr>
            </w:pPr>
            <w:r w:rsidRPr="008D0139">
              <w:rPr>
                <w:iCs/>
              </w:rPr>
              <w:t>8 (9.1%)</w:t>
            </w:r>
          </w:p>
        </w:tc>
      </w:tr>
      <w:tr w:rsidR="004154DB" w:rsidRPr="008D0139" w14:paraId="031BE0AA" w14:textId="77777777" w:rsidTr="00F274C6">
        <w:trPr>
          <w:trHeight w:val="236"/>
        </w:trPr>
        <w:tc>
          <w:tcPr>
            <w:tcW w:w="4092" w:type="dxa"/>
            <w:tcBorders>
              <w:top w:val="nil"/>
              <w:bottom w:val="nil"/>
            </w:tcBorders>
          </w:tcPr>
          <w:p w14:paraId="270604FD" w14:textId="77777777" w:rsidR="004154DB" w:rsidRPr="008D0139" w:rsidRDefault="004154DB" w:rsidP="009D7D57">
            <w:pPr>
              <w:pStyle w:val="TableText0"/>
              <w:keepLines/>
              <w:widowControl w:val="0"/>
              <w:rPr>
                <w:iCs/>
                <w:szCs w:val="20"/>
              </w:rPr>
            </w:pPr>
            <w:r w:rsidRPr="008D0139">
              <w:rPr>
                <w:iCs/>
                <w:szCs w:val="20"/>
              </w:rPr>
              <w:t>Neutropenia</w:t>
            </w:r>
          </w:p>
        </w:tc>
        <w:tc>
          <w:tcPr>
            <w:tcW w:w="2413" w:type="dxa"/>
            <w:tcBorders>
              <w:top w:val="nil"/>
              <w:bottom w:val="nil"/>
            </w:tcBorders>
          </w:tcPr>
          <w:p w14:paraId="2CFA21CC" w14:textId="77777777" w:rsidR="004154DB" w:rsidRPr="008D0139" w:rsidRDefault="004154DB" w:rsidP="009D7D57">
            <w:pPr>
              <w:pStyle w:val="TableText0"/>
              <w:keepLines/>
              <w:widowControl w:val="0"/>
              <w:jc w:val="center"/>
              <w:rPr>
                <w:iCs/>
              </w:rPr>
            </w:pPr>
            <w:r w:rsidRPr="008D0139">
              <w:rPr>
                <w:iCs/>
              </w:rPr>
              <w:t>25 (14.5%)</w:t>
            </w:r>
          </w:p>
        </w:tc>
        <w:tc>
          <w:tcPr>
            <w:tcW w:w="2413" w:type="dxa"/>
            <w:tcBorders>
              <w:top w:val="nil"/>
              <w:bottom w:val="nil"/>
            </w:tcBorders>
          </w:tcPr>
          <w:p w14:paraId="12EF5851" w14:textId="77777777" w:rsidR="004154DB" w:rsidRPr="008D0139" w:rsidRDefault="004154DB" w:rsidP="009D7D57">
            <w:pPr>
              <w:pStyle w:val="TableText0"/>
              <w:keepLines/>
              <w:widowControl w:val="0"/>
              <w:jc w:val="center"/>
              <w:rPr>
                <w:iCs/>
              </w:rPr>
            </w:pPr>
            <w:r w:rsidRPr="008D0139">
              <w:rPr>
                <w:iCs/>
              </w:rPr>
              <w:t>6 (6.8%)</w:t>
            </w:r>
          </w:p>
        </w:tc>
      </w:tr>
      <w:tr w:rsidR="004154DB" w:rsidRPr="008D0139" w14:paraId="79010509" w14:textId="77777777" w:rsidTr="00F274C6">
        <w:trPr>
          <w:trHeight w:val="226"/>
        </w:trPr>
        <w:tc>
          <w:tcPr>
            <w:tcW w:w="4092" w:type="dxa"/>
            <w:tcBorders>
              <w:top w:val="nil"/>
              <w:bottom w:val="nil"/>
            </w:tcBorders>
          </w:tcPr>
          <w:p w14:paraId="5F8686F0" w14:textId="77777777" w:rsidR="004154DB" w:rsidRPr="008D0139" w:rsidRDefault="004154DB" w:rsidP="009D7D57">
            <w:pPr>
              <w:pStyle w:val="TableText0"/>
              <w:keepLines/>
              <w:widowControl w:val="0"/>
              <w:rPr>
                <w:iCs/>
                <w:szCs w:val="20"/>
              </w:rPr>
            </w:pPr>
            <w:r w:rsidRPr="008D0139">
              <w:rPr>
                <w:iCs/>
                <w:szCs w:val="20"/>
              </w:rPr>
              <w:t>Thrombocytopenia</w:t>
            </w:r>
          </w:p>
        </w:tc>
        <w:tc>
          <w:tcPr>
            <w:tcW w:w="2413" w:type="dxa"/>
            <w:tcBorders>
              <w:top w:val="nil"/>
              <w:bottom w:val="nil"/>
            </w:tcBorders>
          </w:tcPr>
          <w:p w14:paraId="46F39356" w14:textId="77777777" w:rsidR="004154DB" w:rsidRPr="008D0139" w:rsidRDefault="004154DB" w:rsidP="009D7D57">
            <w:pPr>
              <w:pStyle w:val="TableText0"/>
              <w:keepLines/>
              <w:widowControl w:val="0"/>
              <w:jc w:val="center"/>
              <w:rPr>
                <w:iCs/>
              </w:rPr>
            </w:pPr>
            <w:r w:rsidRPr="008D0139">
              <w:rPr>
                <w:iCs/>
              </w:rPr>
              <w:t>18 (10.5%)</w:t>
            </w:r>
          </w:p>
        </w:tc>
        <w:tc>
          <w:tcPr>
            <w:tcW w:w="2413" w:type="dxa"/>
            <w:tcBorders>
              <w:top w:val="nil"/>
              <w:bottom w:val="nil"/>
            </w:tcBorders>
          </w:tcPr>
          <w:p w14:paraId="0968152D" w14:textId="77777777" w:rsidR="004154DB" w:rsidRPr="008D0139" w:rsidRDefault="004154DB" w:rsidP="009D7D57">
            <w:pPr>
              <w:pStyle w:val="TableText0"/>
              <w:keepLines/>
              <w:widowControl w:val="0"/>
              <w:jc w:val="center"/>
              <w:rPr>
                <w:iCs/>
              </w:rPr>
            </w:pPr>
            <w:r w:rsidRPr="008D0139">
              <w:rPr>
                <w:iCs/>
              </w:rPr>
              <w:t>6 (6.8%)</w:t>
            </w:r>
          </w:p>
        </w:tc>
      </w:tr>
      <w:tr w:rsidR="004154DB" w:rsidRPr="008D0139" w14:paraId="7D9999D8" w14:textId="77777777" w:rsidTr="00F274C6">
        <w:trPr>
          <w:trHeight w:val="226"/>
        </w:trPr>
        <w:tc>
          <w:tcPr>
            <w:tcW w:w="4092" w:type="dxa"/>
            <w:tcBorders>
              <w:top w:val="nil"/>
            </w:tcBorders>
          </w:tcPr>
          <w:p w14:paraId="372B121F" w14:textId="77777777" w:rsidR="004154DB" w:rsidRPr="008D0139" w:rsidRDefault="004154DB" w:rsidP="009D7D57">
            <w:pPr>
              <w:pStyle w:val="TableText0"/>
              <w:keepLines/>
              <w:widowControl w:val="0"/>
              <w:rPr>
                <w:iCs/>
              </w:rPr>
            </w:pPr>
            <w:r w:rsidRPr="008D0139">
              <w:rPr>
                <w:iCs/>
              </w:rPr>
              <w:t>Pneumonia</w:t>
            </w:r>
          </w:p>
        </w:tc>
        <w:tc>
          <w:tcPr>
            <w:tcW w:w="2413" w:type="dxa"/>
            <w:tcBorders>
              <w:top w:val="nil"/>
            </w:tcBorders>
          </w:tcPr>
          <w:p w14:paraId="0A62FFD0" w14:textId="77777777" w:rsidR="004154DB" w:rsidRPr="008D0139" w:rsidRDefault="004154DB" w:rsidP="009D7D57">
            <w:pPr>
              <w:pStyle w:val="TableText0"/>
              <w:keepLines/>
              <w:widowControl w:val="0"/>
              <w:jc w:val="center"/>
              <w:rPr>
                <w:iCs/>
              </w:rPr>
            </w:pPr>
            <w:r w:rsidRPr="008D0139">
              <w:rPr>
                <w:iCs/>
              </w:rPr>
              <w:t>10 (5.8%)</w:t>
            </w:r>
          </w:p>
        </w:tc>
        <w:tc>
          <w:tcPr>
            <w:tcW w:w="2413" w:type="dxa"/>
            <w:tcBorders>
              <w:top w:val="nil"/>
            </w:tcBorders>
          </w:tcPr>
          <w:p w14:paraId="12FC8C28" w14:textId="77777777" w:rsidR="004154DB" w:rsidRPr="008D0139" w:rsidRDefault="004154DB" w:rsidP="009D7D57">
            <w:pPr>
              <w:pStyle w:val="TableText0"/>
              <w:keepLines/>
              <w:widowControl w:val="0"/>
              <w:jc w:val="center"/>
              <w:rPr>
                <w:iCs/>
              </w:rPr>
            </w:pPr>
            <w:r w:rsidRPr="008D0139">
              <w:rPr>
                <w:iCs/>
              </w:rPr>
              <w:t>4 (4.5%)</w:t>
            </w:r>
          </w:p>
        </w:tc>
      </w:tr>
      <w:tr w:rsidR="004154DB" w:rsidRPr="008D0139" w14:paraId="5E2FE12B" w14:textId="77777777" w:rsidTr="00F274C6">
        <w:trPr>
          <w:trHeight w:val="236"/>
        </w:trPr>
        <w:tc>
          <w:tcPr>
            <w:tcW w:w="8918" w:type="dxa"/>
            <w:gridSpan w:val="3"/>
            <w:tcBorders>
              <w:bottom w:val="single" w:sz="4" w:space="0" w:color="auto"/>
            </w:tcBorders>
          </w:tcPr>
          <w:p w14:paraId="08AFDFF8" w14:textId="77777777" w:rsidR="004154DB" w:rsidRPr="008D0139" w:rsidRDefault="004154DB" w:rsidP="009D7D57">
            <w:pPr>
              <w:pStyle w:val="TableText0"/>
              <w:keepLines/>
              <w:widowControl w:val="0"/>
              <w:rPr>
                <w:iCs/>
              </w:rPr>
            </w:pPr>
            <w:r w:rsidRPr="008D0139">
              <w:rPr>
                <w:b/>
                <w:iCs/>
              </w:rPr>
              <w:t xml:space="preserve">Adverse events of special interest </w:t>
            </w:r>
          </w:p>
        </w:tc>
      </w:tr>
      <w:tr w:rsidR="004154DB" w:rsidRPr="008D0139" w14:paraId="090EFECB" w14:textId="77777777" w:rsidTr="00F274C6">
        <w:trPr>
          <w:trHeight w:val="226"/>
        </w:trPr>
        <w:tc>
          <w:tcPr>
            <w:tcW w:w="4092" w:type="dxa"/>
            <w:tcBorders>
              <w:bottom w:val="nil"/>
            </w:tcBorders>
          </w:tcPr>
          <w:p w14:paraId="6DDE11AC" w14:textId="77777777" w:rsidR="004154DB" w:rsidRPr="008D0139" w:rsidRDefault="004154DB" w:rsidP="009D7D57">
            <w:pPr>
              <w:pStyle w:val="TableText0"/>
              <w:keepLines/>
              <w:widowControl w:val="0"/>
              <w:rPr>
                <w:iCs/>
              </w:rPr>
            </w:pPr>
            <w:r w:rsidRPr="008D0139">
              <w:rPr>
                <w:iCs/>
              </w:rPr>
              <w:t>CRS</w:t>
            </w:r>
          </w:p>
        </w:tc>
        <w:tc>
          <w:tcPr>
            <w:tcW w:w="2413" w:type="dxa"/>
            <w:tcBorders>
              <w:bottom w:val="nil"/>
            </w:tcBorders>
          </w:tcPr>
          <w:p w14:paraId="7B58F8A1" w14:textId="77777777" w:rsidR="004154DB" w:rsidRPr="008D0139" w:rsidRDefault="004154DB" w:rsidP="009D7D57">
            <w:pPr>
              <w:pStyle w:val="TableText0"/>
              <w:keepLines/>
              <w:widowControl w:val="0"/>
              <w:jc w:val="center"/>
              <w:rPr>
                <w:iCs/>
              </w:rPr>
            </w:pPr>
            <w:r w:rsidRPr="008D0139">
              <w:rPr>
                <w:iCs/>
              </w:rPr>
              <w:t>76 (44.2%)</w:t>
            </w:r>
          </w:p>
        </w:tc>
        <w:tc>
          <w:tcPr>
            <w:tcW w:w="2413" w:type="dxa"/>
            <w:tcBorders>
              <w:bottom w:val="nil"/>
            </w:tcBorders>
          </w:tcPr>
          <w:p w14:paraId="1F473027" w14:textId="77777777" w:rsidR="004154DB" w:rsidRPr="008D0139" w:rsidRDefault="004154DB" w:rsidP="009D7D57">
            <w:pPr>
              <w:pStyle w:val="TableText0"/>
              <w:keepLines/>
              <w:widowControl w:val="0"/>
              <w:jc w:val="center"/>
              <w:rPr>
                <w:iCs/>
              </w:rPr>
            </w:pPr>
            <w:r w:rsidRPr="008D0139">
              <w:rPr>
                <w:iCs/>
              </w:rPr>
              <w:t>0 (0%)</w:t>
            </w:r>
          </w:p>
        </w:tc>
      </w:tr>
      <w:tr w:rsidR="004154DB" w:rsidRPr="008D0139" w14:paraId="625278E7" w14:textId="77777777" w:rsidTr="00F274C6">
        <w:trPr>
          <w:trHeight w:val="226"/>
        </w:trPr>
        <w:tc>
          <w:tcPr>
            <w:tcW w:w="4092" w:type="dxa"/>
            <w:tcBorders>
              <w:top w:val="nil"/>
              <w:bottom w:val="nil"/>
            </w:tcBorders>
          </w:tcPr>
          <w:p w14:paraId="1F51752F" w14:textId="77777777" w:rsidR="004154DB" w:rsidRPr="008D0139" w:rsidRDefault="004154DB" w:rsidP="009D7D57">
            <w:pPr>
              <w:pStyle w:val="TableText0"/>
              <w:keepLines/>
              <w:widowControl w:val="0"/>
              <w:rPr>
                <w:iCs/>
              </w:rPr>
            </w:pPr>
            <w:r w:rsidRPr="008D0139">
              <w:rPr>
                <w:iCs/>
              </w:rPr>
              <w:tab/>
              <w:t>Grade 1</w:t>
            </w:r>
          </w:p>
        </w:tc>
        <w:tc>
          <w:tcPr>
            <w:tcW w:w="2413" w:type="dxa"/>
            <w:tcBorders>
              <w:top w:val="nil"/>
              <w:bottom w:val="nil"/>
            </w:tcBorders>
          </w:tcPr>
          <w:p w14:paraId="130951D6" w14:textId="77777777" w:rsidR="004154DB" w:rsidRPr="008D0139" w:rsidRDefault="004154DB" w:rsidP="009D7D57">
            <w:pPr>
              <w:pStyle w:val="TableText0"/>
              <w:keepLines/>
              <w:widowControl w:val="0"/>
              <w:jc w:val="center"/>
              <w:rPr>
                <w:iCs/>
              </w:rPr>
            </w:pPr>
            <w:r w:rsidRPr="008D0139">
              <w:rPr>
                <w:iCs/>
              </w:rPr>
              <w:t>54 (31.4%)</w:t>
            </w:r>
          </w:p>
        </w:tc>
        <w:tc>
          <w:tcPr>
            <w:tcW w:w="2413" w:type="dxa"/>
            <w:tcBorders>
              <w:top w:val="nil"/>
              <w:bottom w:val="nil"/>
            </w:tcBorders>
          </w:tcPr>
          <w:p w14:paraId="67953656" w14:textId="77777777" w:rsidR="004154DB" w:rsidRPr="008D0139" w:rsidRDefault="004154DB" w:rsidP="009D7D57">
            <w:pPr>
              <w:pStyle w:val="TableText0"/>
              <w:keepLines/>
              <w:widowControl w:val="0"/>
              <w:jc w:val="center"/>
              <w:rPr>
                <w:iCs/>
              </w:rPr>
            </w:pPr>
            <w:r w:rsidRPr="008D0139">
              <w:rPr>
                <w:iCs/>
              </w:rPr>
              <w:t>0 (0%)</w:t>
            </w:r>
          </w:p>
        </w:tc>
      </w:tr>
      <w:tr w:rsidR="004154DB" w:rsidRPr="008D0139" w14:paraId="3B64F2B4" w14:textId="77777777" w:rsidTr="00F274C6">
        <w:trPr>
          <w:trHeight w:val="226"/>
        </w:trPr>
        <w:tc>
          <w:tcPr>
            <w:tcW w:w="4092" w:type="dxa"/>
            <w:tcBorders>
              <w:top w:val="nil"/>
              <w:bottom w:val="nil"/>
            </w:tcBorders>
          </w:tcPr>
          <w:p w14:paraId="10F512D5" w14:textId="77777777" w:rsidR="004154DB" w:rsidRPr="008D0139" w:rsidRDefault="004154DB" w:rsidP="009D7D57">
            <w:pPr>
              <w:pStyle w:val="TableText0"/>
              <w:keepLines/>
              <w:widowControl w:val="0"/>
              <w:rPr>
                <w:iCs/>
              </w:rPr>
            </w:pPr>
            <w:r w:rsidRPr="008D0139">
              <w:rPr>
                <w:iCs/>
              </w:rPr>
              <w:tab/>
              <w:t>Grade 2</w:t>
            </w:r>
          </w:p>
        </w:tc>
        <w:tc>
          <w:tcPr>
            <w:tcW w:w="2413" w:type="dxa"/>
            <w:tcBorders>
              <w:top w:val="nil"/>
              <w:bottom w:val="nil"/>
            </w:tcBorders>
          </w:tcPr>
          <w:p w14:paraId="24E031D9" w14:textId="77777777" w:rsidR="004154DB" w:rsidRPr="008D0139" w:rsidRDefault="004154DB" w:rsidP="009D7D57">
            <w:pPr>
              <w:pStyle w:val="TableText0"/>
              <w:keepLines/>
              <w:widowControl w:val="0"/>
              <w:jc w:val="center"/>
              <w:rPr>
                <w:iCs/>
              </w:rPr>
            </w:pPr>
            <w:r w:rsidRPr="008D0139">
              <w:rPr>
                <w:iCs/>
              </w:rPr>
              <w:t>18 (10.5%)</w:t>
            </w:r>
          </w:p>
        </w:tc>
        <w:tc>
          <w:tcPr>
            <w:tcW w:w="2413" w:type="dxa"/>
            <w:tcBorders>
              <w:top w:val="nil"/>
              <w:bottom w:val="nil"/>
            </w:tcBorders>
          </w:tcPr>
          <w:p w14:paraId="47E51BB6" w14:textId="77777777" w:rsidR="004154DB" w:rsidRPr="008D0139" w:rsidRDefault="004154DB" w:rsidP="009D7D57">
            <w:pPr>
              <w:pStyle w:val="TableText0"/>
              <w:keepLines/>
              <w:widowControl w:val="0"/>
              <w:jc w:val="center"/>
              <w:rPr>
                <w:iCs/>
              </w:rPr>
            </w:pPr>
            <w:r w:rsidRPr="008D0139">
              <w:rPr>
                <w:iCs/>
              </w:rPr>
              <w:t>0 (0%)</w:t>
            </w:r>
          </w:p>
        </w:tc>
      </w:tr>
      <w:tr w:rsidR="004154DB" w:rsidRPr="008D0139" w14:paraId="566A082B" w14:textId="77777777" w:rsidTr="00F274C6">
        <w:trPr>
          <w:trHeight w:val="236"/>
        </w:trPr>
        <w:tc>
          <w:tcPr>
            <w:tcW w:w="4092" w:type="dxa"/>
            <w:tcBorders>
              <w:top w:val="nil"/>
              <w:bottom w:val="nil"/>
            </w:tcBorders>
          </w:tcPr>
          <w:p w14:paraId="2ABFB836" w14:textId="77777777" w:rsidR="004154DB" w:rsidRPr="008D0139" w:rsidRDefault="004154DB" w:rsidP="009D7D57">
            <w:pPr>
              <w:pStyle w:val="TableText0"/>
              <w:keepLines/>
              <w:widowControl w:val="0"/>
              <w:rPr>
                <w:iCs/>
              </w:rPr>
            </w:pPr>
            <w:r w:rsidRPr="008D0139">
              <w:rPr>
                <w:iCs/>
              </w:rPr>
              <w:tab/>
              <w:t>Grade 3</w:t>
            </w:r>
          </w:p>
        </w:tc>
        <w:tc>
          <w:tcPr>
            <w:tcW w:w="2413" w:type="dxa"/>
            <w:tcBorders>
              <w:top w:val="nil"/>
              <w:bottom w:val="nil"/>
            </w:tcBorders>
          </w:tcPr>
          <w:p w14:paraId="180ABAC6" w14:textId="77777777" w:rsidR="004154DB" w:rsidRPr="008D0139" w:rsidRDefault="004154DB" w:rsidP="009D7D57">
            <w:pPr>
              <w:pStyle w:val="TableText0"/>
              <w:keepLines/>
              <w:widowControl w:val="0"/>
              <w:jc w:val="center"/>
              <w:rPr>
                <w:iCs/>
              </w:rPr>
            </w:pPr>
            <w:r w:rsidRPr="008D0139">
              <w:rPr>
                <w:iCs/>
              </w:rPr>
              <w:t>4 (2.3%)</w:t>
            </w:r>
          </w:p>
        </w:tc>
        <w:tc>
          <w:tcPr>
            <w:tcW w:w="2413" w:type="dxa"/>
            <w:tcBorders>
              <w:top w:val="nil"/>
              <w:bottom w:val="nil"/>
            </w:tcBorders>
          </w:tcPr>
          <w:p w14:paraId="6EABF885" w14:textId="77777777" w:rsidR="004154DB" w:rsidRPr="008D0139" w:rsidRDefault="004154DB" w:rsidP="009D7D57">
            <w:pPr>
              <w:pStyle w:val="TableText0"/>
              <w:keepLines/>
              <w:widowControl w:val="0"/>
              <w:jc w:val="center"/>
              <w:rPr>
                <w:iCs/>
              </w:rPr>
            </w:pPr>
            <w:r w:rsidRPr="008D0139">
              <w:rPr>
                <w:iCs/>
              </w:rPr>
              <w:t>0 (0%)</w:t>
            </w:r>
          </w:p>
        </w:tc>
      </w:tr>
      <w:tr w:rsidR="004154DB" w:rsidRPr="008D0139" w14:paraId="75C1F699" w14:textId="77777777" w:rsidTr="00F274C6">
        <w:trPr>
          <w:trHeight w:val="226"/>
        </w:trPr>
        <w:tc>
          <w:tcPr>
            <w:tcW w:w="4092" w:type="dxa"/>
            <w:tcBorders>
              <w:top w:val="nil"/>
              <w:bottom w:val="nil"/>
            </w:tcBorders>
          </w:tcPr>
          <w:p w14:paraId="3CC82B38" w14:textId="77777777" w:rsidR="004154DB" w:rsidRPr="008D0139" w:rsidRDefault="004154DB" w:rsidP="009D7D57">
            <w:pPr>
              <w:pStyle w:val="TableText0"/>
              <w:keepLines/>
              <w:widowControl w:val="0"/>
              <w:rPr>
                <w:iCs/>
              </w:rPr>
            </w:pPr>
            <w:r w:rsidRPr="008D0139">
              <w:rPr>
                <w:iCs/>
              </w:rPr>
              <w:tab/>
              <w:t>Grade 4 / fatal CRS</w:t>
            </w:r>
          </w:p>
        </w:tc>
        <w:tc>
          <w:tcPr>
            <w:tcW w:w="2413" w:type="dxa"/>
            <w:tcBorders>
              <w:top w:val="nil"/>
              <w:bottom w:val="nil"/>
            </w:tcBorders>
          </w:tcPr>
          <w:p w14:paraId="662ED5C3" w14:textId="77777777" w:rsidR="004154DB" w:rsidRPr="008D0139" w:rsidRDefault="004154DB" w:rsidP="009D7D57">
            <w:pPr>
              <w:pStyle w:val="TableText0"/>
              <w:keepLines/>
              <w:widowControl w:val="0"/>
              <w:jc w:val="center"/>
              <w:rPr>
                <w:iCs/>
              </w:rPr>
            </w:pPr>
            <w:r w:rsidRPr="008D0139">
              <w:rPr>
                <w:iCs/>
              </w:rPr>
              <w:t>0 (0.0%)</w:t>
            </w:r>
          </w:p>
        </w:tc>
        <w:tc>
          <w:tcPr>
            <w:tcW w:w="2413" w:type="dxa"/>
            <w:tcBorders>
              <w:top w:val="nil"/>
              <w:bottom w:val="nil"/>
            </w:tcBorders>
          </w:tcPr>
          <w:p w14:paraId="2DCB928D" w14:textId="77777777" w:rsidR="004154DB" w:rsidRPr="008D0139" w:rsidRDefault="004154DB" w:rsidP="009D7D57">
            <w:pPr>
              <w:pStyle w:val="TableText0"/>
              <w:keepLines/>
              <w:widowControl w:val="0"/>
              <w:jc w:val="center"/>
              <w:rPr>
                <w:iCs/>
              </w:rPr>
            </w:pPr>
            <w:r w:rsidRPr="008D0139">
              <w:rPr>
                <w:iCs/>
              </w:rPr>
              <w:t>0 (0%)</w:t>
            </w:r>
          </w:p>
        </w:tc>
      </w:tr>
      <w:tr w:rsidR="004154DB" w:rsidRPr="008D0139" w14:paraId="6CC7EC6F" w14:textId="77777777" w:rsidTr="00F274C6">
        <w:trPr>
          <w:trHeight w:val="226"/>
        </w:trPr>
        <w:tc>
          <w:tcPr>
            <w:tcW w:w="4092" w:type="dxa"/>
            <w:tcBorders>
              <w:top w:val="nil"/>
              <w:bottom w:val="nil"/>
            </w:tcBorders>
          </w:tcPr>
          <w:p w14:paraId="2D1E4172" w14:textId="77777777" w:rsidR="004154DB" w:rsidRPr="008D0139" w:rsidRDefault="004154DB" w:rsidP="009D7D57">
            <w:pPr>
              <w:pStyle w:val="TableText0"/>
              <w:keepLines/>
              <w:widowControl w:val="0"/>
              <w:rPr>
                <w:iCs/>
              </w:rPr>
            </w:pPr>
            <w:r w:rsidRPr="008D0139">
              <w:rPr>
                <w:iCs/>
              </w:rPr>
              <w:t>TF</w:t>
            </w:r>
          </w:p>
        </w:tc>
        <w:tc>
          <w:tcPr>
            <w:tcW w:w="2413" w:type="dxa"/>
            <w:tcBorders>
              <w:top w:val="nil"/>
              <w:bottom w:val="nil"/>
            </w:tcBorders>
          </w:tcPr>
          <w:p w14:paraId="7CC1819C" w14:textId="77777777" w:rsidR="004154DB" w:rsidRPr="008D0139" w:rsidRDefault="004154DB" w:rsidP="009D7D57">
            <w:pPr>
              <w:pStyle w:val="TableText0"/>
              <w:keepLines/>
              <w:widowControl w:val="0"/>
              <w:jc w:val="center"/>
              <w:rPr>
                <w:iCs/>
              </w:rPr>
            </w:pPr>
            <w:r w:rsidRPr="008D0139">
              <w:rPr>
                <w:iCs/>
              </w:rPr>
              <w:t>4 (2.3%)</w:t>
            </w:r>
          </w:p>
        </w:tc>
        <w:tc>
          <w:tcPr>
            <w:tcW w:w="2413" w:type="dxa"/>
            <w:tcBorders>
              <w:top w:val="nil"/>
              <w:bottom w:val="nil"/>
            </w:tcBorders>
          </w:tcPr>
          <w:p w14:paraId="26963DA7" w14:textId="77777777" w:rsidR="004154DB" w:rsidRPr="008D0139" w:rsidRDefault="004154DB" w:rsidP="009D7D57">
            <w:pPr>
              <w:pStyle w:val="TableText0"/>
              <w:keepLines/>
              <w:widowControl w:val="0"/>
              <w:jc w:val="center"/>
              <w:rPr>
                <w:iCs/>
              </w:rPr>
            </w:pPr>
            <w:r w:rsidRPr="008D0139">
              <w:rPr>
                <w:iCs/>
              </w:rPr>
              <w:t>1 (1.1%)</w:t>
            </w:r>
          </w:p>
        </w:tc>
      </w:tr>
      <w:tr w:rsidR="004154DB" w:rsidRPr="008D0139" w14:paraId="5D7DC897" w14:textId="77777777" w:rsidTr="00F274C6">
        <w:trPr>
          <w:trHeight w:val="236"/>
        </w:trPr>
        <w:tc>
          <w:tcPr>
            <w:tcW w:w="4092" w:type="dxa"/>
            <w:tcBorders>
              <w:top w:val="nil"/>
              <w:bottom w:val="nil"/>
            </w:tcBorders>
          </w:tcPr>
          <w:p w14:paraId="4CC64414" w14:textId="77777777" w:rsidR="004154DB" w:rsidRPr="008D0139" w:rsidRDefault="004154DB" w:rsidP="009D7D57">
            <w:pPr>
              <w:pStyle w:val="TableText0"/>
              <w:keepLines/>
              <w:widowControl w:val="0"/>
              <w:rPr>
                <w:iCs/>
              </w:rPr>
            </w:pPr>
            <w:r w:rsidRPr="008D0139">
              <w:rPr>
                <w:iCs/>
              </w:rPr>
              <w:t>TLS</w:t>
            </w:r>
          </w:p>
        </w:tc>
        <w:tc>
          <w:tcPr>
            <w:tcW w:w="2413" w:type="dxa"/>
            <w:tcBorders>
              <w:top w:val="nil"/>
              <w:bottom w:val="nil"/>
            </w:tcBorders>
          </w:tcPr>
          <w:p w14:paraId="6D2E8084" w14:textId="77777777" w:rsidR="004154DB" w:rsidRPr="008D0139" w:rsidRDefault="004154DB" w:rsidP="009D7D57">
            <w:pPr>
              <w:pStyle w:val="TableText0"/>
              <w:keepLines/>
              <w:widowControl w:val="0"/>
              <w:jc w:val="center"/>
              <w:rPr>
                <w:iCs/>
              </w:rPr>
            </w:pPr>
            <w:r w:rsidRPr="008D0139">
              <w:rPr>
                <w:iCs/>
              </w:rPr>
              <w:t>3 (1.7%)</w:t>
            </w:r>
          </w:p>
        </w:tc>
        <w:tc>
          <w:tcPr>
            <w:tcW w:w="2413" w:type="dxa"/>
            <w:tcBorders>
              <w:top w:val="nil"/>
              <w:bottom w:val="nil"/>
            </w:tcBorders>
          </w:tcPr>
          <w:p w14:paraId="2C052C35" w14:textId="77777777" w:rsidR="004154DB" w:rsidRPr="008D0139" w:rsidRDefault="004154DB" w:rsidP="009D7D57">
            <w:pPr>
              <w:pStyle w:val="TableText0"/>
              <w:keepLines/>
              <w:widowControl w:val="0"/>
              <w:jc w:val="center"/>
              <w:rPr>
                <w:iCs/>
              </w:rPr>
            </w:pPr>
            <w:r w:rsidRPr="008D0139">
              <w:rPr>
                <w:iCs/>
              </w:rPr>
              <w:t>3 (3.4%)</w:t>
            </w:r>
          </w:p>
        </w:tc>
      </w:tr>
      <w:tr w:rsidR="004154DB" w:rsidRPr="008D0139" w14:paraId="42AF54AC" w14:textId="77777777" w:rsidTr="00F274C6">
        <w:trPr>
          <w:trHeight w:val="226"/>
        </w:trPr>
        <w:tc>
          <w:tcPr>
            <w:tcW w:w="4092" w:type="dxa"/>
            <w:tcBorders>
              <w:top w:val="nil"/>
              <w:bottom w:val="nil"/>
            </w:tcBorders>
          </w:tcPr>
          <w:p w14:paraId="3D8532CE" w14:textId="77777777" w:rsidR="004154DB" w:rsidRPr="008D0139" w:rsidRDefault="004154DB" w:rsidP="009D7D57">
            <w:pPr>
              <w:pStyle w:val="TableText0"/>
              <w:keepLines/>
              <w:widowControl w:val="0"/>
              <w:rPr>
                <w:iCs/>
              </w:rPr>
            </w:pPr>
            <w:r w:rsidRPr="008D0139">
              <w:rPr>
                <w:iCs/>
              </w:rPr>
              <w:t>Serious infections</w:t>
            </w:r>
          </w:p>
        </w:tc>
        <w:tc>
          <w:tcPr>
            <w:tcW w:w="2413" w:type="dxa"/>
            <w:tcBorders>
              <w:top w:val="nil"/>
              <w:bottom w:val="nil"/>
            </w:tcBorders>
          </w:tcPr>
          <w:p w14:paraId="39FADC88" w14:textId="77777777" w:rsidR="004154DB" w:rsidRPr="008D0139" w:rsidRDefault="004154DB" w:rsidP="009D7D57">
            <w:pPr>
              <w:pStyle w:val="TableText0"/>
              <w:keepLines/>
              <w:widowControl w:val="0"/>
              <w:jc w:val="center"/>
              <w:rPr>
                <w:iCs/>
              </w:rPr>
            </w:pPr>
            <w:r w:rsidRPr="008D0139">
              <w:rPr>
                <w:iCs/>
              </w:rPr>
              <w:t>39 (22.7%)</w:t>
            </w:r>
          </w:p>
        </w:tc>
        <w:tc>
          <w:tcPr>
            <w:tcW w:w="2413" w:type="dxa"/>
            <w:tcBorders>
              <w:top w:val="nil"/>
              <w:bottom w:val="nil"/>
            </w:tcBorders>
          </w:tcPr>
          <w:p w14:paraId="67EB231F" w14:textId="77777777" w:rsidR="004154DB" w:rsidRPr="008D0139" w:rsidRDefault="004154DB" w:rsidP="009D7D57">
            <w:pPr>
              <w:pStyle w:val="TableText0"/>
              <w:keepLines/>
              <w:widowControl w:val="0"/>
              <w:jc w:val="center"/>
              <w:rPr>
                <w:iCs/>
              </w:rPr>
            </w:pPr>
            <w:r w:rsidRPr="008D0139">
              <w:rPr>
                <w:iCs/>
              </w:rPr>
              <w:t>11 (12.5%)</w:t>
            </w:r>
          </w:p>
        </w:tc>
      </w:tr>
      <w:tr w:rsidR="004154DB" w:rsidRPr="008D0139" w14:paraId="60BB2E79" w14:textId="77777777" w:rsidTr="00F274C6">
        <w:trPr>
          <w:trHeight w:val="226"/>
        </w:trPr>
        <w:tc>
          <w:tcPr>
            <w:tcW w:w="4092" w:type="dxa"/>
            <w:tcBorders>
              <w:top w:val="nil"/>
              <w:bottom w:val="nil"/>
            </w:tcBorders>
          </w:tcPr>
          <w:p w14:paraId="5B50205A" w14:textId="77777777" w:rsidR="004154DB" w:rsidRPr="008D0139" w:rsidRDefault="004154DB" w:rsidP="009D7D57">
            <w:pPr>
              <w:pStyle w:val="TableText0"/>
              <w:keepLines/>
              <w:widowControl w:val="0"/>
              <w:rPr>
                <w:iCs/>
              </w:rPr>
            </w:pPr>
            <w:r w:rsidRPr="008D0139">
              <w:rPr>
                <w:iCs/>
              </w:rPr>
              <w:t>Febrile neutropenia</w:t>
            </w:r>
          </w:p>
        </w:tc>
        <w:tc>
          <w:tcPr>
            <w:tcW w:w="2413" w:type="dxa"/>
            <w:tcBorders>
              <w:top w:val="nil"/>
              <w:bottom w:val="nil"/>
            </w:tcBorders>
          </w:tcPr>
          <w:p w14:paraId="2BF5FCAE" w14:textId="77777777" w:rsidR="004154DB" w:rsidRPr="008D0139" w:rsidRDefault="004154DB" w:rsidP="009D7D57">
            <w:pPr>
              <w:pStyle w:val="TableText0"/>
              <w:keepLines/>
              <w:widowControl w:val="0"/>
              <w:jc w:val="center"/>
              <w:rPr>
                <w:iCs/>
              </w:rPr>
            </w:pPr>
            <w:r w:rsidRPr="008D0139">
              <w:rPr>
                <w:iCs/>
              </w:rPr>
              <w:t>5 (2.9%)</w:t>
            </w:r>
          </w:p>
        </w:tc>
        <w:tc>
          <w:tcPr>
            <w:tcW w:w="2413" w:type="dxa"/>
            <w:tcBorders>
              <w:top w:val="nil"/>
              <w:bottom w:val="nil"/>
            </w:tcBorders>
          </w:tcPr>
          <w:p w14:paraId="16EB6CD7" w14:textId="77777777" w:rsidR="004154DB" w:rsidRPr="008D0139" w:rsidRDefault="004154DB" w:rsidP="009D7D57">
            <w:pPr>
              <w:pStyle w:val="TableText0"/>
              <w:keepLines/>
              <w:widowControl w:val="0"/>
              <w:jc w:val="center"/>
              <w:rPr>
                <w:iCs/>
              </w:rPr>
            </w:pPr>
            <w:r w:rsidRPr="008D0139">
              <w:rPr>
                <w:iCs/>
              </w:rPr>
              <w:t>1 (1.1%)</w:t>
            </w:r>
          </w:p>
        </w:tc>
      </w:tr>
      <w:tr w:rsidR="004154DB" w:rsidRPr="008D0139" w14:paraId="7CF9F849" w14:textId="77777777" w:rsidTr="00F274C6">
        <w:trPr>
          <w:trHeight w:val="226"/>
        </w:trPr>
        <w:tc>
          <w:tcPr>
            <w:tcW w:w="4092" w:type="dxa"/>
            <w:tcBorders>
              <w:top w:val="nil"/>
              <w:bottom w:val="nil"/>
            </w:tcBorders>
          </w:tcPr>
          <w:p w14:paraId="07F2C4E8" w14:textId="77777777" w:rsidR="004154DB" w:rsidRPr="008D0139" w:rsidRDefault="004154DB" w:rsidP="009D7D57">
            <w:pPr>
              <w:pStyle w:val="TableText0"/>
              <w:keepLines/>
              <w:widowControl w:val="0"/>
              <w:rPr>
                <w:iCs/>
              </w:rPr>
            </w:pPr>
            <w:r w:rsidRPr="008D0139">
              <w:rPr>
                <w:iCs/>
              </w:rPr>
              <w:t>ICANS</w:t>
            </w:r>
          </w:p>
        </w:tc>
        <w:tc>
          <w:tcPr>
            <w:tcW w:w="2413" w:type="dxa"/>
            <w:tcBorders>
              <w:top w:val="nil"/>
              <w:bottom w:val="nil"/>
            </w:tcBorders>
          </w:tcPr>
          <w:p w14:paraId="0778AFCF" w14:textId="77777777" w:rsidR="004154DB" w:rsidRPr="008D0139" w:rsidRDefault="004154DB" w:rsidP="009D7D57">
            <w:pPr>
              <w:pStyle w:val="TableText0"/>
              <w:keepLines/>
              <w:widowControl w:val="0"/>
              <w:jc w:val="center"/>
              <w:rPr>
                <w:iCs/>
              </w:rPr>
            </w:pPr>
            <w:r w:rsidRPr="008D0139">
              <w:rPr>
                <w:iCs/>
              </w:rPr>
              <w:t>4 (2.3%)</w:t>
            </w:r>
          </w:p>
        </w:tc>
        <w:tc>
          <w:tcPr>
            <w:tcW w:w="2413" w:type="dxa"/>
            <w:tcBorders>
              <w:top w:val="nil"/>
              <w:bottom w:val="nil"/>
            </w:tcBorders>
          </w:tcPr>
          <w:p w14:paraId="3BFD3C2A" w14:textId="77777777" w:rsidR="004154DB" w:rsidRPr="008D0139" w:rsidRDefault="004154DB" w:rsidP="009D7D57">
            <w:pPr>
              <w:pStyle w:val="TableText0"/>
              <w:keepLines/>
              <w:widowControl w:val="0"/>
              <w:jc w:val="center"/>
              <w:rPr>
                <w:iCs/>
              </w:rPr>
            </w:pPr>
            <w:r w:rsidRPr="008D0139">
              <w:rPr>
                <w:iCs/>
              </w:rPr>
              <w:t>0 (0%)</w:t>
            </w:r>
          </w:p>
        </w:tc>
      </w:tr>
      <w:tr w:rsidR="004154DB" w:rsidRPr="008D0139" w14:paraId="18E0CA51" w14:textId="77777777" w:rsidTr="00F274C6">
        <w:trPr>
          <w:trHeight w:val="236"/>
        </w:trPr>
        <w:tc>
          <w:tcPr>
            <w:tcW w:w="4092" w:type="dxa"/>
            <w:tcBorders>
              <w:top w:val="nil"/>
            </w:tcBorders>
          </w:tcPr>
          <w:p w14:paraId="1CB71157" w14:textId="77777777" w:rsidR="004154DB" w:rsidRPr="008D0139" w:rsidRDefault="004154DB" w:rsidP="009D7D57">
            <w:pPr>
              <w:pStyle w:val="TableText0"/>
              <w:keepLines/>
              <w:widowControl w:val="0"/>
              <w:rPr>
                <w:iCs/>
              </w:rPr>
            </w:pPr>
            <w:r w:rsidRPr="008D0139">
              <w:rPr>
                <w:iCs/>
              </w:rPr>
              <w:t>Neurological adverse event (grade ≥2)</w:t>
            </w:r>
          </w:p>
        </w:tc>
        <w:tc>
          <w:tcPr>
            <w:tcW w:w="2413" w:type="dxa"/>
            <w:tcBorders>
              <w:top w:val="nil"/>
            </w:tcBorders>
          </w:tcPr>
          <w:p w14:paraId="36210428" w14:textId="77777777" w:rsidR="004154DB" w:rsidRPr="008D0139" w:rsidRDefault="004154DB" w:rsidP="009D7D57">
            <w:pPr>
              <w:pStyle w:val="TableText0"/>
              <w:keepLines/>
              <w:widowControl w:val="0"/>
              <w:jc w:val="center"/>
              <w:rPr>
                <w:iCs/>
              </w:rPr>
            </w:pPr>
            <w:r w:rsidRPr="008D0139">
              <w:rPr>
                <w:iCs/>
              </w:rPr>
              <w:t>52 (30.2%)</w:t>
            </w:r>
          </w:p>
        </w:tc>
        <w:tc>
          <w:tcPr>
            <w:tcW w:w="2413" w:type="dxa"/>
            <w:tcBorders>
              <w:top w:val="nil"/>
            </w:tcBorders>
          </w:tcPr>
          <w:p w14:paraId="2BA94C4C" w14:textId="77777777" w:rsidR="004154DB" w:rsidRPr="008D0139" w:rsidRDefault="004154DB" w:rsidP="009D7D57">
            <w:pPr>
              <w:pStyle w:val="TableText0"/>
              <w:keepLines/>
              <w:widowControl w:val="0"/>
              <w:jc w:val="center"/>
              <w:rPr>
                <w:iCs/>
              </w:rPr>
            </w:pPr>
            <w:r w:rsidRPr="008D0139">
              <w:rPr>
                <w:iCs/>
              </w:rPr>
              <w:t>11 (12.5%)</w:t>
            </w:r>
          </w:p>
        </w:tc>
      </w:tr>
    </w:tbl>
    <w:p w14:paraId="02BE3C94" w14:textId="77777777" w:rsidR="004154DB" w:rsidRPr="008D0139" w:rsidRDefault="004154DB" w:rsidP="009D7D57">
      <w:pPr>
        <w:pStyle w:val="FooterTableFigure"/>
        <w:keepNext/>
        <w:keepLines/>
        <w:widowControl w:val="0"/>
        <w:rPr>
          <w:iCs/>
        </w:rPr>
      </w:pPr>
      <w:bookmarkStart w:id="55" w:name="_Toc22897643"/>
      <w:bookmarkStart w:id="56" w:name="_Toc107927629"/>
      <w:bookmarkEnd w:id="54"/>
      <w:r w:rsidRPr="008D0139">
        <w:rPr>
          <w:iCs/>
        </w:rPr>
        <w:t>AE=adverse event; SAE=serious adverse event; CRS=cytokine release syndrome; TF=tumour flare; TLS=tumour lysis syndrome; ICANS= Immune effector cell-associated neurotoxicity syndrome; Glofit-GemOx=glofitamab + gemcitabine + oxaliplatin; R-</w:t>
      </w:r>
      <w:proofErr w:type="spellStart"/>
      <w:r w:rsidRPr="008D0139">
        <w:rPr>
          <w:iCs/>
        </w:rPr>
        <w:t>GemOx</w:t>
      </w:r>
      <w:proofErr w:type="spellEnd"/>
      <w:r w:rsidRPr="008D0139">
        <w:rPr>
          <w:iCs/>
        </w:rPr>
        <w:t xml:space="preserve">=rituximab + gemcitabine + oxaliplatin; </w:t>
      </w:r>
      <w:r w:rsidRPr="008D0139">
        <w:rPr>
          <w:rFonts w:eastAsia="Calibri"/>
          <w:iCs/>
        </w:rPr>
        <w:t>CI = confidence interval; N = total participants in group; RR = relative risk</w:t>
      </w:r>
    </w:p>
    <w:p w14:paraId="5726A140" w14:textId="77777777" w:rsidR="004154DB" w:rsidRPr="008D0139" w:rsidRDefault="004154DB" w:rsidP="009D7D57">
      <w:pPr>
        <w:pStyle w:val="FooterTableFigure"/>
        <w:keepNext/>
        <w:keepLines/>
        <w:widowControl w:val="0"/>
        <w:rPr>
          <w:iCs/>
        </w:rPr>
      </w:pPr>
      <w:r w:rsidRPr="008D0139">
        <w:rPr>
          <w:iCs/>
        </w:rPr>
        <w:t xml:space="preserve">Source: Table 2.22, p72 and Table 2.26, p77 of the submission, Table 59, p186 and Table 63, p209 of the Updated glofitamab CSR. </w:t>
      </w:r>
    </w:p>
    <w:p w14:paraId="000509E5" w14:textId="77777777" w:rsidR="004154DB" w:rsidRPr="008D0139" w:rsidRDefault="004154DB" w:rsidP="009D7D57">
      <w:pPr>
        <w:pStyle w:val="FooterTableFigure"/>
        <w:keepNext/>
        <w:keepLines/>
        <w:widowControl w:val="0"/>
        <w:rPr>
          <w:iCs/>
        </w:rPr>
      </w:pPr>
      <w:r w:rsidRPr="008D0139">
        <w:rPr>
          <w:iCs/>
          <w:vertAlign w:val="superscript"/>
        </w:rPr>
        <w:t>a</w:t>
      </w:r>
      <w:r w:rsidRPr="008D0139">
        <w:rPr>
          <w:iCs/>
          <w:vertAlign w:val="superscript"/>
        </w:rPr>
        <w:tab/>
      </w:r>
      <w:r w:rsidRPr="008D0139">
        <w:rPr>
          <w:iCs/>
        </w:rPr>
        <w:t xml:space="preserve">AE is related to glofitamab/rituximab which led to the withdrawal from glofitamab/ rituximab. </w:t>
      </w:r>
    </w:p>
    <w:p w14:paraId="5C59410D" w14:textId="3836F063" w:rsidR="004154DB" w:rsidRPr="008D0139" w:rsidRDefault="004154DB" w:rsidP="0049041C">
      <w:pPr>
        <w:numPr>
          <w:ilvl w:val="1"/>
          <w:numId w:val="1"/>
        </w:numPr>
        <w:spacing w:before="60" w:after="60"/>
        <w:rPr>
          <w:rFonts w:asciiTheme="minorHAnsi" w:hAnsiTheme="minorHAnsi"/>
          <w:iCs/>
          <w:snapToGrid w:val="0"/>
        </w:rPr>
      </w:pPr>
      <w:r w:rsidRPr="008D0139">
        <w:rPr>
          <w:rFonts w:asciiTheme="minorHAnsi" w:hAnsiTheme="minorHAnsi"/>
          <w:iCs/>
          <w:snapToGrid w:val="0"/>
        </w:rPr>
        <w:t>Patients treated with Glofit-GemOx experienced a higher incidence of AEs compared to patients treated with R-</w:t>
      </w:r>
      <w:proofErr w:type="spellStart"/>
      <w:r w:rsidRPr="008D0139">
        <w:rPr>
          <w:rFonts w:asciiTheme="minorHAnsi" w:hAnsiTheme="minorHAnsi"/>
          <w:iCs/>
          <w:snapToGrid w:val="0"/>
        </w:rPr>
        <w:t>GemOx</w:t>
      </w:r>
      <w:proofErr w:type="spellEnd"/>
      <w:r w:rsidR="002761DA" w:rsidRPr="008D0139">
        <w:rPr>
          <w:rFonts w:asciiTheme="minorHAnsi" w:hAnsiTheme="minorHAnsi"/>
          <w:iCs/>
          <w:snapToGrid w:val="0"/>
        </w:rPr>
        <w:t xml:space="preserve">. This was evident for </w:t>
      </w:r>
      <w:r w:rsidRPr="008D0139">
        <w:rPr>
          <w:rFonts w:asciiTheme="minorHAnsi" w:hAnsiTheme="minorHAnsi"/>
          <w:iCs/>
          <w:snapToGrid w:val="0"/>
        </w:rPr>
        <w:t>any AE</w:t>
      </w:r>
      <w:r w:rsidR="002761DA" w:rsidRPr="008D0139">
        <w:rPr>
          <w:rFonts w:asciiTheme="minorHAnsi" w:hAnsiTheme="minorHAnsi"/>
          <w:iCs/>
          <w:snapToGrid w:val="0"/>
        </w:rPr>
        <w:t>s</w:t>
      </w:r>
      <w:r w:rsidRPr="008D0139">
        <w:rPr>
          <w:rFonts w:asciiTheme="minorHAnsi" w:hAnsiTheme="minorHAnsi"/>
          <w:iCs/>
          <w:snapToGrid w:val="0"/>
        </w:rPr>
        <w:t xml:space="preserve">, SAEs, </w:t>
      </w:r>
      <w:r w:rsidR="00BA2241" w:rsidRPr="008D0139">
        <w:rPr>
          <w:rFonts w:asciiTheme="minorHAnsi" w:hAnsiTheme="minorHAnsi"/>
          <w:iCs/>
          <w:snapToGrid w:val="0"/>
        </w:rPr>
        <w:t>G</w:t>
      </w:r>
      <w:r w:rsidRPr="008D0139">
        <w:rPr>
          <w:rFonts w:asciiTheme="minorHAnsi" w:hAnsiTheme="minorHAnsi"/>
          <w:iCs/>
          <w:snapToGrid w:val="0"/>
        </w:rPr>
        <w:t>rade 3-5 AEs, AEs of special interest and AEs leading to treatment discontinuation or dose interruption. Common AEs occurring more frequently in the Glofit-GemOx arm included CRS, anaemia, increased AST, reduced neutrophil count and pyrexia. CRS occurred exclusively in the Glofit-GemOx arm, with the majority of cases being Grade 1 or 2. Other AEs of special interest occurring more frequently in the Glofit-GemOx arm were serious infections and neurological adverse events (Grade ≥2).</w:t>
      </w:r>
    </w:p>
    <w:p w14:paraId="672165AA" w14:textId="09E08DC3" w:rsidR="004154DB" w:rsidRPr="008D0139" w:rsidRDefault="004154DB" w:rsidP="0049041C">
      <w:pPr>
        <w:numPr>
          <w:ilvl w:val="1"/>
          <w:numId w:val="1"/>
        </w:numPr>
        <w:spacing w:before="60" w:after="60"/>
        <w:rPr>
          <w:rFonts w:asciiTheme="minorHAnsi" w:hAnsiTheme="minorHAnsi"/>
          <w:iCs/>
          <w:snapToGrid w:val="0"/>
        </w:rPr>
      </w:pPr>
      <w:r w:rsidRPr="008D0139">
        <w:rPr>
          <w:rFonts w:asciiTheme="minorHAnsi" w:hAnsiTheme="minorHAnsi"/>
          <w:iCs/>
          <w:snapToGrid w:val="0"/>
        </w:rPr>
        <w:t xml:space="preserve">The submission noted that treatment exposure differed considerably across the treatment arms, with patients randomised to the Glofit-GemOx </w:t>
      </w:r>
      <w:r w:rsidR="00C92543" w:rsidRPr="008D0139">
        <w:rPr>
          <w:rFonts w:asciiTheme="minorHAnsi" w:hAnsiTheme="minorHAnsi"/>
          <w:iCs/>
          <w:snapToGrid w:val="0"/>
        </w:rPr>
        <w:t xml:space="preserve">arm </w:t>
      </w:r>
      <w:r w:rsidRPr="008D0139">
        <w:rPr>
          <w:rFonts w:asciiTheme="minorHAnsi" w:hAnsiTheme="minorHAnsi"/>
          <w:iCs/>
          <w:snapToGrid w:val="0"/>
        </w:rPr>
        <w:t xml:space="preserve">receiving more treatment cycles of (i) glofitamab compared to rituximab (mean of 8.5 vs 4.4), (ii) gemcitabine (mean of 6.3 vs 4.4), and (iii) oxaliplatin (mean 6.2 vs 4.4). After adjusting for exposure, the submission </w:t>
      </w:r>
      <w:r w:rsidR="00BE5793" w:rsidRPr="008D0139">
        <w:rPr>
          <w:rFonts w:asciiTheme="minorHAnsi" w:hAnsiTheme="minorHAnsi"/>
          <w:iCs/>
          <w:snapToGrid w:val="0"/>
        </w:rPr>
        <w:t xml:space="preserve">stated </w:t>
      </w:r>
      <w:r w:rsidRPr="008D0139">
        <w:rPr>
          <w:rFonts w:asciiTheme="minorHAnsi" w:hAnsiTheme="minorHAnsi"/>
          <w:iCs/>
          <w:snapToGrid w:val="0"/>
        </w:rPr>
        <w:t>that adverse event rates were similar between the treatment groups.</w:t>
      </w:r>
      <w:r w:rsidR="00E53DD2" w:rsidRPr="008D0139">
        <w:rPr>
          <w:rFonts w:asciiTheme="minorHAnsi" w:hAnsiTheme="minorHAnsi"/>
          <w:iCs/>
          <w:snapToGrid w:val="0"/>
        </w:rPr>
        <w:t xml:space="preserve"> Although the exposure-adjusted rate of AEs was similar, patients treated with Glofit-GemOx received substantially more treatment cycles, and more AEs overall.</w:t>
      </w:r>
    </w:p>
    <w:p w14:paraId="07461F93" w14:textId="77777777" w:rsidR="004154DB" w:rsidRPr="00C9624D" w:rsidRDefault="004154DB" w:rsidP="004154DB">
      <w:pPr>
        <w:pStyle w:val="4-SubsectionHeading"/>
      </w:pPr>
      <w:bookmarkStart w:id="57" w:name="_Toc198716600"/>
      <w:r w:rsidRPr="00C9624D">
        <w:t>Benefits/harms</w:t>
      </w:r>
      <w:bookmarkEnd w:id="55"/>
      <w:bookmarkEnd w:id="56"/>
      <w:bookmarkEnd w:id="57"/>
    </w:p>
    <w:p w14:paraId="283604B3" w14:textId="41A64C61" w:rsidR="004154DB" w:rsidRPr="00C206C6" w:rsidRDefault="004154DB" w:rsidP="00C206C6">
      <w:pPr>
        <w:numPr>
          <w:ilvl w:val="1"/>
          <w:numId w:val="1"/>
        </w:numPr>
        <w:spacing w:before="60" w:after="60"/>
        <w:rPr>
          <w:rFonts w:asciiTheme="minorHAnsi" w:hAnsiTheme="minorHAnsi"/>
          <w:b/>
          <w:iCs/>
          <w:snapToGrid w:val="0"/>
        </w:rPr>
      </w:pPr>
      <w:r w:rsidRPr="00C206C6">
        <w:rPr>
          <w:rFonts w:asciiTheme="minorHAnsi" w:hAnsiTheme="minorHAnsi"/>
          <w:iCs/>
          <w:snapToGrid w:val="0"/>
        </w:rPr>
        <w:t>A summary of the comparative benefits and harms for Glofit-GemOx versus R-</w:t>
      </w:r>
      <w:proofErr w:type="spellStart"/>
      <w:r w:rsidRPr="00C206C6">
        <w:rPr>
          <w:rFonts w:asciiTheme="minorHAnsi" w:hAnsiTheme="minorHAnsi"/>
          <w:iCs/>
          <w:snapToGrid w:val="0"/>
        </w:rPr>
        <w:t>GemOx</w:t>
      </w:r>
      <w:proofErr w:type="spellEnd"/>
      <w:r w:rsidRPr="00C206C6">
        <w:rPr>
          <w:rFonts w:asciiTheme="minorHAnsi" w:hAnsiTheme="minorHAnsi"/>
          <w:iCs/>
          <w:snapToGrid w:val="0"/>
        </w:rPr>
        <w:t xml:space="preserve"> is presented in </w:t>
      </w:r>
      <w:r w:rsidRPr="00C206C6">
        <w:rPr>
          <w:rFonts w:asciiTheme="minorHAnsi" w:hAnsiTheme="minorHAnsi"/>
          <w:iCs/>
          <w:snapToGrid w:val="0"/>
        </w:rPr>
        <w:fldChar w:fldCharType="begin" w:fldLock="1"/>
      </w:r>
      <w:r w:rsidRPr="00C206C6">
        <w:rPr>
          <w:rFonts w:asciiTheme="minorHAnsi" w:hAnsiTheme="minorHAnsi"/>
          <w:iCs/>
          <w:snapToGrid w:val="0"/>
        </w:rPr>
        <w:instrText xml:space="preserve"> REF _Ref196731012 \h </w:instrText>
      </w:r>
      <w:r w:rsidR="00C206C6">
        <w:rPr>
          <w:rFonts w:asciiTheme="minorHAnsi" w:hAnsiTheme="minorHAnsi"/>
          <w:iCs/>
          <w:snapToGrid w:val="0"/>
        </w:rPr>
        <w:instrText xml:space="preserve"> \* MERGEFORMAT </w:instrText>
      </w:r>
      <w:r w:rsidRPr="00C206C6">
        <w:rPr>
          <w:rFonts w:asciiTheme="minorHAnsi" w:hAnsiTheme="minorHAnsi"/>
          <w:iCs/>
          <w:snapToGrid w:val="0"/>
        </w:rPr>
      </w:r>
      <w:r w:rsidRPr="00C206C6">
        <w:rPr>
          <w:rFonts w:asciiTheme="minorHAnsi" w:hAnsiTheme="minorHAnsi"/>
          <w:iCs/>
          <w:snapToGrid w:val="0"/>
        </w:rPr>
        <w:fldChar w:fldCharType="separate"/>
      </w:r>
      <w:r w:rsidR="003C21E7" w:rsidRPr="003C21E7">
        <w:rPr>
          <w:rFonts w:asciiTheme="minorHAnsi" w:hAnsiTheme="minorHAnsi"/>
          <w:iCs/>
          <w:snapToGrid w:val="0"/>
        </w:rPr>
        <w:t>Table 8</w:t>
      </w:r>
      <w:r w:rsidRPr="00C206C6">
        <w:rPr>
          <w:rFonts w:asciiTheme="minorHAnsi" w:hAnsiTheme="minorHAnsi"/>
          <w:iCs/>
          <w:snapToGrid w:val="0"/>
        </w:rPr>
        <w:fldChar w:fldCharType="end"/>
      </w:r>
      <w:r w:rsidRPr="00C206C6">
        <w:rPr>
          <w:rFonts w:asciiTheme="minorHAnsi" w:hAnsiTheme="minorHAnsi"/>
          <w:iCs/>
          <w:snapToGrid w:val="0"/>
        </w:rPr>
        <w:t>.</w:t>
      </w:r>
    </w:p>
    <w:p w14:paraId="3B5F06A4" w14:textId="1B7F0CD1" w:rsidR="004154DB" w:rsidRPr="00D2155B" w:rsidRDefault="004154DB" w:rsidP="004154DB">
      <w:pPr>
        <w:pStyle w:val="Caption"/>
        <w:rPr>
          <w:rStyle w:val="CommentReference"/>
          <w:b/>
          <w:szCs w:val="24"/>
        </w:rPr>
      </w:pPr>
      <w:bookmarkStart w:id="58" w:name="_Ref196731012"/>
      <w:bookmarkStart w:id="59" w:name="_Ref104805037"/>
      <w:r>
        <w:t xml:space="preserve">Table </w:t>
      </w:r>
      <w:r w:rsidR="00F257F5">
        <w:fldChar w:fldCharType="begin" w:fldLock="1"/>
      </w:r>
      <w:r w:rsidR="00F257F5">
        <w:instrText xml:space="preserve"> SEQ Table \* ARABIC </w:instrText>
      </w:r>
      <w:r w:rsidR="00F257F5">
        <w:fldChar w:fldCharType="separate"/>
      </w:r>
      <w:r w:rsidR="003C21E7">
        <w:rPr>
          <w:noProof/>
        </w:rPr>
        <w:t>8</w:t>
      </w:r>
      <w:r w:rsidR="00F257F5">
        <w:rPr>
          <w:noProof/>
        </w:rPr>
        <w:fldChar w:fldCharType="end"/>
      </w:r>
      <w:bookmarkEnd w:id="58"/>
      <w:bookmarkEnd w:id="59"/>
      <w:r>
        <w:t xml:space="preserve">: </w:t>
      </w:r>
      <w:r w:rsidRPr="00D2155B">
        <w:rPr>
          <w:rStyle w:val="CommentReference"/>
          <w:b/>
          <w:szCs w:val="24"/>
        </w:rPr>
        <w:t xml:space="preserve">Summary of comparative benefits and harms for </w:t>
      </w:r>
      <w:r>
        <w:rPr>
          <w:rStyle w:val="CommentReference"/>
          <w:b/>
          <w:szCs w:val="24"/>
        </w:rPr>
        <w:t>Glofit-GemOx and R-</w:t>
      </w:r>
      <w:proofErr w:type="spellStart"/>
      <w:r>
        <w:rPr>
          <w:rStyle w:val="CommentReference"/>
          <w:b/>
          <w:szCs w:val="24"/>
        </w:rPr>
        <w:t>GemOx</w:t>
      </w:r>
      <w:proofErr w:type="spellEnd"/>
      <w:r>
        <w:rPr>
          <w:rStyle w:val="CommentReference"/>
          <w:b/>
          <w:szCs w:val="24"/>
        </w:rPr>
        <w:t>: ITT / safety population</w:t>
      </w:r>
    </w:p>
    <w:tbl>
      <w:tblPr>
        <w:tblStyle w:val="TableGrid"/>
        <w:tblW w:w="5000" w:type="pct"/>
        <w:tblLayout w:type="fixed"/>
        <w:tblCellMar>
          <w:left w:w="28" w:type="dxa"/>
          <w:right w:w="28" w:type="dxa"/>
        </w:tblCellMar>
        <w:tblLook w:val="04A0" w:firstRow="1" w:lastRow="0" w:firstColumn="1" w:lastColumn="0" w:noHBand="0" w:noVBand="1"/>
        <w:tblCaption w:val="Table 8: Summary of comparative benefits and harms for Glofit-GemOx and R-GemOx: ITT / safety population"/>
      </w:tblPr>
      <w:tblGrid>
        <w:gridCol w:w="2464"/>
        <w:gridCol w:w="1446"/>
        <w:gridCol w:w="1529"/>
        <w:gridCol w:w="1991"/>
        <w:gridCol w:w="1587"/>
      </w:tblGrid>
      <w:tr w:rsidR="004154DB" w:rsidRPr="00511320" w14:paraId="77C8E7DD" w14:textId="77777777" w:rsidTr="00B20B07">
        <w:trPr>
          <w:trHeight w:val="20"/>
        </w:trPr>
        <w:tc>
          <w:tcPr>
            <w:tcW w:w="1366" w:type="pct"/>
            <w:tcBorders>
              <w:top w:val="single" w:sz="4" w:space="0" w:color="auto"/>
              <w:left w:val="single" w:sz="4" w:space="0" w:color="auto"/>
              <w:bottom w:val="single" w:sz="4" w:space="0" w:color="auto"/>
              <w:right w:val="single" w:sz="4" w:space="0" w:color="auto"/>
            </w:tcBorders>
          </w:tcPr>
          <w:p w14:paraId="478EA396" w14:textId="77777777" w:rsidR="004154DB" w:rsidRPr="00A05A2B" w:rsidRDefault="004154DB" w:rsidP="00F274C6">
            <w:pPr>
              <w:pStyle w:val="TableText0"/>
              <w:keepLines/>
              <w:widowControl w:val="0"/>
              <w:rPr>
                <w:b/>
              </w:rPr>
            </w:pPr>
            <w:r w:rsidRPr="00A05A2B">
              <w:rPr>
                <w:b/>
              </w:rPr>
              <w:t xml:space="preserve">Event </w:t>
            </w:r>
          </w:p>
        </w:tc>
        <w:tc>
          <w:tcPr>
            <w:tcW w:w="802" w:type="pct"/>
            <w:tcBorders>
              <w:top w:val="single" w:sz="4" w:space="0" w:color="auto"/>
              <w:left w:val="single" w:sz="4" w:space="0" w:color="auto"/>
              <w:bottom w:val="single" w:sz="4" w:space="0" w:color="auto"/>
              <w:right w:val="single" w:sz="4" w:space="0" w:color="auto"/>
            </w:tcBorders>
            <w:vAlign w:val="center"/>
          </w:tcPr>
          <w:p w14:paraId="46267B72" w14:textId="77777777" w:rsidR="004154DB" w:rsidRPr="00A05A2B" w:rsidRDefault="004154DB" w:rsidP="00F274C6">
            <w:pPr>
              <w:pStyle w:val="TableText0"/>
              <w:keepLines/>
              <w:widowControl w:val="0"/>
              <w:jc w:val="center"/>
              <w:rPr>
                <w:rFonts w:cs="Times New Roman"/>
                <w:b/>
                <w:szCs w:val="20"/>
              </w:rPr>
            </w:pPr>
            <w:r w:rsidRPr="00A05A2B">
              <w:rPr>
                <w:b/>
              </w:rPr>
              <w:t>Glofit-GemOx</w:t>
            </w:r>
          </w:p>
        </w:tc>
        <w:tc>
          <w:tcPr>
            <w:tcW w:w="848" w:type="pct"/>
            <w:tcBorders>
              <w:top w:val="single" w:sz="4" w:space="0" w:color="auto"/>
              <w:left w:val="single" w:sz="4" w:space="0" w:color="auto"/>
              <w:bottom w:val="single" w:sz="4" w:space="0" w:color="auto"/>
              <w:right w:val="single" w:sz="4" w:space="0" w:color="auto"/>
            </w:tcBorders>
            <w:vAlign w:val="center"/>
          </w:tcPr>
          <w:p w14:paraId="4D5AA8F8" w14:textId="77777777" w:rsidR="004154DB" w:rsidRPr="00A05A2B" w:rsidRDefault="004154DB" w:rsidP="00F274C6">
            <w:pPr>
              <w:pStyle w:val="TableText0"/>
              <w:keepLines/>
              <w:widowControl w:val="0"/>
              <w:jc w:val="center"/>
              <w:rPr>
                <w:rFonts w:cs="Times New Roman"/>
                <w:b/>
                <w:szCs w:val="20"/>
              </w:rPr>
            </w:pPr>
            <w:r w:rsidRPr="00A05A2B">
              <w:rPr>
                <w:b/>
              </w:rPr>
              <w:t>R-</w:t>
            </w:r>
            <w:proofErr w:type="spellStart"/>
            <w:r w:rsidRPr="00A05A2B">
              <w:rPr>
                <w:b/>
              </w:rPr>
              <w:t>GemOx</w:t>
            </w:r>
            <w:proofErr w:type="spellEnd"/>
          </w:p>
        </w:tc>
        <w:tc>
          <w:tcPr>
            <w:tcW w:w="1104" w:type="pct"/>
            <w:tcBorders>
              <w:top w:val="single" w:sz="4" w:space="0" w:color="auto"/>
              <w:left w:val="single" w:sz="4" w:space="0" w:color="auto"/>
              <w:bottom w:val="single" w:sz="4" w:space="0" w:color="auto"/>
              <w:right w:val="single" w:sz="4" w:space="0" w:color="auto"/>
            </w:tcBorders>
          </w:tcPr>
          <w:p w14:paraId="2A1102CB" w14:textId="77777777" w:rsidR="004154DB" w:rsidRPr="00A05A2B" w:rsidRDefault="004154DB" w:rsidP="00F274C6">
            <w:pPr>
              <w:pStyle w:val="TableText0"/>
              <w:keepLines/>
              <w:widowControl w:val="0"/>
              <w:jc w:val="center"/>
              <w:rPr>
                <w:b/>
              </w:rPr>
            </w:pPr>
            <w:r w:rsidRPr="00A05A2B">
              <w:rPr>
                <w:b/>
              </w:rPr>
              <w:t>Absolute Difference</w:t>
            </w:r>
          </w:p>
        </w:tc>
        <w:tc>
          <w:tcPr>
            <w:tcW w:w="880" w:type="pct"/>
            <w:tcBorders>
              <w:top w:val="single" w:sz="4" w:space="0" w:color="auto"/>
              <w:left w:val="single" w:sz="4" w:space="0" w:color="auto"/>
              <w:bottom w:val="single" w:sz="4" w:space="0" w:color="auto"/>
              <w:right w:val="single" w:sz="4" w:space="0" w:color="auto"/>
            </w:tcBorders>
          </w:tcPr>
          <w:p w14:paraId="69A4F146" w14:textId="77777777" w:rsidR="004154DB" w:rsidRPr="00A05A2B" w:rsidRDefault="004154DB" w:rsidP="00F274C6">
            <w:pPr>
              <w:pStyle w:val="TableText0"/>
              <w:keepLines/>
              <w:widowControl w:val="0"/>
              <w:jc w:val="center"/>
              <w:rPr>
                <w:b/>
                <w:szCs w:val="20"/>
              </w:rPr>
            </w:pPr>
            <w:r w:rsidRPr="00A05A2B">
              <w:rPr>
                <w:b/>
                <w:szCs w:val="20"/>
              </w:rPr>
              <w:t>HR (95% CI)</w:t>
            </w:r>
          </w:p>
        </w:tc>
      </w:tr>
      <w:tr w:rsidR="004154DB" w:rsidRPr="00511320" w14:paraId="08C592F4" w14:textId="77777777" w:rsidTr="00F274C6">
        <w:trPr>
          <w:trHeight w:val="20"/>
        </w:trPr>
        <w:tc>
          <w:tcPr>
            <w:tcW w:w="5000" w:type="pct"/>
            <w:gridSpan w:val="5"/>
            <w:tcBorders>
              <w:top w:val="single" w:sz="4" w:space="0" w:color="auto"/>
              <w:left w:val="single" w:sz="4" w:space="0" w:color="auto"/>
              <w:bottom w:val="double" w:sz="4" w:space="0" w:color="auto"/>
              <w:right w:val="single" w:sz="4" w:space="0" w:color="auto"/>
            </w:tcBorders>
          </w:tcPr>
          <w:p w14:paraId="7173F687" w14:textId="77777777" w:rsidR="004154DB" w:rsidRPr="00C67006" w:rsidRDefault="004154DB" w:rsidP="00F274C6">
            <w:pPr>
              <w:pStyle w:val="TableText0"/>
              <w:keepLines/>
              <w:widowControl w:val="0"/>
              <w:rPr>
                <w:szCs w:val="20"/>
              </w:rPr>
            </w:pPr>
            <w:r w:rsidRPr="00A05A2B">
              <w:rPr>
                <w:b/>
              </w:rPr>
              <w:t>Benefits</w:t>
            </w:r>
          </w:p>
        </w:tc>
      </w:tr>
      <w:tr w:rsidR="004154DB" w:rsidRPr="00511320" w14:paraId="7D068364" w14:textId="77777777" w:rsidTr="00F274C6">
        <w:trPr>
          <w:trHeight w:val="20"/>
        </w:trPr>
        <w:tc>
          <w:tcPr>
            <w:tcW w:w="5000" w:type="pct"/>
            <w:gridSpan w:val="5"/>
            <w:tcBorders>
              <w:top w:val="double" w:sz="4" w:space="0" w:color="auto"/>
              <w:left w:val="single" w:sz="4" w:space="0" w:color="auto"/>
              <w:bottom w:val="single" w:sz="4" w:space="0" w:color="auto"/>
              <w:right w:val="single" w:sz="4" w:space="0" w:color="auto"/>
            </w:tcBorders>
          </w:tcPr>
          <w:p w14:paraId="1EA36280" w14:textId="77777777" w:rsidR="004154DB" w:rsidRPr="00C67006" w:rsidRDefault="004154DB" w:rsidP="00F274C6">
            <w:pPr>
              <w:pStyle w:val="TableText0"/>
              <w:keepLines/>
              <w:widowControl w:val="0"/>
              <w:rPr>
                <w:szCs w:val="20"/>
              </w:rPr>
            </w:pPr>
            <w:r w:rsidRPr="00A05A2B">
              <w:rPr>
                <w:b/>
              </w:rPr>
              <w:t xml:space="preserve">Overall survival (median duration of follow </w:t>
            </w:r>
            <w:r w:rsidRPr="00BB4976">
              <w:rPr>
                <w:b/>
              </w:rPr>
              <w:t>up 20.7</w:t>
            </w:r>
            <w:r w:rsidRPr="00A05A2B">
              <w:rPr>
                <w:b/>
              </w:rPr>
              <w:t xml:space="preserve"> months)</w:t>
            </w:r>
          </w:p>
        </w:tc>
      </w:tr>
      <w:tr w:rsidR="004154DB" w:rsidRPr="00E2398D" w14:paraId="6A05BA85" w14:textId="77777777" w:rsidTr="00B20B07">
        <w:trPr>
          <w:trHeight w:val="20"/>
        </w:trPr>
        <w:tc>
          <w:tcPr>
            <w:tcW w:w="1366" w:type="pct"/>
            <w:tcBorders>
              <w:top w:val="single" w:sz="4" w:space="0" w:color="auto"/>
              <w:left w:val="single" w:sz="4" w:space="0" w:color="auto"/>
              <w:bottom w:val="nil"/>
              <w:right w:val="single" w:sz="4" w:space="0" w:color="auto"/>
            </w:tcBorders>
          </w:tcPr>
          <w:p w14:paraId="7DEB8AAF" w14:textId="77777777" w:rsidR="004154DB" w:rsidRPr="00E2398D" w:rsidRDefault="004154DB" w:rsidP="00F274C6">
            <w:pPr>
              <w:pStyle w:val="TableText0"/>
              <w:keepLines/>
              <w:widowControl w:val="0"/>
            </w:pPr>
            <w:r w:rsidRPr="00E2398D">
              <w:t xml:space="preserve">Deaths, n/N (%) </w:t>
            </w:r>
          </w:p>
        </w:tc>
        <w:tc>
          <w:tcPr>
            <w:tcW w:w="802" w:type="pct"/>
            <w:tcBorders>
              <w:top w:val="single" w:sz="4" w:space="0" w:color="auto"/>
              <w:left w:val="single" w:sz="4" w:space="0" w:color="auto"/>
              <w:bottom w:val="nil"/>
              <w:right w:val="single" w:sz="4" w:space="0" w:color="auto"/>
            </w:tcBorders>
            <w:vAlign w:val="center"/>
          </w:tcPr>
          <w:p w14:paraId="5034696A" w14:textId="77777777" w:rsidR="004154DB" w:rsidRPr="00E2398D" w:rsidRDefault="004154DB" w:rsidP="00F274C6">
            <w:pPr>
              <w:pStyle w:val="TableText0"/>
              <w:keepLines/>
              <w:widowControl w:val="0"/>
              <w:jc w:val="center"/>
            </w:pPr>
            <w:r w:rsidRPr="00E2398D">
              <w:t>80/183 (43.7)</w:t>
            </w:r>
          </w:p>
        </w:tc>
        <w:tc>
          <w:tcPr>
            <w:tcW w:w="848" w:type="pct"/>
            <w:tcBorders>
              <w:top w:val="single" w:sz="4" w:space="0" w:color="auto"/>
              <w:left w:val="single" w:sz="4" w:space="0" w:color="auto"/>
              <w:bottom w:val="nil"/>
              <w:right w:val="single" w:sz="4" w:space="0" w:color="auto"/>
            </w:tcBorders>
            <w:vAlign w:val="center"/>
          </w:tcPr>
          <w:p w14:paraId="05BCDB82" w14:textId="77777777" w:rsidR="004154DB" w:rsidRPr="00E2398D" w:rsidRDefault="004154DB" w:rsidP="00F274C6">
            <w:pPr>
              <w:pStyle w:val="TableText0"/>
              <w:keepLines/>
              <w:widowControl w:val="0"/>
              <w:jc w:val="center"/>
            </w:pPr>
            <w:r w:rsidRPr="00E2398D">
              <w:t>52/91 (57.1)</w:t>
            </w:r>
          </w:p>
        </w:tc>
        <w:tc>
          <w:tcPr>
            <w:tcW w:w="1104" w:type="pct"/>
            <w:tcBorders>
              <w:top w:val="single" w:sz="4" w:space="0" w:color="auto"/>
              <w:left w:val="single" w:sz="4" w:space="0" w:color="auto"/>
              <w:bottom w:val="nil"/>
              <w:right w:val="single" w:sz="4" w:space="0" w:color="auto"/>
            </w:tcBorders>
          </w:tcPr>
          <w:p w14:paraId="393DAF18" w14:textId="77777777" w:rsidR="004154DB" w:rsidRPr="00E2398D" w:rsidRDefault="004154DB" w:rsidP="00F274C6">
            <w:pPr>
              <w:pStyle w:val="TableText0"/>
              <w:keepLines/>
              <w:widowControl w:val="0"/>
              <w:jc w:val="center"/>
            </w:pPr>
            <w:r w:rsidRPr="00E2398D">
              <w:t>-13.4%</w:t>
            </w:r>
          </w:p>
        </w:tc>
        <w:tc>
          <w:tcPr>
            <w:tcW w:w="880" w:type="pct"/>
            <w:vMerge w:val="restart"/>
            <w:tcBorders>
              <w:top w:val="single" w:sz="4" w:space="0" w:color="auto"/>
              <w:left w:val="single" w:sz="4" w:space="0" w:color="auto"/>
              <w:right w:val="single" w:sz="4" w:space="0" w:color="auto"/>
            </w:tcBorders>
            <w:vAlign w:val="center"/>
          </w:tcPr>
          <w:p w14:paraId="0E72ED49" w14:textId="77777777" w:rsidR="004154DB" w:rsidRPr="00E2398D" w:rsidRDefault="004154DB" w:rsidP="00F274C6">
            <w:pPr>
              <w:pStyle w:val="TableText0"/>
              <w:keepLines/>
              <w:widowControl w:val="0"/>
              <w:jc w:val="center"/>
            </w:pPr>
            <w:r w:rsidRPr="00E2398D">
              <w:rPr>
                <w:b/>
              </w:rPr>
              <w:t>0.62 (0.43, 0.88)</w:t>
            </w:r>
          </w:p>
        </w:tc>
      </w:tr>
      <w:tr w:rsidR="004154DB" w:rsidRPr="00E2398D" w14:paraId="36BFE80D" w14:textId="77777777" w:rsidTr="00B20B07">
        <w:trPr>
          <w:trHeight w:val="20"/>
        </w:trPr>
        <w:tc>
          <w:tcPr>
            <w:tcW w:w="1366" w:type="pct"/>
            <w:tcBorders>
              <w:top w:val="nil"/>
              <w:left w:val="single" w:sz="4" w:space="0" w:color="auto"/>
              <w:bottom w:val="nil"/>
              <w:right w:val="single" w:sz="4" w:space="0" w:color="auto"/>
            </w:tcBorders>
          </w:tcPr>
          <w:p w14:paraId="78D17893" w14:textId="77777777" w:rsidR="004154DB" w:rsidRPr="00E2398D" w:rsidRDefault="004154DB" w:rsidP="00F274C6">
            <w:pPr>
              <w:pStyle w:val="TableText0"/>
              <w:keepLines/>
              <w:widowControl w:val="0"/>
            </w:pPr>
            <w:r w:rsidRPr="00E2398D">
              <w:t>Median OS, months (95% CI)</w:t>
            </w:r>
          </w:p>
        </w:tc>
        <w:tc>
          <w:tcPr>
            <w:tcW w:w="802" w:type="pct"/>
            <w:tcBorders>
              <w:top w:val="nil"/>
              <w:left w:val="single" w:sz="4" w:space="0" w:color="auto"/>
              <w:bottom w:val="nil"/>
              <w:right w:val="single" w:sz="4" w:space="0" w:color="auto"/>
            </w:tcBorders>
          </w:tcPr>
          <w:p w14:paraId="170B8DB3" w14:textId="77777777" w:rsidR="004154DB" w:rsidRPr="00E2398D" w:rsidRDefault="004154DB" w:rsidP="00F274C6">
            <w:pPr>
              <w:pStyle w:val="TableText0"/>
              <w:keepLines/>
              <w:widowControl w:val="0"/>
              <w:jc w:val="center"/>
              <w:rPr>
                <w:rFonts w:cs="Times New Roman"/>
                <w:szCs w:val="20"/>
              </w:rPr>
            </w:pPr>
            <w:r w:rsidRPr="00E2398D">
              <w:t>25.5 (18.3, NE)</w:t>
            </w:r>
          </w:p>
        </w:tc>
        <w:tc>
          <w:tcPr>
            <w:tcW w:w="848" w:type="pct"/>
            <w:tcBorders>
              <w:top w:val="nil"/>
              <w:left w:val="single" w:sz="4" w:space="0" w:color="auto"/>
              <w:bottom w:val="nil"/>
              <w:right w:val="single" w:sz="4" w:space="0" w:color="auto"/>
            </w:tcBorders>
          </w:tcPr>
          <w:p w14:paraId="3147CDE4" w14:textId="77777777" w:rsidR="004154DB" w:rsidRPr="00E2398D" w:rsidRDefault="004154DB" w:rsidP="00F274C6">
            <w:pPr>
              <w:pStyle w:val="TableText0"/>
              <w:keepLines/>
              <w:widowControl w:val="0"/>
              <w:jc w:val="center"/>
              <w:rPr>
                <w:rFonts w:cs="Times New Roman"/>
                <w:szCs w:val="20"/>
              </w:rPr>
            </w:pPr>
            <w:r w:rsidRPr="00E2398D">
              <w:t>12.9 (7.9, 18.5)</w:t>
            </w:r>
          </w:p>
        </w:tc>
        <w:tc>
          <w:tcPr>
            <w:tcW w:w="1104" w:type="pct"/>
            <w:tcBorders>
              <w:top w:val="nil"/>
              <w:left w:val="single" w:sz="4" w:space="0" w:color="auto"/>
              <w:bottom w:val="nil"/>
              <w:right w:val="single" w:sz="4" w:space="0" w:color="auto"/>
            </w:tcBorders>
          </w:tcPr>
          <w:p w14:paraId="2AB270B5" w14:textId="77777777" w:rsidR="004154DB" w:rsidRPr="00E2398D" w:rsidRDefault="004154DB" w:rsidP="00F274C6">
            <w:pPr>
              <w:pStyle w:val="TableText0"/>
              <w:keepLines/>
              <w:widowControl w:val="0"/>
              <w:jc w:val="center"/>
            </w:pPr>
            <w:r w:rsidRPr="00E2398D">
              <w:t>12.6 months</w:t>
            </w:r>
          </w:p>
        </w:tc>
        <w:tc>
          <w:tcPr>
            <w:tcW w:w="880" w:type="pct"/>
            <w:vMerge/>
            <w:tcBorders>
              <w:left w:val="single" w:sz="4" w:space="0" w:color="auto"/>
              <w:right w:val="single" w:sz="4" w:space="0" w:color="auto"/>
            </w:tcBorders>
          </w:tcPr>
          <w:p w14:paraId="1A9A912B" w14:textId="77777777" w:rsidR="004154DB" w:rsidRPr="00E2398D" w:rsidRDefault="004154DB" w:rsidP="00F274C6">
            <w:pPr>
              <w:pStyle w:val="TableText0"/>
              <w:keepLines/>
              <w:widowControl w:val="0"/>
              <w:jc w:val="center"/>
              <w:rPr>
                <w:szCs w:val="20"/>
              </w:rPr>
            </w:pPr>
          </w:p>
        </w:tc>
      </w:tr>
      <w:tr w:rsidR="004154DB" w:rsidRPr="00E2398D" w14:paraId="57986A59" w14:textId="77777777" w:rsidTr="00B20B07">
        <w:trPr>
          <w:trHeight w:val="20"/>
        </w:trPr>
        <w:tc>
          <w:tcPr>
            <w:tcW w:w="1366" w:type="pct"/>
            <w:tcBorders>
              <w:top w:val="nil"/>
              <w:left w:val="single" w:sz="4" w:space="0" w:color="auto"/>
              <w:bottom w:val="nil"/>
              <w:right w:val="single" w:sz="4" w:space="0" w:color="auto"/>
            </w:tcBorders>
          </w:tcPr>
          <w:p w14:paraId="7B3614DC" w14:textId="77777777" w:rsidR="004154DB" w:rsidRPr="00E2398D" w:rsidRDefault="004154DB" w:rsidP="00F274C6">
            <w:pPr>
              <w:pStyle w:val="TableText0"/>
              <w:keepLines/>
              <w:widowControl w:val="0"/>
            </w:pPr>
            <w:r w:rsidRPr="00E2398D">
              <w:t>OS at 12 months, % (95% CI)</w:t>
            </w:r>
          </w:p>
        </w:tc>
        <w:tc>
          <w:tcPr>
            <w:tcW w:w="802" w:type="pct"/>
            <w:tcBorders>
              <w:top w:val="nil"/>
              <w:left w:val="single" w:sz="4" w:space="0" w:color="auto"/>
              <w:bottom w:val="nil"/>
              <w:right w:val="single" w:sz="4" w:space="0" w:color="auto"/>
            </w:tcBorders>
          </w:tcPr>
          <w:p w14:paraId="64CB2977" w14:textId="77777777" w:rsidR="004154DB" w:rsidRPr="00E2398D" w:rsidRDefault="004154DB" w:rsidP="00F274C6">
            <w:pPr>
              <w:pStyle w:val="TableText0"/>
              <w:keepLines/>
              <w:widowControl w:val="0"/>
              <w:jc w:val="center"/>
            </w:pPr>
            <w:r w:rsidRPr="00E2398D">
              <w:t>62.9 (55.7, 70.0)</w:t>
            </w:r>
          </w:p>
        </w:tc>
        <w:tc>
          <w:tcPr>
            <w:tcW w:w="848" w:type="pct"/>
            <w:tcBorders>
              <w:top w:val="nil"/>
              <w:left w:val="single" w:sz="4" w:space="0" w:color="auto"/>
              <w:bottom w:val="nil"/>
              <w:right w:val="single" w:sz="4" w:space="0" w:color="auto"/>
            </w:tcBorders>
          </w:tcPr>
          <w:p w14:paraId="6102A9A6" w14:textId="77777777" w:rsidR="004154DB" w:rsidRPr="00E2398D" w:rsidRDefault="004154DB" w:rsidP="00F274C6">
            <w:pPr>
              <w:pStyle w:val="TableText0"/>
              <w:keepLines/>
              <w:widowControl w:val="0"/>
              <w:jc w:val="center"/>
            </w:pPr>
            <w:r w:rsidRPr="00E2398D">
              <w:t>52.5 (41.6, 63.3)</w:t>
            </w:r>
          </w:p>
        </w:tc>
        <w:tc>
          <w:tcPr>
            <w:tcW w:w="1104" w:type="pct"/>
            <w:tcBorders>
              <w:top w:val="nil"/>
              <w:left w:val="single" w:sz="4" w:space="0" w:color="auto"/>
              <w:bottom w:val="nil"/>
              <w:right w:val="single" w:sz="4" w:space="0" w:color="auto"/>
            </w:tcBorders>
          </w:tcPr>
          <w:p w14:paraId="3E3322F7" w14:textId="77777777" w:rsidR="004154DB" w:rsidRPr="00E2398D" w:rsidRDefault="004154DB" w:rsidP="00F274C6">
            <w:pPr>
              <w:pStyle w:val="TableText0"/>
              <w:keepLines/>
              <w:widowControl w:val="0"/>
              <w:jc w:val="center"/>
            </w:pPr>
            <w:r w:rsidRPr="00E2398D">
              <w:t>10.4 (-2.61, 23.4)</w:t>
            </w:r>
          </w:p>
        </w:tc>
        <w:tc>
          <w:tcPr>
            <w:tcW w:w="880" w:type="pct"/>
            <w:vMerge/>
            <w:tcBorders>
              <w:left w:val="single" w:sz="4" w:space="0" w:color="auto"/>
              <w:right w:val="single" w:sz="4" w:space="0" w:color="auto"/>
            </w:tcBorders>
          </w:tcPr>
          <w:p w14:paraId="4AD13984" w14:textId="77777777" w:rsidR="004154DB" w:rsidRPr="00E2398D" w:rsidRDefault="004154DB" w:rsidP="00F274C6">
            <w:pPr>
              <w:pStyle w:val="TableText0"/>
              <w:keepLines/>
              <w:widowControl w:val="0"/>
              <w:jc w:val="center"/>
              <w:rPr>
                <w:szCs w:val="20"/>
              </w:rPr>
            </w:pPr>
          </w:p>
        </w:tc>
      </w:tr>
      <w:tr w:rsidR="004154DB" w:rsidRPr="00E2398D" w14:paraId="57D75A75" w14:textId="77777777" w:rsidTr="00B20B07">
        <w:trPr>
          <w:trHeight w:val="20"/>
        </w:trPr>
        <w:tc>
          <w:tcPr>
            <w:tcW w:w="1366" w:type="pct"/>
            <w:tcBorders>
              <w:top w:val="nil"/>
              <w:left w:val="single" w:sz="4" w:space="0" w:color="auto"/>
              <w:bottom w:val="single" w:sz="4" w:space="0" w:color="auto"/>
              <w:right w:val="single" w:sz="4" w:space="0" w:color="auto"/>
            </w:tcBorders>
          </w:tcPr>
          <w:p w14:paraId="0D34B9AB" w14:textId="77777777" w:rsidR="004154DB" w:rsidRPr="00E2398D" w:rsidRDefault="004154DB" w:rsidP="00F274C6">
            <w:pPr>
              <w:pStyle w:val="TableText0"/>
              <w:keepLines/>
              <w:widowControl w:val="0"/>
            </w:pPr>
            <w:r w:rsidRPr="00E2398D">
              <w:t>OS at 24 months, % (95% CI)</w:t>
            </w:r>
          </w:p>
        </w:tc>
        <w:tc>
          <w:tcPr>
            <w:tcW w:w="802" w:type="pct"/>
            <w:tcBorders>
              <w:top w:val="nil"/>
              <w:left w:val="single" w:sz="4" w:space="0" w:color="auto"/>
              <w:bottom w:val="single" w:sz="4" w:space="0" w:color="auto"/>
              <w:right w:val="single" w:sz="4" w:space="0" w:color="auto"/>
            </w:tcBorders>
          </w:tcPr>
          <w:p w14:paraId="3AC386B9" w14:textId="77777777" w:rsidR="004154DB" w:rsidRPr="00E2398D" w:rsidRDefault="004154DB" w:rsidP="00F274C6">
            <w:pPr>
              <w:pStyle w:val="TableText0"/>
              <w:keepLines/>
              <w:widowControl w:val="0"/>
              <w:jc w:val="center"/>
            </w:pPr>
            <w:r w:rsidRPr="00E2398D">
              <w:t>52.8 (44.8, 60.7)</w:t>
            </w:r>
          </w:p>
        </w:tc>
        <w:tc>
          <w:tcPr>
            <w:tcW w:w="848" w:type="pct"/>
            <w:tcBorders>
              <w:top w:val="nil"/>
              <w:left w:val="single" w:sz="4" w:space="0" w:color="auto"/>
              <w:bottom w:val="single" w:sz="4" w:space="0" w:color="auto"/>
              <w:right w:val="single" w:sz="4" w:space="0" w:color="auto"/>
            </w:tcBorders>
          </w:tcPr>
          <w:p w14:paraId="7A144A7C" w14:textId="77777777" w:rsidR="004154DB" w:rsidRPr="00E2398D" w:rsidRDefault="004154DB" w:rsidP="00F274C6">
            <w:pPr>
              <w:pStyle w:val="TableText0"/>
              <w:keepLines/>
              <w:widowControl w:val="0"/>
              <w:jc w:val="center"/>
            </w:pPr>
            <w:r w:rsidRPr="00E2398D">
              <w:t>33.5 (22.2, 44.9)</w:t>
            </w:r>
          </w:p>
        </w:tc>
        <w:tc>
          <w:tcPr>
            <w:tcW w:w="1104" w:type="pct"/>
            <w:tcBorders>
              <w:top w:val="nil"/>
              <w:left w:val="single" w:sz="4" w:space="0" w:color="auto"/>
              <w:bottom w:val="single" w:sz="4" w:space="0" w:color="auto"/>
              <w:right w:val="single" w:sz="4" w:space="0" w:color="auto"/>
            </w:tcBorders>
          </w:tcPr>
          <w:p w14:paraId="777A6ABC" w14:textId="77777777" w:rsidR="004154DB" w:rsidRPr="00E2398D" w:rsidRDefault="004154DB" w:rsidP="00F274C6">
            <w:pPr>
              <w:pStyle w:val="TableText0"/>
              <w:keepLines/>
              <w:widowControl w:val="0"/>
              <w:jc w:val="center"/>
            </w:pPr>
            <w:r w:rsidRPr="00E2398D">
              <w:t>19.2 (5.38, 33.05)</w:t>
            </w:r>
          </w:p>
        </w:tc>
        <w:tc>
          <w:tcPr>
            <w:tcW w:w="880" w:type="pct"/>
            <w:vMerge/>
            <w:tcBorders>
              <w:left w:val="single" w:sz="4" w:space="0" w:color="auto"/>
              <w:bottom w:val="nil"/>
              <w:right w:val="single" w:sz="4" w:space="0" w:color="auto"/>
            </w:tcBorders>
          </w:tcPr>
          <w:p w14:paraId="2E5D9985" w14:textId="77777777" w:rsidR="004154DB" w:rsidRPr="00E2398D" w:rsidRDefault="004154DB" w:rsidP="00F274C6">
            <w:pPr>
              <w:pStyle w:val="TableText0"/>
              <w:keepLines/>
              <w:widowControl w:val="0"/>
              <w:jc w:val="center"/>
              <w:rPr>
                <w:szCs w:val="20"/>
              </w:rPr>
            </w:pPr>
          </w:p>
        </w:tc>
      </w:tr>
      <w:tr w:rsidR="004154DB" w:rsidRPr="00E2398D" w14:paraId="14A45538" w14:textId="77777777" w:rsidTr="00F274C6">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7BB61DDB" w14:textId="77777777" w:rsidR="004154DB" w:rsidRPr="00E2398D" w:rsidRDefault="004154DB" w:rsidP="00F274C6">
            <w:pPr>
              <w:pStyle w:val="TableText0"/>
              <w:keepLines/>
              <w:widowControl w:val="0"/>
              <w:rPr>
                <w:szCs w:val="20"/>
              </w:rPr>
            </w:pPr>
            <w:r w:rsidRPr="00E2398D">
              <w:rPr>
                <w:b/>
              </w:rPr>
              <w:t>Progression-free survival (median duration of follow up 20.7 months)</w:t>
            </w:r>
          </w:p>
        </w:tc>
      </w:tr>
      <w:tr w:rsidR="004154DB" w:rsidRPr="00E2398D" w14:paraId="79540CC3" w14:textId="77777777" w:rsidTr="00B20B07">
        <w:trPr>
          <w:trHeight w:val="20"/>
        </w:trPr>
        <w:tc>
          <w:tcPr>
            <w:tcW w:w="1366" w:type="pct"/>
            <w:tcBorders>
              <w:top w:val="single" w:sz="4" w:space="0" w:color="auto"/>
              <w:left w:val="single" w:sz="4" w:space="0" w:color="auto"/>
              <w:bottom w:val="nil"/>
              <w:right w:val="single" w:sz="4" w:space="0" w:color="auto"/>
            </w:tcBorders>
          </w:tcPr>
          <w:p w14:paraId="7F660627" w14:textId="77777777" w:rsidR="004154DB" w:rsidRPr="00E2398D" w:rsidRDefault="004154DB" w:rsidP="00F274C6">
            <w:pPr>
              <w:pStyle w:val="TableText0"/>
              <w:keepLines/>
              <w:widowControl w:val="0"/>
            </w:pPr>
            <w:r w:rsidRPr="00E2398D">
              <w:rPr>
                <w:szCs w:val="18"/>
              </w:rPr>
              <w:t>Progressed, n/N (%)</w:t>
            </w:r>
          </w:p>
        </w:tc>
        <w:tc>
          <w:tcPr>
            <w:tcW w:w="802" w:type="pct"/>
            <w:tcBorders>
              <w:top w:val="single" w:sz="4" w:space="0" w:color="auto"/>
              <w:left w:val="single" w:sz="4" w:space="0" w:color="auto"/>
              <w:bottom w:val="nil"/>
              <w:right w:val="single" w:sz="4" w:space="0" w:color="auto"/>
            </w:tcBorders>
          </w:tcPr>
          <w:p w14:paraId="08070AF2" w14:textId="77777777" w:rsidR="004154DB" w:rsidRPr="00E2398D" w:rsidRDefault="004154DB" w:rsidP="00F274C6">
            <w:pPr>
              <w:pStyle w:val="TableText0"/>
              <w:keepLines/>
              <w:widowControl w:val="0"/>
              <w:jc w:val="center"/>
            </w:pPr>
            <w:r w:rsidRPr="00E2398D">
              <w:t>90/183 (49.2)</w:t>
            </w:r>
          </w:p>
        </w:tc>
        <w:tc>
          <w:tcPr>
            <w:tcW w:w="848" w:type="pct"/>
            <w:tcBorders>
              <w:top w:val="single" w:sz="4" w:space="0" w:color="auto"/>
              <w:left w:val="single" w:sz="4" w:space="0" w:color="auto"/>
              <w:bottom w:val="nil"/>
              <w:right w:val="single" w:sz="4" w:space="0" w:color="auto"/>
            </w:tcBorders>
          </w:tcPr>
          <w:p w14:paraId="113B944C" w14:textId="77777777" w:rsidR="004154DB" w:rsidRPr="00E2398D" w:rsidRDefault="004154DB" w:rsidP="00F274C6">
            <w:pPr>
              <w:pStyle w:val="TableText0"/>
              <w:keepLines/>
              <w:widowControl w:val="0"/>
              <w:jc w:val="center"/>
            </w:pPr>
            <w:r w:rsidRPr="00E2398D">
              <w:t>54/91 (59.3)</w:t>
            </w:r>
          </w:p>
        </w:tc>
        <w:tc>
          <w:tcPr>
            <w:tcW w:w="1104" w:type="pct"/>
            <w:tcBorders>
              <w:top w:val="single" w:sz="4" w:space="0" w:color="auto"/>
              <w:left w:val="single" w:sz="4" w:space="0" w:color="auto"/>
              <w:bottom w:val="nil"/>
              <w:right w:val="single" w:sz="4" w:space="0" w:color="auto"/>
            </w:tcBorders>
          </w:tcPr>
          <w:p w14:paraId="35B4EBCC" w14:textId="77777777" w:rsidR="004154DB" w:rsidRPr="00E2398D" w:rsidRDefault="004154DB" w:rsidP="00F274C6">
            <w:pPr>
              <w:pStyle w:val="TableText0"/>
              <w:keepLines/>
              <w:widowControl w:val="0"/>
              <w:jc w:val="center"/>
            </w:pPr>
            <w:r w:rsidRPr="00E2398D">
              <w:t>-10.1%</w:t>
            </w:r>
          </w:p>
        </w:tc>
        <w:tc>
          <w:tcPr>
            <w:tcW w:w="880" w:type="pct"/>
            <w:vMerge w:val="restart"/>
            <w:tcBorders>
              <w:left w:val="single" w:sz="4" w:space="0" w:color="auto"/>
              <w:right w:val="single" w:sz="4" w:space="0" w:color="auto"/>
            </w:tcBorders>
            <w:vAlign w:val="center"/>
          </w:tcPr>
          <w:p w14:paraId="78C6AFD2" w14:textId="77777777" w:rsidR="004154DB" w:rsidRPr="00E2398D" w:rsidRDefault="004154DB" w:rsidP="00F274C6">
            <w:pPr>
              <w:pStyle w:val="TableText0"/>
              <w:keepLines/>
              <w:widowControl w:val="0"/>
              <w:jc w:val="center"/>
              <w:rPr>
                <w:szCs w:val="20"/>
              </w:rPr>
            </w:pPr>
            <w:r w:rsidRPr="00E2398D">
              <w:rPr>
                <w:b/>
              </w:rPr>
              <w:t>0.40 (0.28, 0.57)</w:t>
            </w:r>
          </w:p>
        </w:tc>
      </w:tr>
      <w:tr w:rsidR="004154DB" w:rsidRPr="00E2398D" w14:paraId="6393AD7F" w14:textId="77777777" w:rsidTr="00B20B07">
        <w:trPr>
          <w:trHeight w:val="20"/>
        </w:trPr>
        <w:tc>
          <w:tcPr>
            <w:tcW w:w="1366" w:type="pct"/>
            <w:tcBorders>
              <w:top w:val="nil"/>
              <w:left w:val="single" w:sz="4" w:space="0" w:color="auto"/>
              <w:bottom w:val="nil"/>
              <w:right w:val="single" w:sz="4" w:space="0" w:color="auto"/>
            </w:tcBorders>
          </w:tcPr>
          <w:p w14:paraId="287A9040" w14:textId="77777777" w:rsidR="004154DB" w:rsidRPr="00E2398D" w:rsidRDefault="004154DB" w:rsidP="00F274C6">
            <w:pPr>
              <w:pStyle w:val="TableText0"/>
              <w:keepLines/>
              <w:widowControl w:val="0"/>
            </w:pPr>
            <w:r w:rsidRPr="00E2398D">
              <w:rPr>
                <w:szCs w:val="18"/>
              </w:rPr>
              <w:t>Median PFS, months (95% CI)</w:t>
            </w:r>
          </w:p>
        </w:tc>
        <w:tc>
          <w:tcPr>
            <w:tcW w:w="802" w:type="pct"/>
            <w:tcBorders>
              <w:top w:val="nil"/>
              <w:left w:val="single" w:sz="4" w:space="0" w:color="auto"/>
              <w:bottom w:val="nil"/>
              <w:right w:val="single" w:sz="4" w:space="0" w:color="auto"/>
            </w:tcBorders>
          </w:tcPr>
          <w:p w14:paraId="00FCA106" w14:textId="77777777" w:rsidR="004154DB" w:rsidRPr="00E2398D" w:rsidRDefault="004154DB" w:rsidP="00F274C6">
            <w:pPr>
              <w:pStyle w:val="TableText0"/>
              <w:keepLines/>
              <w:widowControl w:val="0"/>
              <w:jc w:val="center"/>
            </w:pPr>
            <w:r w:rsidRPr="00E2398D">
              <w:t>13.8 (8.7, 20.5)</w:t>
            </w:r>
          </w:p>
        </w:tc>
        <w:tc>
          <w:tcPr>
            <w:tcW w:w="848" w:type="pct"/>
            <w:tcBorders>
              <w:top w:val="nil"/>
              <w:left w:val="single" w:sz="4" w:space="0" w:color="auto"/>
              <w:bottom w:val="nil"/>
              <w:right w:val="single" w:sz="4" w:space="0" w:color="auto"/>
            </w:tcBorders>
          </w:tcPr>
          <w:p w14:paraId="76BA1860" w14:textId="77777777" w:rsidR="004154DB" w:rsidRPr="00E2398D" w:rsidRDefault="004154DB" w:rsidP="00F274C6">
            <w:pPr>
              <w:pStyle w:val="TableText0"/>
              <w:keepLines/>
              <w:widowControl w:val="0"/>
              <w:jc w:val="center"/>
            </w:pPr>
            <w:r w:rsidRPr="00E2398D">
              <w:t>3.6 (2.5, 7.1)</w:t>
            </w:r>
          </w:p>
        </w:tc>
        <w:tc>
          <w:tcPr>
            <w:tcW w:w="1104" w:type="pct"/>
            <w:tcBorders>
              <w:top w:val="nil"/>
              <w:left w:val="single" w:sz="4" w:space="0" w:color="auto"/>
              <w:bottom w:val="nil"/>
              <w:right w:val="single" w:sz="4" w:space="0" w:color="auto"/>
            </w:tcBorders>
          </w:tcPr>
          <w:p w14:paraId="5C4619BA" w14:textId="77777777" w:rsidR="004154DB" w:rsidRPr="00E2398D" w:rsidRDefault="004154DB" w:rsidP="00F274C6">
            <w:pPr>
              <w:pStyle w:val="TableText0"/>
              <w:keepLines/>
              <w:widowControl w:val="0"/>
              <w:jc w:val="center"/>
            </w:pPr>
            <w:r w:rsidRPr="00E2398D">
              <w:t>10.2 months</w:t>
            </w:r>
          </w:p>
        </w:tc>
        <w:tc>
          <w:tcPr>
            <w:tcW w:w="880" w:type="pct"/>
            <w:vMerge/>
            <w:tcBorders>
              <w:left w:val="single" w:sz="4" w:space="0" w:color="auto"/>
              <w:right w:val="single" w:sz="4" w:space="0" w:color="auto"/>
            </w:tcBorders>
          </w:tcPr>
          <w:p w14:paraId="0855EDE2" w14:textId="77777777" w:rsidR="004154DB" w:rsidRPr="00E2398D" w:rsidRDefault="004154DB" w:rsidP="00F274C6">
            <w:pPr>
              <w:pStyle w:val="TableText0"/>
              <w:keepLines/>
              <w:widowControl w:val="0"/>
              <w:jc w:val="center"/>
              <w:rPr>
                <w:szCs w:val="20"/>
              </w:rPr>
            </w:pPr>
          </w:p>
        </w:tc>
      </w:tr>
      <w:tr w:rsidR="004154DB" w:rsidRPr="00E2398D" w14:paraId="1D2AA09E" w14:textId="77777777" w:rsidTr="00B20B07">
        <w:trPr>
          <w:trHeight w:val="20"/>
        </w:trPr>
        <w:tc>
          <w:tcPr>
            <w:tcW w:w="1366" w:type="pct"/>
            <w:tcBorders>
              <w:top w:val="nil"/>
              <w:left w:val="single" w:sz="4" w:space="0" w:color="auto"/>
              <w:bottom w:val="nil"/>
              <w:right w:val="single" w:sz="4" w:space="0" w:color="auto"/>
            </w:tcBorders>
          </w:tcPr>
          <w:p w14:paraId="3373DC65" w14:textId="77777777" w:rsidR="004154DB" w:rsidRPr="00E2398D" w:rsidRDefault="004154DB" w:rsidP="00F274C6">
            <w:pPr>
              <w:pStyle w:val="TableText0"/>
              <w:keepLines/>
              <w:widowControl w:val="0"/>
              <w:rPr>
                <w:szCs w:val="18"/>
              </w:rPr>
            </w:pPr>
            <w:r w:rsidRPr="00E2398D">
              <w:rPr>
                <w:szCs w:val="18"/>
              </w:rPr>
              <w:t>PFS at 12 months, % (95% CI)</w:t>
            </w:r>
          </w:p>
        </w:tc>
        <w:tc>
          <w:tcPr>
            <w:tcW w:w="802" w:type="pct"/>
            <w:tcBorders>
              <w:top w:val="nil"/>
              <w:left w:val="single" w:sz="4" w:space="0" w:color="auto"/>
              <w:bottom w:val="nil"/>
              <w:right w:val="single" w:sz="4" w:space="0" w:color="auto"/>
            </w:tcBorders>
          </w:tcPr>
          <w:p w14:paraId="7EDAE0CF" w14:textId="77777777" w:rsidR="004154DB" w:rsidRPr="00E2398D" w:rsidRDefault="004154DB" w:rsidP="00F274C6">
            <w:pPr>
              <w:pStyle w:val="TableText0"/>
              <w:keepLines/>
              <w:widowControl w:val="0"/>
              <w:jc w:val="center"/>
            </w:pPr>
            <w:r w:rsidRPr="00E2398D">
              <w:t>51.7 (44.0, 59.4)</w:t>
            </w:r>
          </w:p>
        </w:tc>
        <w:tc>
          <w:tcPr>
            <w:tcW w:w="848" w:type="pct"/>
            <w:tcBorders>
              <w:top w:val="nil"/>
              <w:left w:val="single" w:sz="4" w:space="0" w:color="auto"/>
              <w:bottom w:val="nil"/>
              <w:right w:val="single" w:sz="4" w:space="0" w:color="auto"/>
            </w:tcBorders>
          </w:tcPr>
          <w:p w14:paraId="2DEF6866" w14:textId="77777777" w:rsidR="004154DB" w:rsidRPr="00E2398D" w:rsidRDefault="004154DB" w:rsidP="00F274C6">
            <w:pPr>
              <w:pStyle w:val="TableText0"/>
              <w:keepLines/>
              <w:widowControl w:val="0"/>
              <w:jc w:val="center"/>
            </w:pPr>
            <w:r w:rsidRPr="00E2398D">
              <w:t>25.2 (13.6, 36.9)</w:t>
            </w:r>
          </w:p>
        </w:tc>
        <w:tc>
          <w:tcPr>
            <w:tcW w:w="1104" w:type="pct"/>
            <w:tcBorders>
              <w:top w:val="nil"/>
              <w:left w:val="single" w:sz="4" w:space="0" w:color="auto"/>
              <w:bottom w:val="nil"/>
              <w:right w:val="single" w:sz="4" w:space="0" w:color="auto"/>
            </w:tcBorders>
          </w:tcPr>
          <w:p w14:paraId="5484ECFE" w14:textId="77777777" w:rsidR="004154DB" w:rsidRPr="00E2398D" w:rsidRDefault="004154DB" w:rsidP="00F274C6">
            <w:pPr>
              <w:pStyle w:val="TableText0"/>
              <w:keepLines/>
              <w:widowControl w:val="0"/>
              <w:jc w:val="center"/>
            </w:pPr>
            <w:r w:rsidRPr="00E2398D">
              <w:t>26.5 (12.5, 40.5)</w:t>
            </w:r>
          </w:p>
        </w:tc>
        <w:tc>
          <w:tcPr>
            <w:tcW w:w="880" w:type="pct"/>
            <w:vMerge/>
            <w:tcBorders>
              <w:left w:val="single" w:sz="4" w:space="0" w:color="auto"/>
              <w:right w:val="single" w:sz="4" w:space="0" w:color="auto"/>
            </w:tcBorders>
          </w:tcPr>
          <w:p w14:paraId="0A84A13F" w14:textId="77777777" w:rsidR="004154DB" w:rsidRPr="00E2398D" w:rsidRDefault="004154DB" w:rsidP="00F274C6">
            <w:pPr>
              <w:pStyle w:val="TableText0"/>
              <w:keepLines/>
              <w:widowControl w:val="0"/>
              <w:jc w:val="center"/>
              <w:rPr>
                <w:szCs w:val="20"/>
              </w:rPr>
            </w:pPr>
          </w:p>
        </w:tc>
      </w:tr>
      <w:tr w:rsidR="004154DB" w:rsidRPr="00E2398D" w14:paraId="4A9CB8A7" w14:textId="77777777" w:rsidTr="00B20B07">
        <w:trPr>
          <w:trHeight w:val="20"/>
        </w:trPr>
        <w:tc>
          <w:tcPr>
            <w:tcW w:w="1366" w:type="pct"/>
            <w:tcBorders>
              <w:top w:val="nil"/>
              <w:left w:val="single" w:sz="4" w:space="0" w:color="auto"/>
              <w:bottom w:val="single" w:sz="4" w:space="0" w:color="auto"/>
              <w:right w:val="single" w:sz="4" w:space="0" w:color="auto"/>
            </w:tcBorders>
          </w:tcPr>
          <w:p w14:paraId="07607FC1" w14:textId="77777777" w:rsidR="004154DB" w:rsidRPr="00E2398D" w:rsidRDefault="004154DB" w:rsidP="00F274C6">
            <w:pPr>
              <w:pStyle w:val="TableText0"/>
              <w:keepLines/>
              <w:widowControl w:val="0"/>
            </w:pPr>
            <w:r w:rsidRPr="00E2398D">
              <w:rPr>
                <w:szCs w:val="18"/>
              </w:rPr>
              <w:t>PFS at 24 months, % (95% CI)</w:t>
            </w:r>
          </w:p>
        </w:tc>
        <w:tc>
          <w:tcPr>
            <w:tcW w:w="802" w:type="pct"/>
            <w:tcBorders>
              <w:top w:val="nil"/>
              <w:left w:val="single" w:sz="4" w:space="0" w:color="auto"/>
              <w:bottom w:val="single" w:sz="4" w:space="0" w:color="auto"/>
              <w:right w:val="single" w:sz="4" w:space="0" w:color="auto"/>
            </w:tcBorders>
          </w:tcPr>
          <w:p w14:paraId="1C11C4FD" w14:textId="77777777" w:rsidR="004154DB" w:rsidRPr="00E2398D" w:rsidRDefault="004154DB" w:rsidP="00F274C6">
            <w:pPr>
              <w:pStyle w:val="TableText0"/>
              <w:keepLines/>
              <w:widowControl w:val="0"/>
              <w:jc w:val="center"/>
            </w:pPr>
            <w:r w:rsidRPr="00E2398D">
              <w:t>41.3 (32.7, 49.9)</w:t>
            </w:r>
          </w:p>
        </w:tc>
        <w:tc>
          <w:tcPr>
            <w:tcW w:w="848" w:type="pct"/>
            <w:tcBorders>
              <w:top w:val="nil"/>
              <w:left w:val="single" w:sz="4" w:space="0" w:color="auto"/>
              <w:bottom w:val="single" w:sz="4" w:space="0" w:color="auto"/>
              <w:right w:val="single" w:sz="4" w:space="0" w:color="auto"/>
            </w:tcBorders>
          </w:tcPr>
          <w:p w14:paraId="70BEE863" w14:textId="77777777" w:rsidR="004154DB" w:rsidRPr="00E2398D" w:rsidRDefault="004154DB" w:rsidP="00F274C6">
            <w:pPr>
              <w:pStyle w:val="TableText0"/>
              <w:keepLines/>
              <w:widowControl w:val="0"/>
              <w:jc w:val="center"/>
            </w:pPr>
            <w:r w:rsidRPr="00E2398D">
              <w:t>22.1 (10.35, 33.8)</w:t>
            </w:r>
          </w:p>
        </w:tc>
        <w:tc>
          <w:tcPr>
            <w:tcW w:w="1104" w:type="pct"/>
            <w:tcBorders>
              <w:top w:val="nil"/>
              <w:left w:val="single" w:sz="4" w:space="0" w:color="auto"/>
              <w:bottom w:val="single" w:sz="4" w:space="0" w:color="auto"/>
              <w:right w:val="single" w:sz="4" w:space="0" w:color="auto"/>
            </w:tcBorders>
          </w:tcPr>
          <w:p w14:paraId="66E60CEE" w14:textId="77777777" w:rsidR="004154DB" w:rsidRPr="00E2398D" w:rsidRDefault="004154DB" w:rsidP="00F274C6">
            <w:pPr>
              <w:pStyle w:val="TableText0"/>
              <w:keepLines/>
              <w:widowControl w:val="0"/>
              <w:jc w:val="center"/>
            </w:pPr>
            <w:r w:rsidRPr="00E2398D">
              <w:t>19.2 (4.69, 33.8)</w:t>
            </w:r>
          </w:p>
        </w:tc>
        <w:tc>
          <w:tcPr>
            <w:tcW w:w="880" w:type="pct"/>
            <w:vMerge/>
            <w:tcBorders>
              <w:left w:val="single" w:sz="4" w:space="0" w:color="auto"/>
              <w:bottom w:val="nil"/>
              <w:right w:val="single" w:sz="4" w:space="0" w:color="auto"/>
            </w:tcBorders>
          </w:tcPr>
          <w:p w14:paraId="228B071D" w14:textId="77777777" w:rsidR="004154DB" w:rsidRPr="00E2398D" w:rsidRDefault="004154DB" w:rsidP="00F274C6">
            <w:pPr>
              <w:pStyle w:val="TableText0"/>
              <w:keepLines/>
              <w:widowControl w:val="0"/>
              <w:jc w:val="center"/>
              <w:rPr>
                <w:szCs w:val="20"/>
              </w:rPr>
            </w:pPr>
          </w:p>
        </w:tc>
      </w:tr>
    </w:tbl>
    <w:tbl>
      <w:tblPr>
        <w:tblW w:w="5000" w:type="pct"/>
        <w:tblLayout w:type="fixed"/>
        <w:tblCellMar>
          <w:left w:w="28" w:type="dxa"/>
          <w:right w:w="28" w:type="dxa"/>
        </w:tblCellMar>
        <w:tblLook w:val="04A0" w:firstRow="1" w:lastRow="0" w:firstColumn="1" w:lastColumn="0" w:noHBand="0" w:noVBand="1"/>
        <w:tblCaption w:val="Table 8: Summary of comparative benefits and harms for Glofit-GemOx and R-GemOx: ITT / safety population"/>
      </w:tblPr>
      <w:tblGrid>
        <w:gridCol w:w="1723"/>
        <w:gridCol w:w="1105"/>
        <w:gridCol w:w="1134"/>
        <w:gridCol w:w="1477"/>
        <w:gridCol w:w="1075"/>
        <w:gridCol w:w="1098"/>
        <w:gridCol w:w="1405"/>
      </w:tblGrid>
      <w:tr w:rsidR="004154DB" w:rsidRPr="00E2398D" w14:paraId="2A010E24" w14:textId="77777777" w:rsidTr="00F274C6">
        <w:tc>
          <w:tcPr>
            <w:tcW w:w="5000" w:type="pct"/>
            <w:gridSpan w:val="7"/>
            <w:tcBorders>
              <w:top w:val="double" w:sz="4" w:space="0" w:color="auto"/>
              <w:left w:val="single" w:sz="4" w:space="0" w:color="auto"/>
              <w:bottom w:val="single" w:sz="4" w:space="0" w:color="auto"/>
              <w:right w:val="single" w:sz="4" w:space="0" w:color="auto"/>
            </w:tcBorders>
            <w:vAlign w:val="center"/>
          </w:tcPr>
          <w:p w14:paraId="7964C5B1" w14:textId="77777777" w:rsidR="004154DB" w:rsidRPr="00E2398D" w:rsidRDefault="004154DB" w:rsidP="00F274C6">
            <w:pPr>
              <w:pStyle w:val="In-tableHeading"/>
            </w:pPr>
            <w:r w:rsidRPr="00E2398D">
              <w:t xml:space="preserve">Harms </w:t>
            </w:r>
          </w:p>
        </w:tc>
      </w:tr>
      <w:tr w:rsidR="004154DB" w:rsidRPr="00E2398D" w14:paraId="5B4CDADA" w14:textId="77777777" w:rsidTr="00B20B07">
        <w:trPr>
          <w:trHeight w:val="70"/>
        </w:trPr>
        <w:tc>
          <w:tcPr>
            <w:tcW w:w="955" w:type="pct"/>
            <w:vMerge w:val="restart"/>
            <w:tcBorders>
              <w:top w:val="single" w:sz="4" w:space="0" w:color="auto"/>
              <w:left w:val="single" w:sz="4" w:space="0" w:color="auto"/>
              <w:bottom w:val="single" w:sz="4" w:space="0" w:color="auto"/>
              <w:right w:val="single" w:sz="4" w:space="0" w:color="auto"/>
            </w:tcBorders>
            <w:vAlign w:val="center"/>
          </w:tcPr>
          <w:p w14:paraId="058831DB" w14:textId="77777777" w:rsidR="004154DB" w:rsidRPr="00E2398D" w:rsidRDefault="004154DB" w:rsidP="00F274C6">
            <w:pPr>
              <w:pStyle w:val="In-tableHeading"/>
            </w:pPr>
          </w:p>
        </w:tc>
        <w:tc>
          <w:tcPr>
            <w:tcW w:w="613" w:type="pct"/>
            <w:vMerge w:val="restart"/>
            <w:tcBorders>
              <w:top w:val="single" w:sz="4" w:space="0" w:color="auto"/>
              <w:left w:val="single" w:sz="4" w:space="0" w:color="auto"/>
              <w:bottom w:val="single" w:sz="4" w:space="0" w:color="auto"/>
              <w:right w:val="single" w:sz="4" w:space="0" w:color="auto"/>
            </w:tcBorders>
            <w:vAlign w:val="center"/>
          </w:tcPr>
          <w:p w14:paraId="54ED4991" w14:textId="77777777" w:rsidR="004154DB" w:rsidRPr="00E2398D" w:rsidRDefault="004154DB" w:rsidP="00F274C6">
            <w:pPr>
              <w:pStyle w:val="In-tableHeading"/>
              <w:jc w:val="center"/>
            </w:pPr>
            <w:r w:rsidRPr="00E2398D">
              <w:t>Glofit-GemOx</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2E2C238E" w14:textId="77777777" w:rsidR="004154DB" w:rsidRPr="00E2398D" w:rsidRDefault="004154DB" w:rsidP="00F274C6">
            <w:pPr>
              <w:pStyle w:val="In-tableHeading"/>
              <w:jc w:val="center"/>
            </w:pPr>
            <w:r w:rsidRPr="00E2398D">
              <w:t>R-</w:t>
            </w:r>
            <w:proofErr w:type="spellStart"/>
            <w:r w:rsidRPr="00E2398D">
              <w:t>GemOx</w:t>
            </w:r>
            <w:proofErr w:type="spellEnd"/>
          </w:p>
        </w:tc>
        <w:tc>
          <w:tcPr>
            <w:tcW w:w="819" w:type="pct"/>
            <w:vMerge w:val="restart"/>
            <w:tcBorders>
              <w:top w:val="single" w:sz="4" w:space="0" w:color="auto"/>
              <w:left w:val="single" w:sz="4" w:space="0" w:color="auto"/>
              <w:bottom w:val="single" w:sz="4" w:space="0" w:color="auto"/>
              <w:right w:val="single" w:sz="4" w:space="0" w:color="auto"/>
            </w:tcBorders>
            <w:vAlign w:val="center"/>
          </w:tcPr>
          <w:p w14:paraId="6E5CDD4B" w14:textId="77777777" w:rsidR="004154DB" w:rsidRPr="00E2398D" w:rsidRDefault="004154DB" w:rsidP="00F274C6">
            <w:pPr>
              <w:pStyle w:val="In-tableHeading"/>
              <w:jc w:val="center"/>
            </w:pPr>
            <w:r w:rsidRPr="00E2398D">
              <w:rPr>
                <w:sz w:val="18"/>
                <w:szCs w:val="18"/>
                <w:lang w:val="en-AU"/>
              </w:rPr>
              <w:t>RR (95% CI)</w:t>
            </w:r>
          </w:p>
        </w:tc>
        <w:tc>
          <w:tcPr>
            <w:tcW w:w="1205" w:type="pct"/>
            <w:gridSpan w:val="2"/>
            <w:tcBorders>
              <w:top w:val="single" w:sz="4" w:space="0" w:color="auto"/>
              <w:left w:val="single" w:sz="4" w:space="0" w:color="auto"/>
              <w:bottom w:val="single" w:sz="4" w:space="0" w:color="auto"/>
              <w:right w:val="single" w:sz="4" w:space="0" w:color="auto"/>
            </w:tcBorders>
            <w:vAlign w:val="center"/>
          </w:tcPr>
          <w:p w14:paraId="7BA276DC" w14:textId="77777777" w:rsidR="004154DB" w:rsidRPr="00E2398D" w:rsidRDefault="004154DB" w:rsidP="00F274C6">
            <w:pPr>
              <w:pStyle w:val="In-tableHeading"/>
              <w:jc w:val="center"/>
            </w:pPr>
            <w:r w:rsidRPr="00E2398D">
              <w:t>Event rate/100 patients</w:t>
            </w:r>
          </w:p>
        </w:tc>
        <w:tc>
          <w:tcPr>
            <w:tcW w:w="779" w:type="pct"/>
            <w:vMerge w:val="restart"/>
            <w:tcBorders>
              <w:top w:val="single" w:sz="4" w:space="0" w:color="auto"/>
              <w:left w:val="single" w:sz="4" w:space="0" w:color="auto"/>
              <w:bottom w:val="single" w:sz="4" w:space="0" w:color="auto"/>
              <w:right w:val="single" w:sz="4" w:space="0" w:color="auto"/>
            </w:tcBorders>
            <w:vAlign w:val="center"/>
          </w:tcPr>
          <w:p w14:paraId="22B6D66D" w14:textId="77777777" w:rsidR="004154DB" w:rsidRPr="00E2398D" w:rsidRDefault="004154DB" w:rsidP="00F274C6">
            <w:pPr>
              <w:pStyle w:val="In-tableHeading"/>
              <w:jc w:val="center"/>
            </w:pPr>
            <w:r w:rsidRPr="00E2398D">
              <w:rPr>
                <w:sz w:val="18"/>
                <w:szCs w:val="18"/>
                <w:lang w:val="en-AU"/>
              </w:rPr>
              <w:t>RD (95% CI)</w:t>
            </w:r>
          </w:p>
        </w:tc>
      </w:tr>
      <w:tr w:rsidR="004154DB" w:rsidRPr="00E2398D" w14:paraId="47004A47" w14:textId="77777777" w:rsidTr="00B20B07">
        <w:trPr>
          <w:trHeight w:val="390"/>
        </w:trPr>
        <w:tc>
          <w:tcPr>
            <w:tcW w:w="955" w:type="pct"/>
            <w:vMerge/>
            <w:tcBorders>
              <w:top w:val="single" w:sz="4" w:space="0" w:color="auto"/>
              <w:left w:val="single" w:sz="4" w:space="0" w:color="auto"/>
              <w:bottom w:val="single" w:sz="4" w:space="0" w:color="auto"/>
              <w:right w:val="single" w:sz="4" w:space="0" w:color="auto"/>
            </w:tcBorders>
            <w:vAlign w:val="center"/>
          </w:tcPr>
          <w:p w14:paraId="2E74D36F" w14:textId="77777777" w:rsidR="004154DB" w:rsidRPr="00E2398D" w:rsidRDefault="004154DB" w:rsidP="00F274C6">
            <w:pPr>
              <w:pStyle w:val="In-tableHeading"/>
            </w:pPr>
          </w:p>
        </w:tc>
        <w:tc>
          <w:tcPr>
            <w:tcW w:w="613" w:type="pct"/>
            <w:vMerge/>
            <w:tcBorders>
              <w:top w:val="single" w:sz="4" w:space="0" w:color="auto"/>
              <w:left w:val="single" w:sz="4" w:space="0" w:color="auto"/>
              <w:bottom w:val="single" w:sz="4" w:space="0" w:color="auto"/>
              <w:right w:val="single" w:sz="4" w:space="0" w:color="auto"/>
            </w:tcBorders>
            <w:vAlign w:val="center"/>
          </w:tcPr>
          <w:p w14:paraId="52E014ED" w14:textId="77777777" w:rsidR="004154DB" w:rsidRPr="00E2398D" w:rsidRDefault="004154DB" w:rsidP="00F274C6">
            <w:pPr>
              <w:pStyle w:val="In-tableHeading"/>
            </w:pPr>
          </w:p>
        </w:tc>
        <w:tc>
          <w:tcPr>
            <w:tcW w:w="629" w:type="pct"/>
            <w:vMerge/>
            <w:tcBorders>
              <w:top w:val="single" w:sz="4" w:space="0" w:color="auto"/>
              <w:left w:val="single" w:sz="4" w:space="0" w:color="auto"/>
              <w:bottom w:val="single" w:sz="4" w:space="0" w:color="auto"/>
              <w:right w:val="single" w:sz="4" w:space="0" w:color="auto"/>
            </w:tcBorders>
            <w:vAlign w:val="center"/>
          </w:tcPr>
          <w:p w14:paraId="798FAC80" w14:textId="77777777" w:rsidR="004154DB" w:rsidRPr="00E2398D" w:rsidRDefault="004154DB" w:rsidP="00F274C6">
            <w:pPr>
              <w:pStyle w:val="In-tableHeading"/>
            </w:pPr>
          </w:p>
        </w:tc>
        <w:tc>
          <w:tcPr>
            <w:tcW w:w="819" w:type="pct"/>
            <w:vMerge/>
            <w:tcBorders>
              <w:top w:val="single" w:sz="4" w:space="0" w:color="auto"/>
              <w:left w:val="single" w:sz="4" w:space="0" w:color="auto"/>
              <w:bottom w:val="single" w:sz="4" w:space="0" w:color="auto"/>
              <w:right w:val="single" w:sz="4" w:space="0" w:color="auto"/>
            </w:tcBorders>
            <w:vAlign w:val="center"/>
          </w:tcPr>
          <w:p w14:paraId="17D993A1" w14:textId="77777777" w:rsidR="004154DB" w:rsidRPr="00E2398D" w:rsidRDefault="004154DB" w:rsidP="00F274C6">
            <w:pPr>
              <w:pStyle w:val="In-tableHeading"/>
            </w:pPr>
          </w:p>
        </w:tc>
        <w:tc>
          <w:tcPr>
            <w:tcW w:w="596" w:type="pct"/>
            <w:tcBorders>
              <w:top w:val="single" w:sz="4" w:space="0" w:color="auto"/>
              <w:left w:val="single" w:sz="4" w:space="0" w:color="auto"/>
              <w:bottom w:val="single" w:sz="4" w:space="0" w:color="auto"/>
              <w:right w:val="single" w:sz="4" w:space="0" w:color="auto"/>
            </w:tcBorders>
            <w:vAlign w:val="center"/>
          </w:tcPr>
          <w:p w14:paraId="110134F9" w14:textId="77777777" w:rsidR="004154DB" w:rsidRPr="00E2398D" w:rsidRDefault="004154DB" w:rsidP="00F274C6">
            <w:pPr>
              <w:pStyle w:val="In-tableHeading"/>
              <w:jc w:val="center"/>
            </w:pPr>
            <w:r w:rsidRPr="00E2398D">
              <w:t>Glofit-GemOx</w:t>
            </w:r>
          </w:p>
        </w:tc>
        <w:tc>
          <w:tcPr>
            <w:tcW w:w="609" w:type="pct"/>
            <w:tcBorders>
              <w:top w:val="single" w:sz="4" w:space="0" w:color="auto"/>
              <w:left w:val="single" w:sz="4" w:space="0" w:color="auto"/>
              <w:bottom w:val="single" w:sz="4" w:space="0" w:color="auto"/>
              <w:right w:val="single" w:sz="4" w:space="0" w:color="auto"/>
            </w:tcBorders>
            <w:vAlign w:val="center"/>
          </w:tcPr>
          <w:p w14:paraId="7659F1BF" w14:textId="77777777" w:rsidR="004154DB" w:rsidRPr="00E2398D" w:rsidRDefault="004154DB" w:rsidP="00F274C6">
            <w:pPr>
              <w:pStyle w:val="In-tableHeading"/>
              <w:jc w:val="center"/>
            </w:pPr>
            <w:r w:rsidRPr="00E2398D">
              <w:t>R-</w:t>
            </w:r>
            <w:proofErr w:type="spellStart"/>
            <w:r w:rsidRPr="00E2398D">
              <w:t>GemOx</w:t>
            </w:r>
            <w:proofErr w:type="spellEnd"/>
          </w:p>
        </w:tc>
        <w:tc>
          <w:tcPr>
            <w:tcW w:w="779" w:type="pct"/>
            <w:vMerge/>
            <w:tcBorders>
              <w:top w:val="single" w:sz="4" w:space="0" w:color="auto"/>
              <w:left w:val="single" w:sz="4" w:space="0" w:color="auto"/>
              <w:bottom w:val="single" w:sz="4" w:space="0" w:color="auto"/>
              <w:right w:val="single" w:sz="4" w:space="0" w:color="auto"/>
            </w:tcBorders>
            <w:vAlign w:val="center"/>
          </w:tcPr>
          <w:p w14:paraId="739C1C8D" w14:textId="77777777" w:rsidR="004154DB" w:rsidRPr="00E2398D" w:rsidRDefault="004154DB" w:rsidP="00F274C6">
            <w:pPr>
              <w:pStyle w:val="In-tableHeading"/>
            </w:pPr>
          </w:p>
        </w:tc>
      </w:tr>
      <w:tr w:rsidR="004154DB" w:rsidRPr="00E2398D" w14:paraId="40466764" w14:textId="77777777" w:rsidTr="00B20B07">
        <w:tc>
          <w:tcPr>
            <w:tcW w:w="955" w:type="pct"/>
            <w:tcBorders>
              <w:top w:val="single" w:sz="4" w:space="0" w:color="auto"/>
              <w:left w:val="single" w:sz="4" w:space="0" w:color="auto"/>
              <w:bottom w:val="single" w:sz="4" w:space="0" w:color="auto"/>
              <w:right w:val="single" w:sz="4" w:space="0" w:color="auto"/>
            </w:tcBorders>
            <w:vAlign w:val="center"/>
          </w:tcPr>
          <w:p w14:paraId="712E65C6" w14:textId="77777777" w:rsidR="004154DB" w:rsidRPr="00E2398D" w:rsidRDefault="004154DB" w:rsidP="00F274C6">
            <w:pPr>
              <w:pStyle w:val="TableText0"/>
            </w:pPr>
            <w:r w:rsidRPr="00E2398D">
              <w:t>CRS, n/N (%)</w:t>
            </w:r>
          </w:p>
        </w:tc>
        <w:tc>
          <w:tcPr>
            <w:tcW w:w="613" w:type="pct"/>
            <w:tcBorders>
              <w:top w:val="single" w:sz="4" w:space="0" w:color="auto"/>
              <w:left w:val="single" w:sz="4" w:space="0" w:color="auto"/>
              <w:bottom w:val="single" w:sz="4" w:space="0" w:color="auto"/>
              <w:right w:val="single" w:sz="4" w:space="0" w:color="auto"/>
            </w:tcBorders>
            <w:vAlign w:val="center"/>
          </w:tcPr>
          <w:p w14:paraId="1C0350EC" w14:textId="77777777" w:rsidR="004154DB" w:rsidRPr="00E2398D" w:rsidRDefault="004154DB" w:rsidP="00F274C6">
            <w:pPr>
              <w:pStyle w:val="TableText0"/>
              <w:jc w:val="center"/>
            </w:pPr>
            <w:r w:rsidRPr="00E2398D">
              <w:t>76/172 (44.2%)</w:t>
            </w:r>
          </w:p>
        </w:tc>
        <w:tc>
          <w:tcPr>
            <w:tcW w:w="629" w:type="pct"/>
            <w:tcBorders>
              <w:top w:val="single" w:sz="4" w:space="0" w:color="auto"/>
              <w:left w:val="single" w:sz="4" w:space="0" w:color="auto"/>
              <w:bottom w:val="single" w:sz="4" w:space="0" w:color="auto"/>
              <w:right w:val="single" w:sz="4" w:space="0" w:color="auto"/>
            </w:tcBorders>
            <w:vAlign w:val="center"/>
          </w:tcPr>
          <w:p w14:paraId="4644281A" w14:textId="77777777" w:rsidR="004154DB" w:rsidRPr="00E2398D" w:rsidRDefault="004154DB" w:rsidP="00F274C6">
            <w:pPr>
              <w:pStyle w:val="TableText0"/>
              <w:jc w:val="center"/>
            </w:pPr>
            <w:r w:rsidRPr="00E2398D">
              <w:t>0/88 (0%)</w:t>
            </w:r>
          </w:p>
        </w:tc>
        <w:tc>
          <w:tcPr>
            <w:tcW w:w="819" w:type="pct"/>
            <w:tcBorders>
              <w:top w:val="single" w:sz="4" w:space="0" w:color="auto"/>
              <w:left w:val="single" w:sz="4" w:space="0" w:color="auto"/>
              <w:bottom w:val="single" w:sz="4" w:space="0" w:color="auto"/>
              <w:right w:val="single" w:sz="4" w:space="0" w:color="auto"/>
            </w:tcBorders>
            <w:vAlign w:val="center"/>
          </w:tcPr>
          <w:p w14:paraId="3FC35A64" w14:textId="77777777" w:rsidR="004154DB" w:rsidRPr="00E2398D" w:rsidRDefault="004154DB" w:rsidP="00F274C6">
            <w:pPr>
              <w:pStyle w:val="TableText0"/>
              <w:jc w:val="center"/>
            </w:pPr>
            <w:r w:rsidRPr="00E2398D">
              <w:t>78.7 (4.93, 1255)</w:t>
            </w:r>
          </w:p>
        </w:tc>
        <w:tc>
          <w:tcPr>
            <w:tcW w:w="596" w:type="pct"/>
            <w:tcBorders>
              <w:top w:val="single" w:sz="4" w:space="0" w:color="auto"/>
              <w:left w:val="single" w:sz="4" w:space="0" w:color="auto"/>
              <w:bottom w:val="single" w:sz="4" w:space="0" w:color="auto"/>
              <w:right w:val="single" w:sz="4" w:space="0" w:color="auto"/>
            </w:tcBorders>
            <w:vAlign w:val="center"/>
          </w:tcPr>
          <w:p w14:paraId="446F8C37" w14:textId="77777777" w:rsidR="004154DB" w:rsidRPr="00E2398D" w:rsidRDefault="004154DB" w:rsidP="00F274C6">
            <w:pPr>
              <w:pStyle w:val="TableText0"/>
              <w:jc w:val="center"/>
            </w:pPr>
            <w:r w:rsidRPr="00E2398D">
              <w:t>44</w:t>
            </w:r>
          </w:p>
        </w:tc>
        <w:tc>
          <w:tcPr>
            <w:tcW w:w="609" w:type="pct"/>
            <w:tcBorders>
              <w:top w:val="single" w:sz="4" w:space="0" w:color="auto"/>
              <w:left w:val="single" w:sz="4" w:space="0" w:color="auto"/>
              <w:bottom w:val="single" w:sz="4" w:space="0" w:color="auto"/>
              <w:right w:val="single" w:sz="4" w:space="0" w:color="auto"/>
            </w:tcBorders>
            <w:vAlign w:val="center"/>
          </w:tcPr>
          <w:p w14:paraId="0662E450" w14:textId="77777777" w:rsidR="004154DB" w:rsidRPr="00E2398D" w:rsidRDefault="004154DB" w:rsidP="00F274C6">
            <w:pPr>
              <w:pStyle w:val="TableText0"/>
              <w:jc w:val="center"/>
            </w:pPr>
            <w:r w:rsidRPr="00E2398D">
              <w:t>0</w:t>
            </w:r>
          </w:p>
        </w:tc>
        <w:tc>
          <w:tcPr>
            <w:tcW w:w="779" w:type="pct"/>
            <w:tcBorders>
              <w:top w:val="single" w:sz="4" w:space="0" w:color="auto"/>
              <w:left w:val="single" w:sz="4" w:space="0" w:color="auto"/>
              <w:bottom w:val="single" w:sz="4" w:space="0" w:color="auto"/>
              <w:right w:val="single" w:sz="4" w:space="0" w:color="auto"/>
            </w:tcBorders>
            <w:vAlign w:val="center"/>
          </w:tcPr>
          <w:p w14:paraId="1ADD8BBC" w14:textId="77777777" w:rsidR="004154DB" w:rsidRPr="00E2398D" w:rsidRDefault="004154DB" w:rsidP="00F274C6">
            <w:pPr>
              <w:pStyle w:val="TableText0"/>
              <w:jc w:val="center"/>
            </w:pPr>
            <w:r w:rsidRPr="00E2398D">
              <w:t>44 (37, 52)</w:t>
            </w:r>
          </w:p>
        </w:tc>
      </w:tr>
      <w:tr w:rsidR="004154DB" w:rsidRPr="00E2398D" w14:paraId="1F6D4A2E" w14:textId="77777777" w:rsidTr="00B20B07">
        <w:tc>
          <w:tcPr>
            <w:tcW w:w="955" w:type="pct"/>
            <w:tcBorders>
              <w:top w:val="single" w:sz="4" w:space="0" w:color="auto"/>
              <w:left w:val="single" w:sz="4" w:space="0" w:color="auto"/>
              <w:bottom w:val="single" w:sz="4" w:space="0" w:color="auto"/>
              <w:right w:val="single" w:sz="4" w:space="0" w:color="auto"/>
            </w:tcBorders>
            <w:vAlign w:val="center"/>
          </w:tcPr>
          <w:p w14:paraId="67F934BA" w14:textId="77777777" w:rsidR="004154DB" w:rsidRPr="00E2398D" w:rsidRDefault="004154DB" w:rsidP="00F274C6">
            <w:pPr>
              <w:pStyle w:val="TableText0"/>
            </w:pPr>
            <w:r w:rsidRPr="00E2398D">
              <w:t>Serious infections, n/N (%)</w:t>
            </w:r>
          </w:p>
        </w:tc>
        <w:tc>
          <w:tcPr>
            <w:tcW w:w="613" w:type="pct"/>
            <w:tcBorders>
              <w:top w:val="single" w:sz="4" w:space="0" w:color="auto"/>
              <w:left w:val="single" w:sz="4" w:space="0" w:color="auto"/>
              <w:bottom w:val="single" w:sz="4" w:space="0" w:color="auto"/>
              <w:right w:val="single" w:sz="4" w:space="0" w:color="auto"/>
            </w:tcBorders>
            <w:vAlign w:val="center"/>
          </w:tcPr>
          <w:p w14:paraId="5E68B5C2" w14:textId="77777777" w:rsidR="004154DB" w:rsidRPr="00E2398D" w:rsidRDefault="004154DB" w:rsidP="00F274C6">
            <w:pPr>
              <w:pStyle w:val="TableText0"/>
              <w:jc w:val="center"/>
            </w:pPr>
            <w:r w:rsidRPr="00E2398D">
              <w:t>39/172 (22.7%)</w:t>
            </w:r>
          </w:p>
        </w:tc>
        <w:tc>
          <w:tcPr>
            <w:tcW w:w="629" w:type="pct"/>
            <w:tcBorders>
              <w:top w:val="single" w:sz="4" w:space="0" w:color="auto"/>
              <w:left w:val="single" w:sz="4" w:space="0" w:color="auto"/>
              <w:bottom w:val="single" w:sz="4" w:space="0" w:color="auto"/>
              <w:right w:val="single" w:sz="4" w:space="0" w:color="auto"/>
            </w:tcBorders>
            <w:vAlign w:val="center"/>
          </w:tcPr>
          <w:p w14:paraId="7211CCC8" w14:textId="77777777" w:rsidR="004154DB" w:rsidRPr="00E2398D" w:rsidRDefault="004154DB" w:rsidP="00F274C6">
            <w:pPr>
              <w:pStyle w:val="TableText0"/>
              <w:jc w:val="center"/>
            </w:pPr>
            <w:r w:rsidRPr="00E2398D">
              <w:t>11/88 (12.5%)</w:t>
            </w:r>
          </w:p>
        </w:tc>
        <w:tc>
          <w:tcPr>
            <w:tcW w:w="819" w:type="pct"/>
            <w:tcBorders>
              <w:top w:val="single" w:sz="4" w:space="0" w:color="auto"/>
              <w:left w:val="single" w:sz="4" w:space="0" w:color="auto"/>
              <w:bottom w:val="single" w:sz="4" w:space="0" w:color="auto"/>
              <w:right w:val="single" w:sz="4" w:space="0" w:color="auto"/>
            </w:tcBorders>
            <w:vAlign w:val="center"/>
          </w:tcPr>
          <w:p w14:paraId="2FEA17C8" w14:textId="77777777" w:rsidR="004154DB" w:rsidRPr="00E2398D" w:rsidRDefault="004154DB" w:rsidP="00F274C6">
            <w:pPr>
              <w:pStyle w:val="TableText0"/>
              <w:jc w:val="center"/>
            </w:pPr>
            <w:r w:rsidRPr="00E2398D">
              <w:t>1.81 (0.98, 3.36)</w:t>
            </w:r>
          </w:p>
        </w:tc>
        <w:tc>
          <w:tcPr>
            <w:tcW w:w="596" w:type="pct"/>
            <w:tcBorders>
              <w:top w:val="single" w:sz="4" w:space="0" w:color="auto"/>
              <w:left w:val="single" w:sz="4" w:space="0" w:color="auto"/>
              <w:bottom w:val="single" w:sz="4" w:space="0" w:color="auto"/>
              <w:right w:val="single" w:sz="4" w:space="0" w:color="auto"/>
            </w:tcBorders>
            <w:vAlign w:val="center"/>
          </w:tcPr>
          <w:p w14:paraId="429F28B3" w14:textId="77777777" w:rsidR="004154DB" w:rsidRPr="00E2398D" w:rsidRDefault="004154DB" w:rsidP="00F274C6">
            <w:pPr>
              <w:pStyle w:val="TableText0"/>
              <w:jc w:val="center"/>
            </w:pPr>
            <w:r w:rsidRPr="00E2398D">
              <w:t>23</w:t>
            </w:r>
          </w:p>
        </w:tc>
        <w:tc>
          <w:tcPr>
            <w:tcW w:w="609" w:type="pct"/>
            <w:tcBorders>
              <w:top w:val="single" w:sz="4" w:space="0" w:color="auto"/>
              <w:left w:val="single" w:sz="4" w:space="0" w:color="auto"/>
              <w:bottom w:val="single" w:sz="4" w:space="0" w:color="auto"/>
              <w:right w:val="single" w:sz="4" w:space="0" w:color="auto"/>
            </w:tcBorders>
            <w:vAlign w:val="center"/>
          </w:tcPr>
          <w:p w14:paraId="6EE93B15" w14:textId="77777777" w:rsidR="004154DB" w:rsidRPr="00E2398D" w:rsidRDefault="004154DB" w:rsidP="00F274C6">
            <w:pPr>
              <w:pStyle w:val="TableText0"/>
              <w:jc w:val="center"/>
            </w:pPr>
            <w:r w:rsidRPr="00E2398D">
              <w:t>12.5</w:t>
            </w:r>
          </w:p>
        </w:tc>
        <w:tc>
          <w:tcPr>
            <w:tcW w:w="779" w:type="pct"/>
            <w:tcBorders>
              <w:top w:val="single" w:sz="4" w:space="0" w:color="auto"/>
              <w:left w:val="single" w:sz="4" w:space="0" w:color="auto"/>
              <w:bottom w:val="single" w:sz="4" w:space="0" w:color="auto"/>
              <w:right w:val="single" w:sz="4" w:space="0" w:color="auto"/>
            </w:tcBorders>
            <w:vAlign w:val="center"/>
          </w:tcPr>
          <w:p w14:paraId="048C8F97" w14:textId="77777777" w:rsidR="004154DB" w:rsidRPr="00E2398D" w:rsidRDefault="004154DB" w:rsidP="00F274C6">
            <w:pPr>
              <w:pStyle w:val="TableText0"/>
              <w:jc w:val="center"/>
            </w:pPr>
            <w:r w:rsidRPr="00E2398D">
              <w:t>10 (0.8, 20)</w:t>
            </w:r>
          </w:p>
        </w:tc>
      </w:tr>
      <w:tr w:rsidR="004154DB" w:rsidRPr="00E2398D" w14:paraId="288D23F0" w14:textId="77777777" w:rsidTr="00B20B07">
        <w:tc>
          <w:tcPr>
            <w:tcW w:w="955" w:type="pct"/>
            <w:tcBorders>
              <w:top w:val="single" w:sz="4" w:space="0" w:color="auto"/>
              <w:left w:val="single" w:sz="4" w:space="0" w:color="auto"/>
              <w:bottom w:val="single" w:sz="4" w:space="0" w:color="auto"/>
              <w:right w:val="single" w:sz="4" w:space="0" w:color="auto"/>
            </w:tcBorders>
          </w:tcPr>
          <w:p w14:paraId="3EC394A3" w14:textId="77777777" w:rsidR="004154DB" w:rsidRPr="00E2398D" w:rsidRDefault="004154DB" w:rsidP="00F274C6">
            <w:pPr>
              <w:pStyle w:val="TableText0"/>
            </w:pPr>
            <w:r w:rsidRPr="00E2398D">
              <w:t>AE leading to dose interruption, n/N (%)</w:t>
            </w:r>
          </w:p>
        </w:tc>
        <w:tc>
          <w:tcPr>
            <w:tcW w:w="613" w:type="pct"/>
            <w:tcBorders>
              <w:top w:val="single" w:sz="4" w:space="0" w:color="auto"/>
              <w:left w:val="single" w:sz="4" w:space="0" w:color="auto"/>
              <w:bottom w:val="single" w:sz="4" w:space="0" w:color="auto"/>
              <w:right w:val="single" w:sz="4" w:space="0" w:color="auto"/>
            </w:tcBorders>
            <w:vAlign w:val="center"/>
          </w:tcPr>
          <w:p w14:paraId="702A0774" w14:textId="77777777" w:rsidR="004154DB" w:rsidRPr="00E2398D" w:rsidRDefault="004154DB" w:rsidP="00F274C6">
            <w:pPr>
              <w:pStyle w:val="TableText0"/>
              <w:jc w:val="center"/>
            </w:pPr>
            <w:r w:rsidRPr="00E2398D">
              <w:t>43/172 (25.0%)</w:t>
            </w:r>
          </w:p>
        </w:tc>
        <w:tc>
          <w:tcPr>
            <w:tcW w:w="629" w:type="pct"/>
            <w:tcBorders>
              <w:top w:val="single" w:sz="4" w:space="0" w:color="auto"/>
              <w:left w:val="single" w:sz="4" w:space="0" w:color="auto"/>
              <w:bottom w:val="single" w:sz="4" w:space="0" w:color="auto"/>
              <w:right w:val="single" w:sz="4" w:space="0" w:color="auto"/>
            </w:tcBorders>
            <w:vAlign w:val="center"/>
          </w:tcPr>
          <w:p w14:paraId="176CEFF8" w14:textId="77777777" w:rsidR="004154DB" w:rsidRPr="00E2398D" w:rsidRDefault="004154DB" w:rsidP="00F274C6">
            <w:pPr>
              <w:pStyle w:val="TableText0"/>
              <w:jc w:val="center"/>
            </w:pPr>
            <w:r w:rsidRPr="00E2398D">
              <w:t>9/88 (10.2%)</w:t>
            </w:r>
          </w:p>
        </w:tc>
        <w:tc>
          <w:tcPr>
            <w:tcW w:w="819" w:type="pct"/>
            <w:tcBorders>
              <w:top w:val="single" w:sz="4" w:space="0" w:color="auto"/>
              <w:left w:val="single" w:sz="4" w:space="0" w:color="auto"/>
              <w:bottom w:val="single" w:sz="4" w:space="0" w:color="auto"/>
              <w:right w:val="single" w:sz="4" w:space="0" w:color="auto"/>
            </w:tcBorders>
            <w:vAlign w:val="center"/>
          </w:tcPr>
          <w:p w14:paraId="493EB644" w14:textId="77777777" w:rsidR="004154DB" w:rsidRPr="00E2398D" w:rsidRDefault="004154DB" w:rsidP="00F274C6">
            <w:pPr>
              <w:pStyle w:val="TableText0"/>
              <w:jc w:val="center"/>
            </w:pPr>
            <w:r w:rsidRPr="00E2398D">
              <w:t>2.44 (1.25, 4.78)</w:t>
            </w:r>
          </w:p>
        </w:tc>
        <w:tc>
          <w:tcPr>
            <w:tcW w:w="596" w:type="pct"/>
            <w:tcBorders>
              <w:top w:val="single" w:sz="4" w:space="0" w:color="auto"/>
              <w:left w:val="single" w:sz="4" w:space="0" w:color="auto"/>
              <w:bottom w:val="single" w:sz="4" w:space="0" w:color="auto"/>
              <w:right w:val="single" w:sz="4" w:space="0" w:color="auto"/>
            </w:tcBorders>
            <w:vAlign w:val="center"/>
          </w:tcPr>
          <w:p w14:paraId="05E318E3" w14:textId="77777777" w:rsidR="004154DB" w:rsidRPr="00E2398D" w:rsidRDefault="004154DB" w:rsidP="00F274C6">
            <w:pPr>
              <w:pStyle w:val="TableText0"/>
              <w:jc w:val="center"/>
            </w:pPr>
            <w:r w:rsidRPr="00E2398D">
              <w:t>25</w:t>
            </w:r>
          </w:p>
        </w:tc>
        <w:tc>
          <w:tcPr>
            <w:tcW w:w="609" w:type="pct"/>
            <w:tcBorders>
              <w:top w:val="single" w:sz="4" w:space="0" w:color="auto"/>
              <w:left w:val="single" w:sz="4" w:space="0" w:color="auto"/>
              <w:bottom w:val="single" w:sz="4" w:space="0" w:color="auto"/>
              <w:right w:val="single" w:sz="4" w:space="0" w:color="auto"/>
            </w:tcBorders>
            <w:vAlign w:val="center"/>
          </w:tcPr>
          <w:p w14:paraId="743E6932" w14:textId="77777777" w:rsidR="004154DB" w:rsidRPr="00E2398D" w:rsidRDefault="004154DB" w:rsidP="00F274C6">
            <w:pPr>
              <w:pStyle w:val="TableText0"/>
              <w:jc w:val="center"/>
            </w:pPr>
            <w:r w:rsidRPr="00E2398D">
              <w:t>10.2</w:t>
            </w:r>
          </w:p>
        </w:tc>
        <w:tc>
          <w:tcPr>
            <w:tcW w:w="779" w:type="pct"/>
            <w:tcBorders>
              <w:top w:val="single" w:sz="4" w:space="0" w:color="auto"/>
              <w:left w:val="single" w:sz="4" w:space="0" w:color="auto"/>
              <w:bottom w:val="single" w:sz="4" w:space="0" w:color="auto"/>
              <w:right w:val="single" w:sz="4" w:space="0" w:color="auto"/>
            </w:tcBorders>
            <w:vAlign w:val="center"/>
          </w:tcPr>
          <w:p w14:paraId="19568DDD" w14:textId="77777777" w:rsidR="004154DB" w:rsidRPr="00E2398D" w:rsidRDefault="004154DB" w:rsidP="00F274C6">
            <w:pPr>
              <w:pStyle w:val="TableText0"/>
              <w:jc w:val="center"/>
            </w:pPr>
            <w:r w:rsidRPr="00E2398D">
              <w:t>15 (5, 24)</w:t>
            </w:r>
          </w:p>
        </w:tc>
      </w:tr>
    </w:tbl>
    <w:p w14:paraId="49A8810F" w14:textId="77777777" w:rsidR="004154DB" w:rsidRPr="00E2398D" w:rsidRDefault="004154DB" w:rsidP="004154DB">
      <w:pPr>
        <w:pStyle w:val="FooterTableFigure"/>
        <w:widowControl w:val="0"/>
        <w:rPr>
          <w:sz w:val="20"/>
        </w:rPr>
      </w:pPr>
      <w:r w:rsidRPr="00E2398D">
        <w:t>Source: Table 2.13, p54, Table 2.14, p62, Table 2.21, p72, Table 2.22, p73 of the submission and text on p310 of updated glofitamab CSR.</w:t>
      </w:r>
    </w:p>
    <w:p w14:paraId="606BF23E" w14:textId="77777777" w:rsidR="004154DB" w:rsidRPr="00E2398D" w:rsidRDefault="004154DB" w:rsidP="004154DB">
      <w:pPr>
        <w:pStyle w:val="FooterTableFigure"/>
      </w:pPr>
      <w:r w:rsidRPr="00E2398D">
        <w:t>HR = hazard ratio; RD = risk difference; RR = risk ratio; CI = confidence interval; Glofit-GemOx = glofitamab plus gemcitabine and oxaliplatin; R-</w:t>
      </w:r>
      <w:proofErr w:type="spellStart"/>
      <w:r w:rsidRPr="00E2398D">
        <w:t>GemOx</w:t>
      </w:r>
      <w:proofErr w:type="spellEnd"/>
      <w:r w:rsidRPr="00E2398D">
        <w:t xml:space="preserve"> = rituximab plus gemcitabine and oxaliplatin; CRS=cytokine release syndrome. </w:t>
      </w:r>
    </w:p>
    <w:p w14:paraId="28390D8A" w14:textId="77777777" w:rsidR="004154DB" w:rsidRPr="00E2398D" w:rsidRDefault="004154DB" w:rsidP="00C206C6">
      <w:pPr>
        <w:numPr>
          <w:ilvl w:val="1"/>
          <w:numId w:val="1"/>
        </w:numPr>
        <w:spacing w:before="60" w:after="60"/>
        <w:rPr>
          <w:rFonts w:asciiTheme="minorHAnsi" w:hAnsiTheme="minorHAnsi"/>
          <w:snapToGrid w:val="0"/>
        </w:rPr>
      </w:pPr>
      <w:r w:rsidRPr="00E2398D">
        <w:rPr>
          <w:rFonts w:asciiTheme="minorHAnsi" w:hAnsiTheme="minorHAnsi"/>
          <w:snapToGrid w:val="0"/>
        </w:rPr>
        <w:t>On the basis of direct evidence presented by the submission, for every 100 patients treated with Glofit-GemOx in comparison to R-</w:t>
      </w:r>
      <w:proofErr w:type="spellStart"/>
      <w:r w:rsidRPr="00E2398D">
        <w:rPr>
          <w:rFonts w:asciiTheme="minorHAnsi" w:hAnsiTheme="minorHAnsi"/>
          <w:snapToGrid w:val="0"/>
        </w:rPr>
        <w:t>GemOx</w:t>
      </w:r>
      <w:proofErr w:type="spellEnd"/>
      <w:r w:rsidRPr="00E2398D">
        <w:rPr>
          <w:rFonts w:asciiTheme="minorHAnsi" w:hAnsiTheme="minorHAnsi"/>
          <w:snapToGrid w:val="0"/>
        </w:rPr>
        <w:t>:</w:t>
      </w:r>
    </w:p>
    <w:p w14:paraId="2FC938E2" w14:textId="77777777" w:rsidR="004154DB" w:rsidRPr="00E2398D" w:rsidRDefault="004154DB" w:rsidP="007368C9">
      <w:pPr>
        <w:pStyle w:val="3-BodyText"/>
        <w:numPr>
          <w:ilvl w:val="0"/>
          <w:numId w:val="18"/>
        </w:numPr>
      </w:pPr>
      <w:r w:rsidRPr="00E2398D">
        <w:t>Approximately 19 additional patients will be alive at 24-months follow-up;</w:t>
      </w:r>
    </w:p>
    <w:p w14:paraId="5597F018" w14:textId="77777777" w:rsidR="004154DB" w:rsidRPr="00E2398D" w:rsidRDefault="004154DB" w:rsidP="007368C9">
      <w:pPr>
        <w:pStyle w:val="3-BodyText"/>
        <w:numPr>
          <w:ilvl w:val="0"/>
          <w:numId w:val="18"/>
        </w:numPr>
      </w:pPr>
      <w:r w:rsidRPr="00E2398D">
        <w:t xml:space="preserve">Approximately 19 additional patients will remain progression-free at 24-months follow-up; </w:t>
      </w:r>
    </w:p>
    <w:p w14:paraId="40E2B930" w14:textId="77777777" w:rsidR="004154DB" w:rsidRPr="00E2398D" w:rsidRDefault="004154DB" w:rsidP="007368C9">
      <w:pPr>
        <w:pStyle w:val="3-BodyText"/>
        <w:numPr>
          <w:ilvl w:val="0"/>
          <w:numId w:val="18"/>
        </w:numPr>
      </w:pPr>
      <w:r w:rsidRPr="00E2398D">
        <w:t xml:space="preserve">Approximately 44 additional patients will experience cytokine release syndrome; </w:t>
      </w:r>
    </w:p>
    <w:p w14:paraId="54E73290" w14:textId="77777777" w:rsidR="004154DB" w:rsidRPr="00E2398D" w:rsidRDefault="004154DB" w:rsidP="007368C9">
      <w:pPr>
        <w:pStyle w:val="3-BodyText"/>
        <w:numPr>
          <w:ilvl w:val="0"/>
          <w:numId w:val="18"/>
        </w:numPr>
      </w:pPr>
      <w:r w:rsidRPr="00E2398D">
        <w:t>Approximately 10 additional patients will experience a serious infection;</w:t>
      </w:r>
    </w:p>
    <w:p w14:paraId="448BAD22" w14:textId="77777777" w:rsidR="004154DB" w:rsidRPr="00024490" w:rsidRDefault="004154DB" w:rsidP="007368C9">
      <w:pPr>
        <w:pStyle w:val="3-BodyText"/>
        <w:numPr>
          <w:ilvl w:val="0"/>
          <w:numId w:val="18"/>
        </w:numPr>
      </w:pPr>
      <w:r w:rsidRPr="00E2398D">
        <w:t>Approximately 15 additional patients will experience adverse event that leads to a dose interruption</w:t>
      </w:r>
      <w:r w:rsidRPr="00024490">
        <w:t xml:space="preserve"> </w:t>
      </w:r>
    </w:p>
    <w:p w14:paraId="3D7DBDA1" w14:textId="77777777" w:rsidR="004154DB" w:rsidRPr="00024490" w:rsidRDefault="004154DB" w:rsidP="004154DB">
      <w:pPr>
        <w:pStyle w:val="4-SubsectionHeading"/>
      </w:pPr>
      <w:bookmarkStart w:id="60" w:name="_Toc22897644"/>
      <w:bookmarkStart w:id="61" w:name="_Toc107927630"/>
      <w:bookmarkStart w:id="62" w:name="_Toc198716601"/>
      <w:r w:rsidRPr="00024490">
        <w:t>Clinical claim</w:t>
      </w:r>
      <w:bookmarkEnd w:id="60"/>
      <w:bookmarkEnd w:id="61"/>
      <w:bookmarkEnd w:id="62"/>
    </w:p>
    <w:p w14:paraId="1BE09FE2" w14:textId="77777777" w:rsidR="004154DB" w:rsidRPr="008939DB" w:rsidRDefault="004154DB" w:rsidP="00C206C6">
      <w:pPr>
        <w:numPr>
          <w:ilvl w:val="1"/>
          <w:numId w:val="1"/>
        </w:numPr>
        <w:spacing w:before="60" w:after="60"/>
        <w:rPr>
          <w:rFonts w:asciiTheme="minorHAnsi" w:hAnsiTheme="minorHAnsi"/>
          <w:iCs/>
          <w:snapToGrid w:val="0"/>
        </w:rPr>
      </w:pPr>
      <w:r w:rsidRPr="008939DB">
        <w:rPr>
          <w:rFonts w:asciiTheme="minorHAnsi" w:hAnsiTheme="minorHAnsi"/>
          <w:iCs/>
          <w:snapToGrid w:val="0"/>
        </w:rPr>
        <w:t>The submission described Glofit-GemOx as superior in terms of effectiveness and non-inferior in terms of safety compared to R-</w:t>
      </w:r>
      <w:proofErr w:type="spellStart"/>
      <w:r w:rsidRPr="008939DB">
        <w:rPr>
          <w:rFonts w:asciiTheme="minorHAnsi" w:hAnsiTheme="minorHAnsi"/>
          <w:iCs/>
          <w:snapToGrid w:val="0"/>
        </w:rPr>
        <w:t>GemOx</w:t>
      </w:r>
      <w:proofErr w:type="spellEnd"/>
      <w:r w:rsidRPr="008939DB">
        <w:rPr>
          <w:rFonts w:asciiTheme="minorHAnsi" w:hAnsiTheme="minorHAnsi"/>
          <w:iCs/>
          <w:snapToGrid w:val="0"/>
        </w:rPr>
        <w:t>.</w:t>
      </w:r>
    </w:p>
    <w:p w14:paraId="13626524" w14:textId="570E488D" w:rsidR="004154DB" w:rsidRPr="008939DB" w:rsidRDefault="004154DB" w:rsidP="00C206C6">
      <w:pPr>
        <w:numPr>
          <w:ilvl w:val="1"/>
          <w:numId w:val="1"/>
        </w:numPr>
        <w:spacing w:before="60" w:after="60"/>
        <w:rPr>
          <w:rFonts w:asciiTheme="minorHAnsi" w:hAnsiTheme="minorHAnsi"/>
          <w:iCs/>
          <w:snapToGrid w:val="0"/>
        </w:rPr>
      </w:pPr>
      <w:r w:rsidRPr="008939DB">
        <w:rPr>
          <w:rFonts w:asciiTheme="minorHAnsi" w:hAnsiTheme="minorHAnsi"/>
          <w:iCs/>
          <w:snapToGrid w:val="0"/>
        </w:rPr>
        <w:t>The clinical evidence presented in the submission reasonably supported the claim of superior effectiveness for patients with R/R DLBCL after one or more lines of prior therapy and who are considered transplant ineligible. The STARGLO trial met its’ primary endpoint at the interim analysis demonstrating statistically significant improvement</w:t>
      </w:r>
      <w:r w:rsidR="00E53DD2" w:rsidRPr="008939DB">
        <w:rPr>
          <w:rFonts w:asciiTheme="minorHAnsi" w:hAnsiTheme="minorHAnsi"/>
          <w:iCs/>
          <w:snapToGrid w:val="0"/>
        </w:rPr>
        <w:t>s</w:t>
      </w:r>
      <w:r w:rsidRPr="008939DB">
        <w:rPr>
          <w:rFonts w:asciiTheme="minorHAnsi" w:hAnsiTheme="minorHAnsi"/>
          <w:iCs/>
          <w:snapToGrid w:val="0"/>
        </w:rPr>
        <w:t xml:space="preserve"> in OS, PFS and CR with Glofit-GemOx compared to R-</w:t>
      </w:r>
      <w:proofErr w:type="spellStart"/>
      <w:r w:rsidRPr="008939DB">
        <w:rPr>
          <w:rFonts w:asciiTheme="minorHAnsi" w:hAnsiTheme="minorHAnsi"/>
          <w:iCs/>
          <w:snapToGrid w:val="0"/>
        </w:rPr>
        <w:t>GemOx</w:t>
      </w:r>
      <w:proofErr w:type="spellEnd"/>
      <w:r w:rsidRPr="008939DB">
        <w:rPr>
          <w:rFonts w:asciiTheme="minorHAnsi" w:hAnsiTheme="minorHAnsi"/>
          <w:iCs/>
          <w:snapToGrid w:val="0"/>
        </w:rPr>
        <w:t xml:space="preserve">. Despite inconsistent findings across some unstratified exploratory subgroup analyses (notably </w:t>
      </w:r>
      <w:r w:rsidRPr="00960D90">
        <w:rPr>
          <w:rFonts w:asciiTheme="minorHAnsi" w:hAnsiTheme="minorHAnsi"/>
          <w:iCs/>
          <w:snapToGrid w:val="0"/>
        </w:rPr>
        <w:t xml:space="preserve">by race and geographic region for enrolment), multiple factors likely confounded these results and the TGA evaluator concluded that the ITT results </w:t>
      </w:r>
      <w:r w:rsidR="00750D5D" w:rsidRPr="00960D90">
        <w:rPr>
          <w:rFonts w:asciiTheme="minorHAnsi" w:hAnsiTheme="minorHAnsi"/>
          <w:iCs/>
          <w:snapToGrid w:val="0"/>
        </w:rPr>
        <w:t xml:space="preserve">were </w:t>
      </w:r>
      <w:r w:rsidRPr="00960D90">
        <w:rPr>
          <w:rFonts w:asciiTheme="minorHAnsi" w:hAnsiTheme="minorHAnsi"/>
          <w:iCs/>
          <w:snapToGrid w:val="0"/>
        </w:rPr>
        <w:t>most likely applicable to the Australian population</w:t>
      </w:r>
      <w:r w:rsidR="00C063C0" w:rsidRPr="00960D90">
        <w:rPr>
          <w:rFonts w:asciiTheme="minorHAnsi" w:hAnsiTheme="minorHAnsi"/>
          <w:iCs/>
          <w:snapToGrid w:val="0"/>
        </w:rPr>
        <w:t>.</w:t>
      </w:r>
      <w:r w:rsidR="00C9555A" w:rsidRPr="00960D90">
        <w:rPr>
          <w:rFonts w:asciiTheme="minorHAnsi" w:hAnsiTheme="minorHAnsi"/>
          <w:iCs/>
          <w:snapToGrid w:val="0"/>
        </w:rPr>
        <w:t xml:space="preserve"> </w:t>
      </w:r>
      <w:r w:rsidR="00F67C8B" w:rsidRPr="00960D90">
        <w:rPr>
          <w:rFonts w:asciiTheme="minorHAnsi" w:hAnsiTheme="minorHAnsi"/>
          <w:iCs/>
          <w:snapToGrid w:val="0"/>
        </w:rPr>
        <w:t>I</w:t>
      </w:r>
      <w:r w:rsidRPr="00960D90">
        <w:rPr>
          <w:rFonts w:asciiTheme="minorHAnsi" w:hAnsiTheme="minorHAnsi"/>
          <w:iCs/>
          <w:snapToGrid w:val="0"/>
        </w:rPr>
        <w:t xml:space="preserve">t was </w:t>
      </w:r>
      <w:r w:rsidR="00F67C8B" w:rsidRPr="00960D90">
        <w:rPr>
          <w:rFonts w:asciiTheme="minorHAnsi" w:hAnsiTheme="minorHAnsi"/>
          <w:iCs/>
          <w:snapToGrid w:val="0"/>
        </w:rPr>
        <w:t xml:space="preserve">also </w:t>
      </w:r>
      <w:r w:rsidRPr="00960D90">
        <w:rPr>
          <w:rFonts w:asciiTheme="minorHAnsi" w:hAnsiTheme="minorHAnsi"/>
          <w:iCs/>
          <w:snapToGrid w:val="0"/>
        </w:rPr>
        <w:t xml:space="preserve">unclear whether the same magnitude of effect would be observed in clinical practice, given the changing landscape of </w:t>
      </w:r>
      <w:r w:rsidR="000940C3" w:rsidRPr="00960D90">
        <w:rPr>
          <w:rFonts w:asciiTheme="minorHAnsi" w:hAnsiTheme="minorHAnsi"/>
          <w:iCs/>
          <w:snapToGrid w:val="0"/>
        </w:rPr>
        <w:t>CAR-T cell therapy</w:t>
      </w:r>
      <w:r w:rsidRPr="00960D90">
        <w:rPr>
          <w:rFonts w:asciiTheme="minorHAnsi" w:hAnsiTheme="minorHAnsi"/>
          <w:iCs/>
          <w:snapToGrid w:val="0"/>
        </w:rPr>
        <w:t xml:space="preserve"> in Australia and other potential applicability issues </w:t>
      </w:r>
      <w:r w:rsidR="00750D5D" w:rsidRPr="00960D90">
        <w:rPr>
          <w:rFonts w:asciiTheme="minorHAnsi" w:hAnsiTheme="minorHAnsi"/>
          <w:iCs/>
          <w:snapToGrid w:val="0"/>
        </w:rPr>
        <w:t>of the STARGLO trial (</w:t>
      </w:r>
      <w:r w:rsidRPr="00960D90">
        <w:rPr>
          <w:rFonts w:asciiTheme="minorHAnsi" w:hAnsiTheme="minorHAnsi"/>
          <w:iCs/>
          <w:snapToGrid w:val="0"/>
        </w:rPr>
        <w:t>such as the impact of the enrolment caps</w:t>
      </w:r>
      <w:r w:rsidR="00750D5D" w:rsidRPr="00960D90">
        <w:rPr>
          <w:rFonts w:asciiTheme="minorHAnsi" w:hAnsiTheme="minorHAnsi"/>
          <w:iCs/>
          <w:snapToGrid w:val="0"/>
        </w:rPr>
        <w:t>, the 14-day versus 21-day dosing of R-</w:t>
      </w:r>
      <w:proofErr w:type="spellStart"/>
      <w:r w:rsidR="00750D5D" w:rsidRPr="00960D90">
        <w:rPr>
          <w:rFonts w:asciiTheme="minorHAnsi" w:hAnsiTheme="minorHAnsi"/>
          <w:iCs/>
          <w:snapToGrid w:val="0"/>
        </w:rPr>
        <w:t>GemOx</w:t>
      </w:r>
      <w:proofErr w:type="spellEnd"/>
      <w:r w:rsidR="00750D5D" w:rsidRPr="00960D90">
        <w:rPr>
          <w:rFonts w:asciiTheme="minorHAnsi" w:hAnsiTheme="minorHAnsi"/>
          <w:iCs/>
          <w:snapToGrid w:val="0"/>
        </w:rPr>
        <w:t>,</w:t>
      </w:r>
      <w:r w:rsidRPr="00960D90">
        <w:rPr>
          <w:rFonts w:asciiTheme="minorHAnsi" w:hAnsiTheme="minorHAnsi"/>
          <w:iCs/>
          <w:snapToGrid w:val="0"/>
        </w:rPr>
        <w:t xml:space="preserve"> and the high proportion of patients who were considered ineligible for ASCT due to patient refusal</w:t>
      </w:r>
      <w:r w:rsidR="00750D5D" w:rsidRPr="00960D90">
        <w:rPr>
          <w:rFonts w:asciiTheme="minorHAnsi" w:hAnsiTheme="minorHAnsi"/>
          <w:iCs/>
          <w:snapToGrid w:val="0"/>
        </w:rPr>
        <w:t>)</w:t>
      </w:r>
      <w:r w:rsidRPr="00960D90">
        <w:rPr>
          <w:rFonts w:asciiTheme="minorHAnsi" w:hAnsiTheme="minorHAnsi"/>
          <w:iCs/>
          <w:snapToGrid w:val="0"/>
        </w:rPr>
        <w:t>.</w:t>
      </w:r>
      <w:r w:rsidR="00C063C0" w:rsidRPr="00960D90">
        <w:rPr>
          <w:rFonts w:asciiTheme="minorHAnsi" w:hAnsiTheme="minorHAnsi"/>
          <w:iCs/>
          <w:snapToGrid w:val="0"/>
        </w:rPr>
        <w:t xml:space="preserve"> </w:t>
      </w:r>
      <w:r w:rsidR="00FB72A6" w:rsidRPr="00960D90">
        <w:rPr>
          <w:rFonts w:asciiTheme="minorHAnsi" w:hAnsiTheme="minorHAnsi"/>
          <w:iCs/>
          <w:snapToGrid w:val="0"/>
        </w:rPr>
        <w:t>The ESC considered that the clinical claim for efficacy had been met</w:t>
      </w:r>
      <w:r w:rsidR="00AD04AE" w:rsidRPr="00960D90">
        <w:rPr>
          <w:rFonts w:asciiTheme="minorHAnsi" w:hAnsiTheme="minorHAnsi"/>
          <w:iCs/>
          <w:snapToGrid w:val="0"/>
        </w:rPr>
        <w:t>, although there was uncertainty regarding the magnitude</w:t>
      </w:r>
      <w:r w:rsidR="00AD04AE" w:rsidRPr="008939DB">
        <w:rPr>
          <w:rFonts w:asciiTheme="minorHAnsi" w:hAnsiTheme="minorHAnsi"/>
          <w:iCs/>
          <w:snapToGrid w:val="0"/>
        </w:rPr>
        <w:t xml:space="preserve"> of benefit</w:t>
      </w:r>
      <w:r w:rsidR="00FB72A6" w:rsidRPr="008939DB">
        <w:rPr>
          <w:rFonts w:asciiTheme="minorHAnsi" w:hAnsiTheme="minorHAnsi"/>
          <w:iCs/>
          <w:snapToGrid w:val="0"/>
        </w:rPr>
        <w:t xml:space="preserve">. The </w:t>
      </w:r>
      <w:r w:rsidR="0058373A" w:rsidRPr="008939DB">
        <w:rPr>
          <w:rFonts w:asciiTheme="minorHAnsi" w:hAnsiTheme="minorHAnsi"/>
          <w:iCs/>
          <w:snapToGrid w:val="0"/>
        </w:rPr>
        <w:t xml:space="preserve">ESC acknowledged the </w:t>
      </w:r>
      <w:r w:rsidR="00FB72A6" w:rsidRPr="008939DB">
        <w:rPr>
          <w:rFonts w:asciiTheme="minorHAnsi" w:hAnsiTheme="minorHAnsi"/>
          <w:iCs/>
          <w:snapToGrid w:val="0"/>
        </w:rPr>
        <w:t xml:space="preserve">concern about the racial differences in the subgroup analyses </w:t>
      </w:r>
      <w:r w:rsidR="00803F65" w:rsidRPr="008939DB">
        <w:rPr>
          <w:rFonts w:asciiTheme="minorHAnsi" w:hAnsiTheme="minorHAnsi"/>
          <w:iCs/>
          <w:snapToGrid w:val="0"/>
        </w:rPr>
        <w:t>but</w:t>
      </w:r>
      <w:r w:rsidR="001062ED" w:rsidRPr="008939DB">
        <w:rPr>
          <w:rFonts w:asciiTheme="minorHAnsi" w:hAnsiTheme="minorHAnsi"/>
          <w:iCs/>
          <w:snapToGrid w:val="0"/>
        </w:rPr>
        <w:t xml:space="preserve"> </w:t>
      </w:r>
      <w:r w:rsidR="00137276" w:rsidRPr="008939DB">
        <w:rPr>
          <w:rFonts w:asciiTheme="minorHAnsi" w:hAnsiTheme="minorHAnsi"/>
          <w:iCs/>
          <w:snapToGrid w:val="0"/>
        </w:rPr>
        <w:t>advised</w:t>
      </w:r>
      <w:r w:rsidR="00FB72A6" w:rsidRPr="008939DB">
        <w:rPr>
          <w:rFonts w:asciiTheme="minorHAnsi" w:hAnsiTheme="minorHAnsi"/>
          <w:iCs/>
          <w:snapToGrid w:val="0"/>
        </w:rPr>
        <w:t xml:space="preserve"> </w:t>
      </w:r>
      <w:r w:rsidR="001062ED" w:rsidRPr="008939DB">
        <w:rPr>
          <w:rFonts w:asciiTheme="minorHAnsi" w:hAnsiTheme="minorHAnsi"/>
          <w:iCs/>
          <w:snapToGrid w:val="0"/>
        </w:rPr>
        <w:t xml:space="preserve">that </w:t>
      </w:r>
      <w:r w:rsidR="00FB72A6" w:rsidRPr="008939DB">
        <w:rPr>
          <w:rFonts w:asciiTheme="minorHAnsi" w:hAnsiTheme="minorHAnsi"/>
          <w:iCs/>
          <w:snapToGrid w:val="0"/>
        </w:rPr>
        <w:t xml:space="preserve">the subgroup analyses were </w:t>
      </w:r>
      <w:r w:rsidR="00D3643E" w:rsidRPr="008939DB">
        <w:rPr>
          <w:rFonts w:asciiTheme="minorHAnsi" w:hAnsiTheme="minorHAnsi"/>
          <w:iCs/>
          <w:snapToGrid w:val="0"/>
        </w:rPr>
        <w:t xml:space="preserve">not powered to </w:t>
      </w:r>
      <w:r w:rsidR="00E24893" w:rsidRPr="008939DB">
        <w:rPr>
          <w:rFonts w:asciiTheme="minorHAnsi" w:hAnsiTheme="minorHAnsi"/>
          <w:iCs/>
          <w:snapToGrid w:val="0"/>
        </w:rPr>
        <w:t xml:space="preserve">detect a difference in </w:t>
      </w:r>
      <w:r w:rsidR="00B17EEE" w:rsidRPr="008939DB">
        <w:rPr>
          <w:rFonts w:asciiTheme="minorHAnsi" w:hAnsiTheme="minorHAnsi"/>
          <w:iCs/>
          <w:snapToGrid w:val="0"/>
        </w:rPr>
        <w:t>outcomes</w:t>
      </w:r>
      <w:r w:rsidR="00255918" w:rsidRPr="008939DB">
        <w:rPr>
          <w:rFonts w:asciiTheme="minorHAnsi" w:hAnsiTheme="minorHAnsi"/>
          <w:iCs/>
          <w:snapToGrid w:val="0"/>
        </w:rPr>
        <w:t xml:space="preserve">. In addition, the ESC considered </w:t>
      </w:r>
      <w:r w:rsidR="003D14C4" w:rsidRPr="008939DB">
        <w:rPr>
          <w:rFonts w:asciiTheme="minorHAnsi" w:hAnsiTheme="minorHAnsi"/>
          <w:iCs/>
          <w:snapToGrid w:val="0"/>
        </w:rPr>
        <w:t xml:space="preserve">that </w:t>
      </w:r>
      <w:r w:rsidR="00FB72A6" w:rsidRPr="008939DB">
        <w:rPr>
          <w:rFonts w:asciiTheme="minorHAnsi" w:hAnsiTheme="minorHAnsi"/>
          <w:iCs/>
          <w:snapToGrid w:val="0"/>
        </w:rPr>
        <w:t>the post-trial treatments</w:t>
      </w:r>
      <w:r w:rsidR="003D14C4" w:rsidRPr="008939DB">
        <w:rPr>
          <w:rFonts w:asciiTheme="minorHAnsi" w:hAnsiTheme="minorHAnsi"/>
          <w:iCs/>
          <w:snapToGrid w:val="0"/>
        </w:rPr>
        <w:t xml:space="preserve"> likely</w:t>
      </w:r>
      <w:r w:rsidR="00FB72A6" w:rsidRPr="008939DB">
        <w:rPr>
          <w:rFonts w:asciiTheme="minorHAnsi" w:hAnsiTheme="minorHAnsi"/>
          <w:iCs/>
          <w:snapToGrid w:val="0"/>
        </w:rPr>
        <w:t xml:space="preserve"> contributed to the difference</w:t>
      </w:r>
      <w:r w:rsidR="000048A6" w:rsidRPr="008939DB">
        <w:rPr>
          <w:rFonts w:asciiTheme="minorHAnsi" w:hAnsiTheme="minorHAnsi"/>
          <w:iCs/>
          <w:snapToGrid w:val="0"/>
        </w:rPr>
        <w:t>s</w:t>
      </w:r>
      <w:r w:rsidR="00FB72A6" w:rsidRPr="008939DB">
        <w:rPr>
          <w:rFonts w:asciiTheme="minorHAnsi" w:hAnsiTheme="minorHAnsi"/>
          <w:iCs/>
          <w:snapToGrid w:val="0"/>
        </w:rPr>
        <w:t xml:space="preserve"> in the outcomes </w:t>
      </w:r>
      <w:r w:rsidR="000048A6" w:rsidRPr="008939DB">
        <w:rPr>
          <w:rFonts w:asciiTheme="minorHAnsi" w:hAnsiTheme="minorHAnsi"/>
          <w:iCs/>
          <w:snapToGrid w:val="0"/>
        </w:rPr>
        <w:t xml:space="preserve">reported </w:t>
      </w:r>
      <w:r w:rsidR="00FB72A6" w:rsidRPr="008939DB">
        <w:rPr>
          <w:rFonts w:asciiTheme="minorHAnsi" w:hAnsiTheme="minorHAnsi"/>
          <w:iCs/>
          <w:snapToGrid w:val="0"/>
        </w:rPr>
        <w:t>in the racial groups</w:t>
      </w:r>
      <w:r w:rsidR="00D30501" w:rsidRPr="008939DB">
        <w:rPr>
          <w:rFonts w:asciiTheme="minorHAnsi" w:hAnsiTheme="minorHAnsi"/>
          <w:iCs/>
          <w:snapToGrid w:val="0"/>
        </w:rPr>
        <w:t>.</w:t>
      </w:r>
      <w:r w:rsidR="009D2181" w:rsidRPr="008939DB">
        <w:rPr>
          <w:rFonts w:asciiTheme="minorHAnsi" w:hAnsiTheme="minorHAnsi"/>
          <w:iCs/>
          <w:snapToGrid w:val="0"/>
        </w:rPr>
        <w:t xml:space="preserve"> Noting that advice from ACM was being sought on the issue the ESC</w:t>
      </w:r>
      <w:r w:rsidR="00024C5B" w:rsidRPr="008939DB">
        <w:rPr>
          <w:rFonts w:asciiTheme="minorHAnsi" w:hAnsiTheme="minorHAnsi"/>
          <w:iCs/>
          <w:snapToGrid w:val="0"/>
        </w:rPr>
        <w:t xml:space="preserve"> </w:t>
      </w:r>
      <w:r w:rsidR="00B17EEE" w:rsidRPr="008939DB">
        <w:rPr>
          <w:rFonts w:asciiTheme="minorHAnsi" w:hAnsiTheme="minorHAnsi"/>
          <w:iCs/>
          <w:snapToGrid w:val="0"/>
        </w:rPr>
        <w:t xml:space="preserve">considered </w:t>
      </w:r>
      <w:r w:rsidR="00605F02" w:rsidRPr="008939DB">
        <w:rPr>
          <w:rFonts w:asciiTheme="minorHAnsi" w:hAnsiTheme="minorHAnsi"/>
          <w:iCs/>
          <w:snapToGrid w:val="0"/>
        </w:rPr>
        <w:t xml:space="preserve">that the ITT results were most likely applicable to the Australian population. </w:t>
      </w:r>
      <w:r w:rsidR="00DE5BE6">
        <w:rPr>
          <w:rFonts w:asciiTheme="minorHAnsi" w:hAnsiTheme="minorHAnsi"/>
          <w:snapToGrid w:val="0"/>
        </w:rPr>
        <w:t>The pre-PBAC response noted that the ACM held the view that the efficacy data were adequate to support use in the Australian population.</w:t>
      </w:r>
    </w:p>
    <w:p w14:paraId="40CEC6DB" w14:textId="5A021BCB" w:rsidR="004154DB" w:rsidRDefault="004154DB" w:rsidP="00C206C6">
      <w:pPr>
        <w:numPr>
          <w:ilvl w:val="1"/>
          <w:numId w:val="1"/>
        </w:numPr>
        <w:spacing w:before="60" w:after="60"/>
        <w:rPr>
          <w:rFonts w:asciiTheme="minorHAnsi" w:hAnsiTheme="minorHAnsi"/>
          <w:iCs/>
          <w:snapToGrid w:val="0"/>
        </w:rPr>
      </w:pPr>
      <w:r w:rsidRPr="008939DB">
        <w:rPr>
          <w:rFonts w:asciiTheme="minorHAnsi" w:hAnsiTheme="minorHAnsi"/>
          <w:iCs/>
          <w:snapToGrid w:val="0"/>
        </w:rPr>
        <w:t xml:space="preserve">The </w:t>
      </w:r>
      <w:r w:rsidR="00990EFF">
        <w:rPr>
          <w:rFonts w:asciiTheme="minorHAnsi" w:hAnsiTheme="minorHAnsi"/>
          <w:iCs/>
          <w:snapToGrid w:val="0"/>
        </w:rPr>
        <w:t xml:space="preserve">evaluation considered the </w:t>
      </w:r>
      <w:r w:rsidRPr="008939DB">
        <w:rPr>
          <w:rFonts w:asciiTheme="minorHAnsi" w:hAnsiTheme="minorHAnsi"/>
          <w:iCs/>
          <w:snapToGrid w:val="0"/>
        </w:rPr>
        <w:t xml:space="preserve">clinical evidence did not support the claim of non-inferior safety. There </w:t>
      </w:r>
      <w:r w:rsidR="00750D5D" w:rsidRPr="008939DB">
        <w:rPr>
          <w:rFonts w:asciiTheme="minorHAnsi" w:hAnsiTheme="minorHAnsi"/>
          <w:iCs/>
          <w:snapToGrid w:val="0"/>
        </w:rPr>
        <w:t xml:space="preserve">was strong </w:t>
      </w:r>
      <w:r w:rsidRPr="008939DB">
        <w:rPr>
          <w:rFonts w:asciiTheme="minorHAnsi" w:hAnsiTheme="minorHAnsi"/>
          <w:iCs/>
          <w:snapToGrid w:val="0"/>
        </w:rPr>
        <w:t xml:space="preserve">evidence of higher incidence of AEs, SAEs, </w:t>
      </w:r>
      <w:r w:rsidR="00BA2241" w:rsidRPr="008939DB">
        <w:rPr>
          <w:rFonts w:asciiTheme="minorHAnsi" w:hAnsiTheme="minorHAnsi"/>
          <w:iCs/>
          <w:snapToGrid w:val="0"/>
        </w:rPr>
        <w:t>G</w:t>
      </w:r>
      <w:r w:rsidRPr="008939DB">
        <w:rPr>
          <w:rFonts w:asciiTheme="minorHAnsi" w:hAnsiTheme="minorHAnsi"/>
          <w:iCs/>
          <w:snapToGrid w:val="0"/>
        </w:rPr>
        <w:t>rade 3-5 AEs, AEs of special interest and AEs leading to treatment discontinuation or dose interruption in the Glofit-GemOx arm compared to R-</w:t>
      </w:r>
      <w:proofErr w:type="spellStart"/>
      <w:r w:rsidRPr="008939DB">
        <w:rPr>
          <w:rFonts w:asciiTheme="minorHAnsi" w:hAnsiTheme="minorHAnsi"/>
          <w:iCs/>
          <w:snapToGrid w:val="0"/>
        </w:rPr>
        <w:t>GemOx</w:t>
      </w:r>
      <w:proofErr w:type="spellEnd"/>
      <w:r w:rsidR="00457A33" w:rsidRPr="008939DB">
        <w:rPr>
          <w:rFonts w:asciiTheme="minorHAnsi" w:hAnsiTheme="minorHAnsi"/>
          <w:iCs/>
          <w:snapToGrid w:val="0"/>
        </w:rPr>
        <w:t xml:space="preserve">. </w:t>
      </w:r>
      <w:r w:rsidR="00B45250" w:rsidRPr="008939DB">
        <w:rPr>
          <w:rFonts w:asciiTheme="minorHAnsi" w:hAnsiTheme="minorHAnsi"/>
          <w:iCs/>
          <w:snapToGrid w:val="0"/>
        </w:rPr>
        <w:t xml:space="preserve">The evaluation considered this would </w:t>
      </w:r>
      <w:r w:rsidRPr="008939DB">
        <w:rPr>
          <w:rFonts w:asciiTheme="minorHAnsi" w:hAnsiTheme="minorHAnsi"/>
          <w:iCs/>
          <w:snapToGrid w:val="0"/>
        </w:rPr>
        <w:t>likely lead to increased patient burden and substantially increased healthcare expenditures through additional treatments, extended hospital stays, and follow-up care requirements.</w:t>
      </w:r>
      <w:r w:rsidR="002C01EA" w:rsidRPr="008939DB">
        <w:rPr>
          <w:rFonts w:asciiTheme="minorHAnsi" w:hAnsiTheme="minorHAnsi"/>
          <w:iCs/>
          <w:snapToGrid w:val="0"/>
        </w:rPr>
        <w:t xml:space="preserve"> </w:t>
      </w:r>
      <w:r w:rsidR="001E0BAE" w:rsidRPr="008939DB">
        <w:rPr>
          <w:rFonts w:asciiTheme="minorHAnsi" w:hAnsiTheme="minorHAnsi"/>
          <w:iCs/>
          <w:snapToGrid w:val="0"/>
        </w:rPr>
        <w:t xml:space="preserve">The ESC </w:t>
      </w:r>
      <w:r w:rsidR="002A5F40" w:rsidRPr="008939DB">
        <w:rPr>
          <w:rFonts w:asciiTheme="minorHAnsi" w:hAnsiTheme="minorHAnsi"/>
          <w:iCs/>
          <w:snapToGrid w:val="0"/>
        </w:rPr>
        <w:t>considered that the safety of Glofit</w:t>
      </w:r>
      <w:r w:rsidR="008616D2" w:rsidRPr="008939DB">
        <w:rPr>
          <w:rFonts w:asciiTheme="minorHAnsi" w:hAnsiTheme="minorHAnsi"/>
          <w:iCs/>
          <w:snapToGrid w:val="0"/>
        </w:rPr>
        <w:t>-GemOx was inferior to R-</w:t>
      </w:r>
      <w:proofErr w:type="spellStart"/>
      <w:r w:rsidR="008616D2" w:rsidRPr="008939DB">
        <w:rPr>
          <w:rFonts w:asciiTheme="minorHAnsi" w:hAnsiTheme="minorHAnsi"/>
          <w:iCs/>
          <w:snapToGrid w:val="0"/>
        </w:rPr>
        <w:t>GemOx</w:t>
      </w:r>
      <w:proofErr w:type="spellEnd"/>
      <w:r w:rsidR="003043DF" w:rsidRPr="008939DB">
        <w:rPr>
          <w:rFonts w:asciiTheme="minorHAnsi" w:hAnsiTheme="minorHAnsi"/>
          <w:iCs/>
          <w:snapToGrid w:val="0"/>
        </w:rPr>
        <w:t xml:space="preserve">. </w:t>
      </w:r>
      <w:r w:rsidR="008616D2" w:rsidRPr="008939DB">
        <w:rPr>
          <w:rFonts w:asciiTheme="minorHAnsi" w:hAnsiTheme="minorHAnsi"/>
          <w:iCs/>
          <w:snapToGrid w:val="0"/>
        </w:rPr>
        <w:t xml:space="preserve"> </w:t>
      </w:r>
      <w:r w:rsidR="00B317BF">
        <w:rPr>
          <w:rFonts w:asciiTheme="minorHAnsi" w:hAnsiTheme="minorHAnsi"/>
          <w:iCs/>
          <w:snapToGrid w:val="0"/>
        </w:rPr>
        <w:t xml:space="preserve"> </w:t>
      </w:r>
    </w:p>
    <w:p w14:paraId="7A47C07C" w14:textId="2A185552" w:rsidR="00B317BF" w:rsidRPr="007D1C38" w:rsidRDefault="00B317BF" w:rsidP="00B317BF">
      <w:pPr>
        <w:widowControl w:val="0"/>
        <w:numPr>
          <w:ilvl w:val="1"/>
          <w:numId w:val="1"/>
        </w:numPr>
        <w:spacing w:after="120"/>
        <w:rPr>
          <w:rFonts w:asciiTheme="minorHAnsi" w:hAnsiTheme="minorHAnsi"/>
          <w:snapToGrid w:val="0"/>
          <w:szCs w:val="20"/>
        </w:rPr>
      </w:pPr>
      <w:bookmarkStart w:id="63" w:name="_Hlk76376200"/>
      <w:r w:rsidRPr="007D1C38">
        <w:rPr>
          <w:rFonts w:asciiTheme="minorHAnsi" w:hAnsiTheme="minorHAnsi"/>
          <w:iCs/>
          <w:snapToGrid w:val="0"/>
        </w:rPr>
        <w:t>The</w:t>
      </w:r>
      <w:r w:rsidRPr="007D1C38">
        <w:rPr>
          <w:rFonts w:asciiTheme="minorHAnsi" w:hAnsiTheme="minorHAnsi"/>
          <w:snapToGrid w:val="0"/>
          <w:szCs w:val="20"/>
        </w:rPr>
        <w:t xml:space="preserve"> PBAC considered that the claim of superior comparative effectiveness was reasonable</w:t>
      </w:r>
      <w:r w:rsidR="00577643" w:rsidRPr="007D1C38">
        <w:rPr>
          <w:rFonts w:asciiTheme="minorHAnsi" w:hAnsiTheme="minorHAnsi"/>
          <w:snapToGrid w:val="0"/>
          <w:szCs w:val="20"/>
        </w:rPr>
        <w:t>.</w:t>
      </w:r>
    </w:p>
    <w:p w14:paraId="2DB0419F" w14:textId="413413D1" w:rsidR="00B317BF" w:rsidRPr="007C15BF" w:rsidRDefault="00B317BF" w:rsidP="00B317BF">
      <w:pPr>
        <w:widowControl w:val="0"/>
        <w:numPr>
          <w:ilvl w:val="1"/>
          <w:numId w:val="1"/>
        </w:numPr>
        <w:spacing w:after="120"/>
        <w:rPr>
          <w:rFonts w:asciiTheme="minorHAnsi" w:hAnsiTheme="minorHAnsi"/>
          <w:snapToGrid w:val="0"/>
          <w:szCs w:val="20"/>
        </w:rPr>
      </w:pPr>
      <w:r w:rsidRPr="007C15BF">
        <w:rPr>
          <w:rFonts w:asciiTheme="minorHAnsi" w:hAnsiTheme="minorHAnsi"/>
          <w:snapToGrid w:val="0"/>
          <w:szCs w:val="20"/>
        </w:rPr>
        <w:t xml:space="preserve">The PBAC considered that the claim of non-inferior comparative safety was </w:t>
      </w:r>
      <w:r w:rsidR="00577643" w:rsidRPr="007C15BF">
        <w:rPr>
          <w:rFonts w:asciiTheme="minorHAnsi" w:hAnsiTheme="minorHAnsi"/>
          <w:snapToGrid w:val="0"/>
          <w:szCs w:val="20"/>
        </w:rPr>
        <w:t xml:space="preserve">not adequately supported </w:t>
      </w:r>
      <w:r w:rsidR="00D244D6">
        <w:rPr>
          <w:rFonts w:asciiTheme="minorHAnsi" w:hAnsiTheme="minorHAnsi"/>
          <w:snapToGrid w:val="0"/>
          <w:szCs w:val="20"/>
        </w:rPr>
        <w:t>by the data</w:t>
      </w:r>
      <w:r w:rsidR="00FD2E24">
        <w:rPr>
          <w:rFonts w:asciiTheme="minorHAnsi" w:hAnsiTheme="minorHAnsi"/>
          <w:snapToGrid w:val="0"/>
          <w:szCs w:val="20"/>
        </w:rPr>
        <w:t xml:space="preserve">. The PBAC agreed with the ESC that </w:t>
      </w:r>
      <w:r w:rsidR="0067434C">
        <w:rPr>
          <w:rFonts w:asciiTheme="minorHAnsi" w:hAnsiTheme="minorHAnsi"/>
          <w:snapToGrid w:val="0"/>
          <w:szCs w:val="20"/>
        </w:rPr>
        <w:t>the comparative safety of Glofit-GemOx was inferior to R-</w:t>
      </w:r>
      <w:proofErr w:type="spellStart"/>
      <w:r w:rsidR="0067434C">
        <w:rPr>
          <w:rFonts w:asciiTheme="minorHAnsi" w:hAnsiTheme="minorHAnsi"/>
          <w:snapToGrid w:val="0"/>
          <w:szCs w:val="20"/>
        </w:rPr>
        <w:t>GemOx</w:t>
      </w:r>
      <w:proofErr w:type="spellEnd"/>
      <w:r w:rsidR="005E1A48" w:rsidRPr="007C15BF">
        <w:rPr>
          <w:rFonts w:asciiTheme="minorHAnsi" w:hAnsiTheme="minorHAnsi"/>
          <w:snapToGrid w:val="0"/>
          <w:szCs w:val="20"/>
        </w:rPr>
        <w:t xml:space="preserve">. </w:t>
      </w:r>
    </w:p>
    <w:bookmarkEnd w:id="63"/>
    <w:p w14:paraId="5233575A" w14:textId="77777777" w:rsidR="00B317BF" w:rsidRPr="008939DB" w:rsidRDefault="00B317BF" w:rsidP="00B317BF">
      <w:pPr>
        <w:spacing w:before="60" w:after="60"/>
        <w:rPr>
          <w:rFonts w:asciiTheme="minorHAnsi" w:hAnsiTheme="minorHAnsi"/>
          <w:iCs/>
          <w:snapToGrid w:val="0"/>
        </w:rPr>
      </w:pPr>
    </w:p>
    <w:p w14:paraId="17EE2731" w14:textId="2E8E38F9" w:rsidR="002A0BBB" w:rsidRPr="005B024E" w:rsidRDefault="002A0BBB" w:rsidP="002A0BBB">
      <w:pPr>
        <w:pStyle w:val="4-SubsectionHeading"/>
      </w:pPr>
      <w:bookmarkStart w:id="64" w:name="_Toc198716602"/>
      <w:r w:rsidRPr="005B024E">
        <w:t>Economic analysis</w:t>
      </w:r>
      <w:bookmarkEnd w:id="4"/>
      <w:bookmarkEnd w:id="64"/>
    </w:p>
    <w:p w14:paraId="26623980" w14:textId="6B58CA51" w:rsidR="002A0BBB" w:rsidRPr="00935CE1" w:rsidRDefault="002A0BBB" w:rsidP="00C206C6">
      <w:pPr>
        <w:numPr>
          <w:ilvl w:val="1"/>
          <w:numId w:val="1"/>
        </w:numPr>
        <w:spacing w:before="60" w:after="60"/>
        <w:rPr>
          <w:rFonts w:asciiTheme="minorHAnsi" w:hAnsiTheme="minorHAnsi"/>
          <w:iCs/>
          <w:snapToGrid w:val="0"/>
        </w:rPr>
      </w:pPr>
      <w:bookmarkStart w:id="65" w:name="_Hlk107307804"/>
      <w:r w:rsidRPr="00935CE1">
        <w:rPr>
          <w:rFonts w:asciiTheme="minorHAnsi" w:hAnsiTheme="minorHAnsi"/>
          <w:iCs/>
          <w:snapToGrid w:val="0"/>
        </w:rPr>
        <w:t xml:space="preserve">The submission presented a </w:t>
      </w:r>
      <w:r w:rsidR="00410598" w:rsidRPr="00935CE1">
        <w:rPr>
          <w:rFonts w:asciiTheme="minorHAnsi" w:hAnsiTheme="minorHAnsi"/>
          <w:iCs/>
          <w:snapToGrid w:val="0"/>
        </w:rPr>
        <w:t xml:space="preserve">stepped </w:t>
      </w:r>
      <w:r w:rsidRPr="00935CE1">
        <w:rPr>
          <w:rFonts w:asciiTheme="minorHAnsi" w:hAnsiTheme="minorHAnsi"/>
          <w:iCs/>
          <w:snapToGrid w:val="0"/>
        </w:rPr>
        <w:t>cost-utility analysis comparing Glofit-GemOx versus R-</w:t>
      </w:r>
      <w:proofErr w:type="spellStart"/>
      <w:r w:rsidRPr="00935CE1">
        <w:rPr>
          <w:rFonts w:asciiTheme="minorHAnsi" w:hAnsiTheme="minorHAnsi"/>
          <w:iCs/>
          <w:snapToGrid w:val="0"/>
        </w:rPr>
        <w:t>GemOx</w:t>
      </w:r>
      <w:proofErr w:type="spellEnd"/>
      <w:r w:rsidRPr="00935CE1">
        <w:rPr>
          <w:rFonts w:asciiTheme="minorHAnsi" w:hAnsiTheme="minorHAnsi"/>
          <w:iCs/>
          <w:snapToGrid w:val="0"/>
        </w:rPr>
        <w:t>, informed by efficacy and utility outcomes data from STARGLO.</w:t>
      </w:r>
    </w:p>
    <w:p w14:paraId="2144ADE8" w14:textId="4D68E874" w:rsidR="002A0BBB" w:rsidRPr="00935CE1" w:rsidRDefault="002A0BBB" w:rsidP="001B0F30">
      <w:pPr>
        <w:pStyle w:val="TableFigureHeading"/>
        <w:keepLines/>
        <w:rPr>
          <w:rStyle w:val="CommentReference"/>
          <w:b/>
          <w:iCs/>
          <w:szCs w:val="24"/>
        </w:rPr>
      </w:pPr>
      <w:r w:rsidRPr="00935CE1">
        <w:rPr>
          <w:rStyle w:val="CommentReference"/>
          <w:b/>
          <w:iCs/>
          <w:szCs w:val="24"/>
        </w:rPr>
        <w:t xml:space="preserve">Table </w:t>
      </w:r>
      <w:bookmarkStart w:id="66" w:name="_Hlk111292359"/>
      <w:r w:rsidRPr="00935CE1">
        <w:rPr>
          <w:iCs/>
        </w:rPr>
        <w:fldChar w:fldCharType="begin" w:fldLock="1"/>
      </w:r>
      <w:r w:rsidRPr="00935CE1">
        <w:rPr>
          <w:iCs/>
        </w:rPr>
        <w:instrText xml:space="preserve"> SEQ Table \* ARABIC </w:instrText>
      </w:r>
      <w:r w:rsidRPr="00935CE1">
        <w:rPr>
          <w:iCs/>
        </w:rPr>
        <w:fldChar w:fldCharType="separate"/>
      </w:r>
      <w:r w:rsidR="003C21E7">
        <w:rPr>
          <w:iCs/>
          <w:noProof/>
        </w:rPr>
        <w:t>9</w:t>
      </w:r>
      <w:r w:rsidRPr="00935CE1">
        <w:rPr>
          <w:iCs/>
          <w:noProof/>
        </w:rPr>
        <w:fldChar w:fldCharType="end"/>
      </w:r>
      <w:bookmarkEnd w:id="66"/>
      <w:r w:rsidRPr="00935CE1">
        <w:rPr>
          <w:rStyle w:val="CommentReference"/>
          <w:b/>
          <w:iCs/>
          <w:szCs w:val="24"/>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Key components of the economic evaluation"/>
      </w:tblPr>
      <w:tblGrid>
        <w:gridCol w:w="1324"/>
        <w:gridCol w:w="2072"/>
        <w:gridCol w:w="5621"/>
      </w:tblGrid>
      <w:tr w:rsidR="002A0BBB" w:rsidRPr="00935CE1" w14:paraId="6A645EA2" w14:textId="77777777" w:rsidTr="00E53DD2">
        <w:trPr>
          <w:trHeight w:val="20"/>
        </w:trPr>
        <w:tc>
          <w:tcPr>
            <w:tcW w:w="734" w:type="pct"/>
            <w:vAlign w:val="center"/>
          </w:tcPr>
          <w:p w14:paraId="05DD09ED" w14:textId="77777777" w:rsidR="002A0BBB" w:rsidRPr="00935CE1" w:rsidRDefault="002A0BBB" w:rsidP="001B0F30">
            <w:pPr>
              <w:pStyle w:val="In-tableHeading"/>
              <w:keepLines/>
              <w:widowControl w:val="0"/>
              <w:jc w:val="center"/>
              <w:rPr>
                <w:iCs/>
                <w:szCs w:val="20"/>
                <w:lang w:val="en-AU"/>
              </w:rPr>
            </w:pPr>
            <w:r w:rsidRPr="00935CE1">
              <w:rPr>
                <w:iCs/>
                <w:szCs w:val="20"/>
                <w:lang w:val="en-AU"/>
              </w:rPr>
              <w:t>Component</w:t>
            </w:r>
          </w:p>
        </w:tc>
        <w:tc>
          <w:tcPr>
            <w:tcW w:w="1149" w:type="pct"/>
          </w:tcPr>
          <w:p w14:paraId="0BD27D07" w14:textId="77777777" w:rsidR="002A0BBB" w:rsidRPr="00935CE1" w:rsidRDefault="002A0BBB" w:rsidP="001B0F30">
            <w:pPr>
              <w:pStyle w:val="In-tableHeading"/>
              <w:keepLines/>
              <w:widowControl w:val="0"/>
              <w:jc w:val="center"/>
              <w:rPr>
                <w:iCs/>
                <w:szCs w:val="20"/>
                <w:lang w:val="en-AU"/>
              </w:rPr>
            </w:pPr>
            <w:r w:rsidRPr="00935CE1">
              <w:rPr>
                <w:iCs/>
                <w:szCs w:val="20"/>
                <w:lang w:val="en-AU"/>
              </w:rPr>
              <w:t>Description</w:t>
            </w:r>
          </w:p>
        </w:tc>
        <w:tc>
          <w:tcPr>
            <w:tcW w:w="3116" w:type="pct"/>
            <w:vAlign w:val="center"/>
          </w:tcPr>
          <w:p w14:paraId="2513244D" w14:textId="77777777" w:rsidR="002A0BBB" w:rsidRPr="00935CE1" w:rsidRDefault="002A0BBB" w:rsidP="001B0F30">
            <w:pPr>
              <w:pStyle w:val="In-tableHeading"/>
              <w:keepLines/>
              <w:widowControl w:val="0"/>
              <w:jc w:val="center"/>
              <w:rPr>
                <w:iCs/>
                <w:szCs w:val="20"/>
                <w:lang w:val="en-AU"/>
              </w:rPr>
            </w:pPr>
            <w:r w:rsidRPr="00935CE1">
              <w:rPr>
                <w:iCs/>
                <w:szCs w:val="20"/>
                <w:lang w:val="en-AU"/>
              </w:rPr>
              <w:t>Justification/comments</w:t>
            </w:r>
          </w:p>
        </w:tc>
      </w:tr>
      <w:tr w:rsidR="002A0BBB" w:rsidRPr="00935CE1" w14:paraId="17742388" w14:textId="77777777" w:rsidTr="00E53DD2">
        <w:trPr>
          <w:trHeight w:val="20"/>
        </w:trPr>
        <w:tc>
          <w:tcPr>
            <w:tcW w:w="734" w:type="pct"/>
            <w:vAlign w:val="center"/>
          </w:tcPr>
          <w:p w14:paraId="278F63B1" w14:textId="77777777" w:rsidR="002A0BBB" w:rsidRPr="00935CE1" w:rsidRDefault="002A0BBB" w:rsidP="001B0F30">
            <w:pPr>
              <w:pStyle w:val="TableText0"/>
              <w:keepLines/>
              <w:widowControl w:val="0"/>
              <w:rPr>
                <w:iCs/>
                <w:szCs w:val="20"/>
              </w:rPr>
            </w:pPr>
            <w:r w:rsidRPr="00935CE1">
              <w:rPr>
                <w:iCs/>
                <w:szCs w:val="20"/>
              </w:rPr>
              <w:t>Type of analysis</w:t>
            </w:r>
          </w:p>
        </w:tc>
        <w:tc>
          <w:tcPr>
            <w:tcW w:w="1149" w:type="pct"/>
            <w:vAlign w:val="center"/>
          </w:tcPr>
          <w:p w14:paraId="42F033EC" w14:textId="77777777" w:rsidR="002A0BBB" w:rsidRPr="00935CE1" w:rsidRDefault="002A0BBB" w:rsidP="001B0F30">
            <w:pPr>
              <w:pStyle w:val="TableText0"/>
              <w:keepLines/>
              <w:widowControl w:val="0"/>
              <w:rPr>
                <w:iCs/>
                <w:szCs w:val="20"/>
              </w:rPr>
            </w:pPr>
            <w:r w:rsidRPr="00935CE1">
              <w:rPr>
                <w:iCs/>
                <w:szCs w:val="20"/>
              </w:rPr>
              <w:t>Cost-utility analysis</w:t>
            </w:r>
          </w:p>
        </w:tc>
        <w:tc>
          <w:tcPr>
            <w:tcW w:w="3116" w:type="pct"/>
            <w:vAlign w:val="center"/>
          </w:tcPr>
          <w:p w14:paraId="1404CE89" w14:textId="77777777" w:rsidR="002A0BBB" w:rsidRPr="00935CE1" w:rsidRDefault="002A0BBB" w:rsidP="001B0F30">
            <w:pPr>
              <w:pStyle w:val="TableText0"/>
              <w:keepLines/>
              <w:widowControl w:val="0"/>
              <w:rPr>
                <w:iCs/>
                <w:szCs w:val="20"/>
              </w:rPr>
            </w:pPr>
            <w:r w:rsidRPr="00935CE1">
              <w:rPr>
                <w:iCs/>
                <w:szCs w:val="20"/>
              </w:rPr>
              <w:t>This was appropriate.</w:t>
            </w:r>
          </w:p>
        </w:tc>
      </w:tr>
      <w:tr w:rsidR="002A0BBB" w:rsidRPr="00935CE1" w14:paraId="79B4022A" w14:textId="77777777" w:rsidTr="00E53DD2">
        <w:trPr>
          <w:trHeight w:val="20"/>
        </w:trPr>
        <w:tc>
          <w:tcPr>
            <w:tcW w:w="734" w:type="pct"/>
            <w:vAlign w:val="center"/>
          </w:tcPr>
          <w:p w14:paraId="5D83D000" w14:textId="77777777" w:rsidR="002A0BBB" w:rsidRPr="00935CE1" w:rsidRDefault="002A0BBB" w:rsidP="001B0F30">
            <w:pPr>
              <w:pStyle w:val="TableText0"/>
              <w:keepLines/>
              <w:widowControl w:val="0"/>
              <w:rPr>
                <w:iCs/>
                <w:szCs w:val="20"/>
              </w:rPr>
            </w:pPr>
            <w:r w:rsidRPr="00935CE1">
              <w:rPr>
                <w:iCs/>
                <w:szCs w:val="20"/>
              </w:rPr>
              <w:t>Outcomes</w:t>
            </w:r>
          </w:p>
        </w:tc>
        <w:tc>
          <w:tcPr>
            <w:tcW w:w="1149" w:type="pct"/>
            <w:vAlign w:val="center"/>
          </w:tcPr>
          <w:p w14:paraId="24CF87AA" w14:textId="5EB45B61" w:rsidR="002A0BBB" w:rsidRPr="00935CE1" w:rsidRDefault="002A0BBB" w:rsidP="001B0F30">
            <w:pPr>
              <w:pStyle w:val="TableText0"/>
              <w:keepLines/>
              <w:widowControl w:val="0"/>
              <w:rPr>
                <w:iCs/>
                <w:szCs w:val="20"/>
              </w:rPr>
            </w:pPr>
            <w:r w:rsidRPr="00935CE1">
              <w:rPr>
                <w:iCs/>
                <w:szCs w:val="20"/>
              </w:rPr>
              <w:t>LYG, QALY</w:t>
            </w:r>
          </w:p>
        </w:tc>
        <w:tc>
          <w:tcPr>
            <w:tcW w:w="3116" w:type="pct"/>
            <w:vAlign w:val="center"/>
          </w:tcPr>
          <w:p w14:paraId="48943B4E" w14:textId="77777777" w:rsidR="002A0BBB" w:rsidRPr="00935CE1" w:rsidRDefault="002A0BBB" w:rsidP="001B0F30">
            <w:pPr>
              <w:pStyle w:val="TableText0"/>
              <w:keepLines/>
              <w:widowControl w:val="0"/>
              <w:rPr>
                <w:iCs/>
                <w:szCs w:val="20"/>
              </w:rPr>
            </w:pPr>
            <w:r w:rsidRPr="00935CE1">
              <w:rPr>
                <w:iCs/>
                <w:szCs w:val="20"/>
              </w:rPr>
              <w:t xml:space="preserve">This was appropriate. </w:t>
            </w:r>
          </w:p>
        </w:tc>
      </w:tr>
      <w:tr w:rsidR="002A0BBB" w:rsidRPr="00935CE1" w14:paraId="51959F7F" w14:textId="77777777" w:rsidTr="00E53DD2">
        <w:trPr>
          <w:trHeight w:val="20"/>
        </w:trPr>
        <w:tc>
          <w:tcPr>
            <w:tcW w:w="734" w:type="pct"/>
            <w:vAlign w:val="center"/>
          </w:tcPr>
          <w:p w14:paraId="09C3F581" w14:textId="77777777" w:rsidR="002A0BBB" w:rsidRPr="00935CE1" w:rsidRDefault="002A0BBB" w:rsidP="001B0F30">
            <w:pPr>
              <w:pStyle w:val="TableText0"/>
              <w:keepLines/>
              <w:widowControl w:val="0"/>
              <w:rPr>
                <w:iCs/>
                <w:szCs w:val="20"/>
              </w:rPr>
            </w:pPr>
            <w:r w:rsidRPr="00935CE1">
              <w:rPr>
                <w:iCs/>
                <w:szCs w:val="20"/>
              </w:rPr>
              <w:t>Time horizon</w:t>
            </w:r>
          </w:p>
        </w:tc>
        <w:tc>
          <w:tcPr>
            <w:tcW w:w="1149" w:type="pct"/>
            <w:vAlign w:val="center"/>
          </w:tcPr>
          <w:p w14:paraId="3DAE0D3C" w14:textId="77777777" w:rsidR="002A0BBB" w:rsidRPr="00935CE1" w:rsidRDefault="002A0BBB" w:rsidP="001B0F30">
            <w:pPr>
              <w:pStyle w:val="TableText0"/>
              <w:keepLines/>
              <w:widowControl w:val="0"/>
              <w:rPr>
                <w:iCs/>
                <w:szCs w:val="20"/>
              </w:rPr>
            </w:pPr>
            <w:r w:rsidRPr="00935CE1">
              <w:rPr>
                <w:iCs/>
                <w:szCs w:val="20"/>
              </w:rPr>
              <w:t xml:space="preserve">20 years </w:t>
            </w:r>
          </w:p>
        </w:tc>
        <w:tc>
          <w:tcPr>
            <w:tcW w:w="3116" w:type="pct"/>
            <w:vAlign w:val="center"/>
          </w:tcPr>
          <w:p w14:paraId="593E998D" w14:textId="33BC7EAF" w:rsidR="002A0BBB" w:rsidRPr="00935CE1" w:rsidRDefault="002A0BBB" w:rsidP="001B0F30">
            <w:pPr>
              <w:pStyle w:val="TableText0"/>
              <w:keepLines/>
              <w:widowControl w:val="0"/>
              <w:rPr>
                <w:iCs/>
                <w:szCs w:val="20"/>
              </w:rPr>
            </w:pPr>
            <w:r w:rsidRPr="00935CE1">
              <w:rPr>
                <w:iCs/>
                <w:szCs w:val="20"/>
              </w:rPr>
              <w:t>This was generally appropriate based on the mean age of</w:t>
            </w:r>
            <w:r w:rsidR="00F13E8D" w:rsidRPr="00935CE1">
              <w:rPr>
                <w:iCs/>
                <w:szCs w:val="20"/>
              </w:rPr>
              <w:t xml:space="preserve"> participants in</w:t>
            </w:r>
            <w:r w:rsidRPr="00935CE1">
              <w:rPr>
                <w:iCs/>
                <w:szCs w:val="20"/>
              </w:rPr>
              <w:t xml:space="preserve"> STARGLO (65 years); however, the mean age of patients with R/R DLBCL in Australian registry data was slightly older at the start of second-line treatment (68 years)</w:t>
            </w:r>
            <w:r w:rsidR="00CC5E5E" w:rsidRPr="00935CE1">
              <w:rPr>
                <w:iCs/>
                <w:szCs w:val="20"/>
              </w:rPr>
              <w:t xml:space="preserve"> and survival was shorter</w:t>
            </w:r>
            <w:r w:rsidRPr="00935CE1">
              <w:rPr>
                <w:iCs/>
                <w:szCs w:val="20"/>
              </w:rPr>
              <w:t>, suggesting a slightly shorter time horizon may be more reasonable for an Australia population.</w:t>
            </w:r>
            <w:r w:rsidR="009B1064" w:rsidRPr="00935CE1">
              <w:rPr>
                <w:iCs/>
                <w:szCs w:val="20"/>
              </w:rPr>
              <w:t xml:space="preserve"> </w:t>
            </w:r>
            <w:r w:rsidR="009B1064" w:rsidRPr="00935CE1">
              <w:rPr>
                <w:iCs/>
                <w:snapToGrid w:val="0"/>
              </w:rPr>
              <w:t>The ESC considered a 15-year time horizon would be more reasonable given the expected mean age of eligible patients.</w:t>
            </w:r>
          </w:p>
        </w:tc>
      </w:tr>
      <w:tr w:rsidR="002A0BBB" w:rsidRPr="00935CE1" w14:paraId="47D589A5" w14:textId="77777777" w:rsidTr="00E53DD2">
        <w:trPr>
          <w:trHeight w:val="20"/>
        </w:trPr>
        <w:tc>
          <w:tcPr>
            <w:tcW w:w="734" w:type="pct"/>
            <w:vAlign w:val="center"/>
          </w:tcPr>
          <w:p w14:paraId="7414ACD7" w14:textId="77777777" w:rsidR="002A0BBB" w:rsidRPr="00935CE1" w:rsidRDefault="002A0BBB" w:rsidP="001B0F30">
            <w:pPr>
              <w:pStyle w:val="TableText0"/>
              <w:keepLines/>
              <w:widowControl w:val="0"/>
              <w:rPr>
                <w:iCs/>
                <w:szCs w:val="20"/>
              </w:rPr>
            </w:pPr>
            <w:r w:rsidRPr="00935CE1">
              <w:rPr>
                <w:iCs/>
                <w:szCs w:val="20"/>
              </w:rPr>
              <w:t>Methods used to generate results</w:t>
            </w:r>
          </w:p>
        </w:tc>
        <w:tc>
          <w:tcPr>
            <w:tcW w:w="1149" w:type="pct"/>
            <w:vAlign w:val="center"/>
          </w:tcPr>
          <w:p w14:paraId="5837AEE9" w14:textId="77777777" w:rsidR="002A0BBB" w:rsidRPr="00935CE1" w:rsidRDefault="002A0BBB" w:rsidP="001B0F30">
            <w:pPr>
              <w:pStyle w:val="TableText0"/>
              <w:keepLines/>
              <w:widowControl w:val="0"/>
              <w:rPr>
                <w:iCs/>
                <w:szCs w:val="20"/>
              </w:rPr>
            </w:pPr>
            <w:r w:rsidRPr="00935CE1">
              <w:rPr>
                <w:iCs/>
                <w:szCs w:val="20"/>
              </w:rPr>
              <w:t>Partitioned survival analysis</w:t>
            </w:r>
          </w:p>
        </w:tc>
        <w:tc>
          <w:tcPr>
            <w:tcW w:w="3116" w:type="pct"/>
            <w:vAlign w:val="center"/>
          </w:tcPr>
          <w:p w14:paraId="6B3E15C1" w14:textId="77777777" w:rsidR="002A0BBB" w:rsidRPr="00935CE1" w:rsidRDefault="002A0BBB" w:rsidP="001B0F30">
            <w:pPr>
              <w:pStyle w:val="TableText0"/>
              <w:keepLines/>
              <w:widowControl w:val="0"/>
              <w:rPr>
                <w:iCs/>
                <w:szCs w:val="20"/>
              </w:rPr>
            </w:pPr>
            <w:r w:rsidRPr="00935CE1">
              <w:rPr>
                <w:iCs/>
                <w:szCs w:val="20"/>
              </w:rPr>
              <w:t>This was appropriate.</w:t>
            </w:r>
          </w:p>
        </w:tc>
      </w:tr>
      <w:tr w:rsidR="002A0BBB" w:rsidRPr="00935CE1" w14:paraId="5DF7AC26" w14:textId="77777777" w:rsidTr="00E53DD2">
        <w:trPr>
          <w:trHeight w:val="20"/>
        </w:trPr>
        <w:tc>
          <w:tcPr>
            <w:tcW w:w="734" w:type="pct"/>
            <w:vAlign w:val="center"/>
          </w:tcPr>
          <w:p w14:paraId="660E5495" w14:textId="77777777" w:rsidR="002A0BBB" w:rsidRPr="00935CE1" w:rsidRDefault="002A0BBB" w:rsidP="001B0F30">
            <w:pPr>
              <w:pStyle w:val="TableText0"/>
              <w:keepLines/>
              <w:widowControl w:val="0"/>
              <w:rPr>
                <w:iCs/>
                <w:szCs w:val="20"/>
              </w:rPr>
            </w:pPr>
            <w:r w:rsidRPr="00935CE1">
              <w:rPr>
                <w:iCs/>
                <w:szCs w:val="20"/>
              </w:rPr>
              <w:t>Health states</w:t>
            </w:r>
          </w:p>
        </w:tc>
        <w:tc>
          <w:tcPr>
            <w:tcW w:w="1149" w:type="pct"/>
            <w:vAlign w:val="center"/>
          </w:tcPr>
          <w:p w14:paraId="4ECFC992" w14:textId="482272FA" w:rsidR="002A0BBB" w:rsidRPr="00935CE1" w:rsidRDefault="002A0BBB" w:rsidP="001B0F30">
            <w:pPr>
              <w:pStyle w:val="TableText0"/>
              <w:keepLines/>
              <w:widowControl w:val="0"/>
              <w:rPr>
                <w:iCs/>
                <w:szCs w:val="20"/>
              </w:rPr>
            </w:pPr>
            <w:r w:rsidRPr="00935CE1">
              <w:rPr>
                <w:iCs/>
              </w:rPr>
              <w:t>PFS (split into patients on treatment and off treatment), PD, Death</w:t>
            </w:r>
          </w:p>
        </w:tc>
        <w:tc>
          <w:tcPr>
            <w:tcW w:w="3116" w:type="pct"/>
            <w:vAlign w:val="center"/>
          </w:tcPr>
          <w:p w14:paraId="1474C008" w14:textId="77777777" w:rsidR="002A0BBB" w:rsidRPr="00935CE1" w:rsidRDefault="002A0BBB" w:rsidP="001B0F30">
            <w:pPr>
              <w:pStyle w:val="TableText0"/>
              <w:keepLines/>
              <w:widowControl w:val="0"/>
              <w:rPr>
                <w:iCs/>
                <w:szCs w:val="20"/>
              </w:rPr>
            </w:pPr>
            <w:r w:rsidRPr="00935CE1">
              <w:rPr>
                <w:iCs/>
                <w:szCs w:val="20"/>
              </w:rPr>
              <w:t>This was appropriate.</w:t>
            </w:r>
          </w:p>
        </w:tc>
      </w:tr>
      <w:tr w:rsidR="002A0BBB" w:rsidRPr="00935CE1" w14:paraId="2715659F" w14:textId="77777777" w:rsidTr="00E53DD2">
        <w:trPr>
          <w:trHeight w:val="20"/>
        </w:trPr>
        <w:tc>
          <w:tcPr>
            <w:tcW w:w="734" w:type="pct"/>
            <w:vAlign w:val="center"/>
          </w:tcPr>
          <w:p w14:paraId="01942552" w14:textId="77777777" w:rsidR="002A0BBB" w:rsidRPr="00935CE1" w:rsidRDefault="002A0BBB" w:rsidP="001B0F30">
            <w:pPr>
              <w:pStyle w:val="TableText0"/>
              <w:keepLines/>
              <w:widowControl w:val="0"/>
              <w:rPr>
                <w:iCs/>
                <w:szCs w:val="20"/>
              </w:rPr>
            </w:pPr>
            <w:r w:rsidRPr="00935CE1">
              <w:rPr>
                <w:iCs/>
                <w:szCs w:val="20"/>
              </w:rPr>
              <w:t>Cycle length</w:t>
            </w:r>
          </w:p>
        </w:tc>
        <w:tc>
          <w:tcPr>
            <w:tcW w:w="1149" w:type="pct"/>
            <w:vAlign w:val="center"/>
          </w:tcPr>
          <w:p w14:paraId="2B686367" w14:textId="17FF7BAF" w:rsidR="002A0BBB" w:rsidRPr="00935CE1" w:rsidRDefault="002A0BBB" w:rsidP="001B0F30">
            <w:pPr>
              <w:pStyle w:val="TableText0"/>
              <w:keepLines/>
              <w:widowControl w:val="0"/>
              <w:rPr>
                <w:iCs/>
                <w:szCs w:val="20"/>
              </w:rPr>
            </w:pPr>
            <w:r w:rsidRPr="00935CE1">
              <w:rPr>
                <w:iCs/>
                <w:szCs w:val="20"/>
              </w:rPr>
              <w:t>One week, with half</w:t>
            </w:r>
            <w:r w:rsidR="00F446B2" w:rsidRPr="00935CE1">
              <w:rPr>
                <w:iCs/>
                <w:szCs w:val="20"/>
              </w:rPr>
              <w:t>-</w:t>
            </w:r>
            <w:r w:rsidRPr="00935CE1">
              <w:rPr>
                <w:iCs/>
                <w:szCs w:val="20"/>
              </w:rPr>
              <w:t>cycle correction</w:t>
            </w:r>
          </w:p>
        </w:tc>
        <w:tc>
          <w:tcPr>
            <w:tcW w:w="3116" w:type="pct"/>
            <w:vAlign w:val="center"/>
          </w:tcPr>
          <w:p w14:paraId="5EBA2B20" w14:textId="54095BDC" w:rsidR="002A0BBB" w:rsidRPr="00935CE1" w:rsidRDefault="002A0BBB" w:rsidP="001B0F30">
            <w:pPr>
              <w:pStyle w:val="TableText0"/>
              <w:keepLines/>
              <w:widowControl w:val="0"/>
              <w:rPr>
                <w:iCs/>
                <w:szCs w:val="20"/>
              </w:rPr>
            </w:pPr>
            <w:r w:rsidRPr="00935CE1">
              <w:rPr>
                <w:iCs/>
                <w:szCs w:val="20"/>
              </w:rPr>
              <w:t>The one-week cycle length was appropriate, but the need for a half-cycle correction was unclear given the short cycle length assumed and negligible impact on results.</w:t>
            </w:r>
            <w:r w:rsidR="00F446B2" w:rsidRPr="00935CE1">
              <w:rPr>
                <w:iCs/>
                <w:szCs w:val="20"/>
              </w:rPr>
              <w:t xml:space="preserve"> The </w:t>
            </w:r>
            <w:r w:rsidR="00CE0374" w:rsidRPr="00935CE1">
              <w:rPr>
                <w:iCs/>
                <w:szCs w:val="20"/>
              </w:rPr>
              <w:t xml:space="preserve">ESC noted the </w:t>
            </w:r>
            <w:r w:rsidR="00F446B2" w:rsidRPr="00935CE1">
              <w:rPr>
                <w:iCs/>
                <w:szCs w:val="20"/>
              </w:rPr>
              <w:t xml:space="preserve">half-cycle correction </w:t>
            </w:r>
            <w:r w:rsidR="00CE0374" w:rsidRPr="00935CE1">
              <w:rPr>
                <w:iCs/>
                <w:szCs w:val="20"/>
              </w:rPr>
              <w:t xml:space="preserve">was removed in the revised economic model provided by the PSCR and considered that this was appropriate. </w:t>
            </w:r>
          </w:p>
        </w:tc>
      </w:tr>
      <w:tr w:rsidR="002A0BBB" w:rsidRPr="00935CE1" w14:paraId="3CFE1167" w14:textId="77777777" w:rsidTr="00E53DD2">
        <w:trPr>
          <w:trHeight w:val="20"/>
        </w:trPr>
        <w:tc>
          <w:tcPr>
            <w:tcW w:w="734" w:type="pct"/>
            <w:vAlign w:val="center"/>
          </w:tcPr>
          <w:p w14:paraId="7AE851A3" w14:textId="77777777" w:rsidR="002A0BBB" w:rsidRPr="00935CE1" w:rsidRDefault="002A0BBB" w:rsidP="001B0F30">
            <w:pPr>
              <w:pStyle w:val="TableText0"/>
              <w:keepLines/>
              <w:widowControl w:val="0"/>
              <w:rPr>
                <w:iCs/>
                <w:szCs w:val="20"/>
              </w:rPr>
            </w:pPr>
            <w:r w:rsidRPr="00935CE1">
              <w:rPr>
                <w:iCs/>
                <w:szCs w:val="20"/>
              </w:rPr>
              <w:t>Transition probabilities</w:t>
            </w:r>
          </w:p>
        </w:tc>
        <w:tc>
          <w:tcPr>
            <w:tcW w:w="1149" w:type="pct"/>
            <w:vAlign w:val="center"/>
          </w:tcPr>
          <w:p w14:paraId="3D90C1FE" w14:textId="77777777" w:rsidR="002A0BBB" w:rsidRPr="00935CE1" w:rsidRDefault="002A0BBB" w:rsidP="001B0F30">
            <w:pPr>
              <w:pStyle w:val="TableText0"/>
              <w:keepLines/>
              <w:widowControl w:val="0"/>
              <w:rPr>
                <w:iCs/>
                <w:szCs w:val="20"/>
              </w:rPr>
            </w:pPr>
            <w:r w:rsidRPr="00935CE1">
              <w:rPr>
                <w:iCs/>
                <w:szCs w:val="20"/>
              </w:rPr>
              <w:t>PFS, OS and TTOT transition probabilities were adopted from STARGLO (DCO: 16 Feb. 2024)</w:t>
            </w:r>
          </w:p>
        </w:tc>
        <w:tc>
          <w:tcPr>
            <w:tcW w:w="3116" w:type="pct"/>
            <w:vAlign w:val="center"/>
          </w:tcPr>
          <w:p w14:paraId="756EF6C6" w14:textId="6A2A7924" w:rsidR="002A0BBB" w:rsidRPr="00935CE1" w:rsidRDefault="002A0BBB" w:rsidP="001B0F30">
            <w:pPr>
              <w:pStyle w:val="TableText0"/>
              <w:keepLines/>
              <w:widowControl w:val="0"/>
              <w:rPr>
                <w:iCs/>
                <w:szCs w:val="20"/>
              </w:rPr>
            </w:pPr>
            <w:r w:rsidRPr="00935CE1">
              <w:rPr>
                <w:iCs/>
                <w:szCs w:val="20"/>
              </w:rPr>
              <w:t>The model used the PFS and OS KM data up to the shortest maximum follow-up in the trial as a truncation point, and extrapolated thereafter. This approach was poorly justified and produced unrealistic survival functions.</w:t>
            </w:r>
            <w:r w:rsidR="00F82760" w:rsidRPr="00935CE1">
              <w:rPr>
                <w:iCs/>
                <w:szCs w:val="20"/>
              </w:rPr>
              <w:t xml:space="preserve"> </w:t>
            </w:r>
            <w:r w:rsidR="0087717C" w:rsidRPr="00935CE1">
              <w:rPr>
                <w:iCs/>
                <w:szCs w:val="20"/>
              </w:rPr>
              <w:t xml:space="preserve">The ESC considered that the </w:t>
            </w:r>
            <w:r w:rsidR="00B35E26" w:rsidRPr="00935CE1">
              <w:rPr>
                <w:iCs/>
                <w:szCs w:val="20"/>
              </w:rPr>
              <w:t xml:space="preserve">common practice of </w:t>
            </w:r>
            <w:r w:rsidR="008E0923" w:rsidRPr="00935CE1">
              <w:rPr>
                <w:iCs/>
                <w:szCs w:val="20"/>
              </w:rPr>
              <w:t>using KM data until about 10% of patients remain at risk would be a more robust approach.</w:t>
            </w:r>
            <w:r w:rsidR="00270999" w:rsidRPr="00935CE1">
              <w:rPr>
                <w:rStyle w:val="FootnoteReference"/>
                <w:iCs/>
                <w:szCs w:val="20"/>
              </w:rPr>
              <w:footnoteReference w:id="3"/>
            </w:r>
            <w:r w:rsidR="008E0923" w:rsidRPr="00935CE1">
              <w:rPr>
                <w:iCs/>
                <w:szCs w:val="20"/>
              </w:rPr>
              <w:t xml:space="preserve"> </w:t>
            </w:r>
            <w:r w:rsidR="0087717C" w:rsidRPr="00935CE1">
              <w:rPr>
                <w:iCs/>
                <w:szCs w:val="20"/>
              </w:rPr>
              <w:t xml:space="preserve"> </w:t>
            </w:r>
          </w:p>
        </w:tc>
      </w:tr>
      <w:tr w:rsidR="002A0BBB" w:rsidRPr="00935CE1" w14:paraId="2A059CFE" w14:textId="77777777" w:rsidTr="00E53DD2">
        <w:trPr>
          <w:trHeight w:val="20"/>
        </w:trPr>
        <w:tc>
          <w:tcPr>
            <w:tcW w:w="734" w:type="pct"/>
            <w:vAlign w:val="center"/>
          </w:tcPr>
          <w:p w14:paraId="79EE5F7A" w14:textId="7FCFDABC" w:rsidR="002A0BBB" w:rsidRPr="00935CE1" w:rsidRDefault="002A0BBB" w:rsidP="001B0F30">
            <w:pPr>
              <w:pStyle w:val="TableText0"/>
              <w:keepLines/>
              <w:widowControl w:val="0"/>
              <w:rPr>
                <w:iCs/>
                <w:szCs w:val="20"/>
              </w:rPr>
            </w:pPr>
            <w:r w:rsidRPr="00935CE1">
              <w:rPr>
                <w:iCs/>
              </w:rPr>
              <w:t>Utilit</w:t>
            </w:r>
            <w:r w:rsidR="00C43553" w:rsidRPr="00935CE1">
              <w:rPr>
                <w:iCs/>
              </w:rPr>
              <w:t>y values</w:t>
            </w:r>
          </w:p>
        </w:tc>
        <w:tc>
          <w:tcPr>
            <w:tcW w:w="1149" w:type="pct"/>
            <w:vAlign w:val="center"/>
          </w:tcPr>
          <w:p w14:paraId="48D1BAF7" w14:textId="75E0FACB" w:rsidR="002A0BBB" w:rsidRPr="00935CE1" w:rsidRDefault="002A0BBB" w:rsidP="001B0F30">
            <w:pPr>
              <w:pStyle w:val="TableText0"/>
              <w:keepLines/>
              <w:widowControl w:val="0"/>
              <w:rPr>
                <w:iCs/>
                <w:szCs w:val="20"/>
              </w:rPr>
            </w:pPr>
            <w:r w:rsidRPr="00935CE1">
              <w:rPr>
                <w:iCs/>
              </w:rPr>
              <w:t>PFS ‘on treatment’: 0.716, PFS ‘off treatment’: 0.713, &amp; P</w:t>
            </w:r>
            <w:r w:rsidR="00C43553" w:rsidRPr="00935CE1">
              <w:rPr>
                <w:iCs/>
              </w:rPr>
              <w:t>D</w:t>
            </w:r>
            <w:r w:rsidRPr="00935CE1">
              <w:rPr>
                <w:iCs/>
              </w:rPr>
              <w:t xml:space="preserve">= 0.630, </w:t>
            </w:r>
            <w:r w:rsidR="00A01573" w:rsidRPr="00935CE1">
              <w:rPr>
                <w:iCs/>
              </w:rPr>
              <w:t>estimated</w:t>
            </w:r>
            <w:r w:rsidRPr="00935CE1">
              <w:rPr>
                <w:iCs/>
              </w:rPr>
              <w:t xml:space="preserve"> from </w:t>
            </w:r>
            <w:r w:rsidR="00E273C9" w:rsidRPr="00935CE1">
              <w:rPr>
                <w:iCs/>
              </w:rPr>
              <w:t xml:space="preserve">EQ-5D-5L data in </w:t>
            </w:r>
            <w:r w:rsidRPr="00935CE1">
              <w:rPr>
                <w:iCs/>
              </w:rPr>
              <w:t>STARGLO</w:t>
            </w:r>
          </w:p>
        </w:tc>
        <w:tc>
          <w:tcPr>
            <w:tcW w:w="3116" w:type="pct"/>
            <w:vAlign w:val="center"/>
          </w:tcPr>
          <w:p w14:paraId="30FE6215" w14:textId="45A2367E" w:rsidR="002A0BBB" w:rsidRPr="00935CE1" w:rsidRDefault="00E273C9" w:rsidP="001B0F30">
            <w:pPr>
              <w:pStyle w:val="TableText0"/>
              <w:keepLines/>
              <w:widowControl w:val="0"/>
              <w:rPr>
                <w:iCs/>
                <w:szCs w:val="20"/>
              </w:rPr>
            </w:pPr>
            <w:r w:rsidRPr="00935CE1">
              <w:rPr>
                <w:iCs/>
              </w:rPr>
              <w:t xml:space="preserve">The submission did not present the EQ-5D-5L data or any details of the analysis. The results </w:t>
            </w:r>
            <w:r w:rsidR="002A0BBB" w:rsidRPr="00935CE1">
              <w:rPr>
                <w:iCs/>
              </w:rPr>
              <w:t>showed minimal difference in quality of life for patients in PFS on vs. off treatment, despite the high incidence of TEAEs and expected utility decrements from treatment administration. It was also unclear why the PFS state was split by treatment status, given the aim was to apply different utility weights and treatment costs were accounted for separately.</w:t>
            </w:r>
            <w:r w:rsidR="00B811EF" w:rsidRPr="00935CE1">
              <w:rPr>
                <w:iCs/>
              </w:rPr>
              <w:t xml:space="preserve"> Given the uncertainty around </w:t>
            </w:r>
            <w:r w:rsidR="00664CAD" w:rsidRPr="00935CE1">
              <w:rPr>
                <w:iCs/>
              </w:rPr>
              <w:t xml:space="preserve">the </w:t>
            </w:r>
            <w:r w:rsidR="00B811EF" w:rsidRPr="00935CE1">
              <w:rPr>
                <w:iCs/>
              </w:rPr>
              <w:t xml:space="preserve">treatment-related </w:t>
            </w:r>
            <w:r w:rsidR="00AE7725" w:rsidRPr="00935CE1">
              <w:rPr>
                <w:iCs/>
              </w:rPr>
              <w:t>quality of life</w:t>
            </w:r>
            <w:r w:rsidR="00B811EF" w:rsidRPr="00935CE1">
              <w:rPr>
                <w:iCs/>
              </w:rPr>
              <w:t xml:space="preserve"> benefit, and relatively minor difference</w:t>
            </w:r>
            <w:r w:rsidR="00FC3126" w:rsidRPr="00935CE1">
              <w:rPr>
                <w:iCs/>
              </w:rPr>
              <w:t>s</w:t>
            </w:r>
            <w:r w:rsidR="00B811EF" w:rsidRPr="00935CE1">
              <w:rPr>
                <w:iCs/>
              </w:rPr>
              <w:t xml:space="preserve"> between treatment arms, </w:t>
            </w:r>
            <w:r w:rsidR="00664CAD" w:rsidRPr="00935CE1">
              <w:rPr>
                <w:iCs/>
              </w:rPr>
              <w:t xml:space="preserve">the </w:t>
            </w:r>
            <w:r w:rsidR="00B811EF" w:rsidRPr="00935CE1">
              <w:rPr>
                <w:iCs/>
              </w:rPr>
              <w:t>ESC advised that adoption of a combined PFS health state in the model, with</w:t>
            </w:r>
            <w:r w:rsidR="0028233E" w:rsidRPr="00935CE1">
              <w:rPr>
                <w:iCs/>
              </w:rPr>
              <w:t xml:space="preserve"> a</w:t>
            </w:r>
            <w:r w:rsidR="00B811EF" w:rsidRPr="00935CE1">
              <w:rPr>
                <w:iCs/>
              </w:rPr>
              <w:t xml:space="preserve"> pooled utility value, would be more appropriate.</w:t>
            </w:r>
          </w:p>
        </w:tc>
      </w:tr>
      <w:tr w:rsidR="002A0BBB" w:rsidRPr="00935CE1" w14:paraId="122D6C03" w14:textId="77777777" w:rsidTr="00E53DD2">
        <w:trPr>
          <w:trHeight w:val="20"/>
        </w:trPr>
        <w:tc>
          <w:tcPr>
            <w:tcW w:w="734" w:type="pct"/>
            <w:vAlign w:val="center"/>
          </w:tcPr>
          <w:p w14:paraId="34647C30" w14:textId="77777777" w:rsidR="002A0BBB" w:rsidRPr="00935CE1" w:rsidRDefault="002A0BBB" w:rsidP="001B0F30">
            <w:pPr>
              <w:pStyle w:val="TableText0"/>
              <w:keepLines/>
              <w:widowControl w:val="0"/>
              <w:rPr>
                <w:iCs/>
                <w:szCs w:val="20"/>
              </w:rPr>
            </w:pPr>
            <w:r w:rsidRPr="00935CE1">
              <w:rPr>
                <w:iCs/>
                <w:szCs w:val="20"/>
              </w:rPr>
              <w:t>Software package</w:t>
            </w:r>
          </w:p>
        </w:tc>
        <w:tc>
          <w:tcPr>
            <w:tcW w:w="1149" w:type="pct"/>
            <w:vAlign w:val="center"/>
          </w:tcPr>
          <w:p w14:paraId="0DFD14F5" w14:textId="77777777" w:rsidR="002A0BBB" w:rsidRPr="00935CE1" w:rsidRDefault="002A0BBB" w:rsidP="001B0F30">
            <w:pPr>
              <w:pStyle w:val="TableText0"/>
              <w:keepLines/>
              <w:widowControl w:val="0"/>
              <w:rPr>
                <w:iCs/>
                <w:szCs w:val="20"/>
              </w:rPr>
            </w:pPr>
            <w:r w:rsidRPr="00935CE1">
              <w:rPr>
                <w:iCs/>
                <w:szCs w:val="20"/>
              </w:rPr>
              <w:t>Excel</w:t>
            </w:r>
          </w:p>
        </w:tc>
        <w:tc>
          <w:tcPr>
            <w:tcW w:w="3116" w:type="pct"/>
            <w:vAlign w:val="center"/>
          </w:tcPr>
          <w:p w14:paraId="4119B479" w14:textId="77777777" w:rsidR="002A0BBB" w:rsidRPr="00935CE1" w:rsidRDefault="002A0BBB" w:rsidP="001B0F30">
            <w:pPr>
              <w:pStyle w:val="TableText0"/>
              <w:keepLines/>
              <w:widowControl w:val="0"/>
              <w:rPr>
                <w:iCs/>
                <w:szCs w:val="20"/>
              </w:rPr>
            </w:pPr>
            <w:r w:rsidRPr="00935CE1">
              <w:rPr>
                <w:iCs/>
                <w:szCs w:val="20"/>
              </w:rPr>
              <w:t>This was appropriate.</w:t>
            </w:r>
          </w:p>
        </w:tc>
      </w:tr>
    </w:tbl>
    <w:p w14:paraId="0427C086" w14:textId="77777777" w:rsidR="002A0BBB" w:rsidRPr="00935CE1" w:rsidRDefault="002A0BBB" w:rsidP="001B0F30">
      <w:pPr>
        <w:pStyle w:val="FooterTableFigure"/>
        <w:keepNext/>
        <w:keepLines/>
        <w:rPr>
          <w:iCs/>
        </w:rPr>
      </w:pPr>
      <w:r w:rsidRPr="00935CE1">
        <w:rPr>
          <w:iCs/>
        </w:rPr>
        <w:t>Source: Table 3.2, p91 of the submission.</w:t>
      </w:r>
    </w:p>
    <w:p w14:paraId="04119772" w14:textId="21A86DC3" w:rsidR="002A0BBB" w:rsidRPr="00935CE1" w:rsidRDefault="00D41C4F" w:rsidP="001B0F30">
      <w:pPr>
        <w:pStyle w:val="FooterTableFigure"/>
        <w:keepNext/>
        <w:keepLines/>
        <w:rPr>
          <w:iCs/>
        </w:rPr>
      </w:pPr>
      <w:r w:rsidRPr="00935CE1">
        <w:rPr>
          <w:iCs/>
        </w:rPr>
        <w:t xml:space="preserve">DLBCL= Diffuse large B-cell lymphoma; </w:t>
      </w:r>
      <w:r w:rsidR="00FB1AA6" w:rsidRPr="00935CE1">
        <w:rPr>
          <w:iCs/>
        </w:rPr>
        <w:t xml:space="preserve">KM=Kaplan-Meier; </w:t>
      </w:r>
      <w:r w:rsidR="002A0BBB" w:rsidRPr="00935CE1">
        <w:rPr>
          <w:iCs/>
        </w:rPr>
        <w:t>LYG=life years gained; OS=overall survival; PFS=Progression-free survival; PD=progress</w:t>
      </w:r>
      <w:r w:rsidR="009B2EE8" w:rsidRPr="00935CE1">
        <w:rPr>
          <w:iCs/>
        </w:rPr>
        <w:t>ive</w:t>
      </w:r>
      <w:r w:rsidR="002A0BBB" w:rsidRPr="00935CE1">
        <w:rPr>
          <w:iCs/>
        </w:rPr>
        <w:t xml:space="preserve"> disease; QALY=quality adjusted life years</w:t>
      </w:r>
      <w:r w:rsidRPr="00935CE1">
        <w:rPr>
          <w:iCs/>
        </w:rPr>
        <w:t xml:space="preserve">; </w:t>
      </w:r>
      <w:r w:rsidR="002A0BBB" w:rsidRPr="00935CE1">
        <w:rPr>
          <w:iCs/>
        </w:rPr>
        <w:t>TEAE=treatment-emergent adverse event</w:t>
      </w:r>
      <w:r w:rsidR="00F47612" w:rsidRPr="00935CE1">
        <w:rPr>
          <w:iCs/>
        </w:rPr>
        <w:t xml:space="preserve">; </w:t>
      </w:r>
      <w:r w:rsidRPr="00935CE1">
        <w:rPr>
          <w:iCs/>
        </w:rPr>
        <w:t xml:space="preserve">R/R=Relapse/Refractory; </w:t>
      </w:r>
      <w:r w:rsidR="00F47612" w:rsidRPr="00935CE1">
        <w:rPr>
          <w:iCs/>
        </w:rPr>
        <w:t>TTOT=total time on treatment</w:t>
      </w:r>
      <w:r w:rsidR="002A0BBB" w:rsidRPr="00935CE1">
        <w:rPr>
          <w:iCs/>
        </w:rPr>
        <w:t>.</w:t>
      </w:r>
    </w:p>
    <w:p w14:paraId="7C3078E1" w14:textId="5532D1A6" w:rsidR="005B1C55" w:rsidRPr="00935CE1" w:rsidRDefault="002A0BBB" w:rsidP="00C206C6">
      <w:pPr>
        <w:numPr>
          <w:ilvl w:val="1"/>
          <w:numId w:val="1"/>
        </w:numPr>
        <w:spacing w:before="60" w:after="60"/>
        <w:rPr>
          <w:rFonts w:asciiTheme="minorHAnsi" w:hAnsiTheme="minorHAnsi"/>
          <w:iCs/>
          <w:snapToGrid w:val="0"/>
        </w:rPr>
      </w:pPr>
      <w:r w:rsidRPr="008F2D47">
        <w:rPr>
          <w:rFonts w:asciiTheme="minorHAnsi" w:hAnsiTheme="minorHAnsi"/>
          <w:iCs/>
          <w:snapToGrid w:val="0"/>
        </w:rPr>
        <w:t xml:space="preserve">The submission </w:t>
      </w:r>
      <w:r w:rsidR="00410598" w:rsidRPr="008F2D47">
        <w:rPr>
          <w:rFonts w:asciiTheme="minorHAnsi" w:hAnsiTheme="minorHAnsi"/>
          <w:iCs/>
          <w:snapToGrid w:val="0"/>
        </w:rPr>
        <w:t xml:space="preserve">used </w:t>
      </w:r>
      <w:r w:rsidRPr="008F2D47">
        <w:rPr>
          <w:rFonts w:asciiTheme="minorHAnsi" w:hAnsiTheme="minorHAnsi"/>
          <w:iCs/>
          <w:snapToGrid w:val="0"/>
        </w:rPr>
        <w:t xml:space="preserve">a partitioned survival analytic </w:t>
      </w:r>
      <w:r w:rsidR="000773D8" w:rsidRPr="008F2D47">
        <w:rPr>
          <w:rFonts w:asciiTheme="minorHAnsi" w:hAnsiTheme="minorHAnsi"/>
          <w:iCs/>
          <w:snapToGrid w:val="0"/>
        </w:rPr>
        <w:t xml:space="preserve">cohort </w:t>
      </w:r>
      <w:r w:rsidRPr="008F2D47">
        <w:rPr>
          <w:rFonts w:asciiTheme="minorHAnsi" w:hAnsiTheme="minorHAnsi"/>
          <w:iCs/>
          <w:snapToGrid w:val="0"/>
        </w:rPr>
        <w:t>model to evaluate the cost-</w:t>
      </w:r>
      <w:r w:rsidRPr="00935CE1">
        <w:rPr>
          <w:rFonts w:asciiTheme="minorHAnsi" w:hAnsiTheme="minorHAnsi"/>
          <w:iCs/>
          <w:snapToGrid w:val="0"/>
        </w:rPr>
        <w:t>effectiveness of Glofit-GemOx compared to R-</w:t>
      </w:r>
      <w:proofErr w:type="spellStart"/>
      <w:r w:rsidRPr="00935CE1">
        <w:rPr>
          <w:rFonts w:asciiTheme="minorHAnsi" w:hAnsiTheme="minorHAnsi"/>
          <w:iCs/>
          <w:snapToGrid w:val="0"/>
        </w:rPr>
        <w:t>GemOx</w:t>
      </w:r>
      <w:proofErr w:type="spellEnd"/>
      <w:r w:rsidRPr="00935CE1">
        <w:rPr>
          <w:rFonts w:asciiTheme="minorHAnsi" w:hAnsiTheme="minorHAnsi"/>
          <w:iCs/>
          <w:snapToGrid w:val="0"/>
        </w:rPr>
        <w:t xml:space="preserve"> in patients with transplant-ineligible, R/R DLBCL (2L+). The model included four health states: PFS (on treatment), PFS (off treatment), progressive disease (PD) and death. The PFS health state was split into patients ‘on treatment’ and patients ‘off treatment’ to account for different quality of life on or off treatment</w:t>
      </w:r>
      <w:r w:rsidR="00B50949" w:rsidRPr="00935CE1">
        <w:rPr>
          <w:rFonts w:asciiTheme="minorHAnsi" w:hAnsiTheme="minorHAnsi"/>
          <w:iCs/>
          <w:snapToGrid w:val="0"/>
        </w:rPr>
        <w:t xml:space="preserve"> (treatment discontinuation was costed separately from the ‘on treatment’ health state)</w:t>
      </w:r>
      <w:r w:rsidRPr="00935CE1">
        <w:rPr>
          <w:rFonts w:asciiTheme="minorHAnsi" w:hAnsiTheme="minorHAnsi"/>
          <w:iCs/>
          <w:snapToGrid w:val="0"/>
        </w:rPr>
        <w:t>.</w:t>
      </w:r>
      <w:r w:rsidR="005B1C55" w:rsidRPr="00935CE1">
        <w:rPr>
          <w:rFonts w:asciiTheme="minorHAnsi" w:hAnsiTheme="minorHAnsi"/>
          <w:iCs/>
          <w:snapToGrid w:val="0"/>
        </w:rPr>
        <w:t xml:space="preserve"> The proportion of patients in the PFS (on or off treatment), PD and death health states each cycle was derived from the PFS and OS Kaplan-Meier curves in STARGLO. The proportion of patients in the PFS health state who were on </w:t>
      </w:r>
      <w:proofErr w:type="gramStart"/>
      <w:r w:rsidR="005B1C55" w:rsidRPr="00935CE1">
        <w:rPr>
          <w:rFonts w:asciiTheme="minorHAnsi" w:hAnsiTheme="minorHAnsi"/>
          <w:iCs/>
          <w:snapToGrid w:val="0"/>
        </w:rPr>
        <w:t>and</w:t>
      </w:r>
      <w:proofErr w:type="gramEnd"/>
      <w:r w:rsidR="005B1C55" w:rsidRPr="00935CE1">
        <w:rPr>
          <w:rFonts w:asciiTheme="minorHAnsi" w:hAnsiTheme="minorHAnsi"/>
          <w:iCs/>
          <w:snapToGrid w:val="0"/>
        </w:rPr>
        <w:t xml:space="preserve"> off treatment was derived from treatment exposure data in STARGLO.</w:t>
      </w:r>
    </w:p>
    <w:p w14:paraId="462FE10A" w14:textId="77C83826" w:rsidR="00720244" w:rsidRPr="00935CE1" w:rsidRDefault="002A0BBB" w:rsidP="00C206C6">
      <w:pPr>
        <w:numPr>
          <w:ilvl w:val="1"/>
          <w:numId w:val="1"/>
        </w:numPr>
        <w:spacing w:before="60" w:after="60"/>
        <w:rPr>
          <w:rFonts w:asciiTheme="minorHAnsi" w:hAnsiTheme="minorHAnsi"/>
          <w:iCs/>
          <w:snapToGrid w:val="0"/>
        </w:rPr>
      </w:pPr>
      <w:bookmarkStart w:id="67" w:name="_Ref203984098"/>
      <w:r w:rsidRPr="00935CE1">
        <w:rPr>
          <w:rFonts w:asciiTheme="minorHAnsi" w:hAnsiTheme="minorHAnsi"/>
          <w:iCs/>
          <w:snapToGrid w:val="0"/>
        </w:rPr>
        <w:t xml:space="preserve">The </w:t>
      </w:r>
      <w:r w:rsidR="000773D8" w:rsidRPr="00935CE1">
        <w:rPr>
          <w:rFonts w:asciiTheme="minorHAnsi" w:hAnsiTheme="minorHAnsi"/>
          <w:iCs/>
          <w:snapToGrid w:val="0"/>
        </w:rPr>
        <w:t xml:space="preserve">modelled </w:t>
      </w:r>
      <w:r w:rsidRPr="00935CE1">
        <w:rPr>
          <w:rFonts w:asciiTheme="minorHAnsi" w:hAnsiTheme="minorHAnsi"/>
          <w:iCs/>
          <w:snapToGrid w:val="0"/>
        </w:rPr>
        <w:t xml:space="preserve">base-case </w:t>
      </w:r>
      <w:r w:rsidR="000773D8" w:rsidRPr="00935CE1">
        <w:rPr>
          <w:rFonts w:asciiTheme="minorHAnsi" w:hAnsiTheme="minorHAnsi"/>
          <w:iCs/>
          <w:snapToGrid w:val="0"/>
        </w:rPr>
        <w:t>assumed a</w:t>
      </w:r>
      <w:r w:rsidRPr="00935CE1">
        <w:rPr>
          <w:rFonts w:asciiTheme="minorHAnsi" w:hAnsiTheme="minorHAnsi"/>
          <w:iCs/>
          <w:snapToGrid w:val="0"/>
        </w:rPr>
        <w:t xml:space="preserve"> 20</w:t>
      </w:r>
      <w:r w:rsidR="000773D8" w:rsidRPr="00935CE1">
        <w:rPr>
          <w:rFonts w:asciiTheme="minorHAnsi" w:hAnsiTheme="minorHAnsi"/>
          <w:iCs/>
          <w:snapToGrid w:val="0"/>
        </w:rPr>
        <w:t>-</w:t>
      </w:r>
      <w:r w:rsidRPr="00935CE1">
        <w:rPr>
          <w:rFonts w:asciiTheme="minorHAnsi" w:hAnsiTheme="minorHAnsi"/>
          <w:iCs/>
          <w:snapToGrid w:val="0"/>
        </w:rPr>
        <w:t>year</w:t>
      </w:r>
      <w:r w:rsidR="000773D8" w:rsidRPr="00935CE1">
        <w:rPr>
          <w:rFonts w:asciiTheme="minorHAnsi" w:hAnsiTheme="minorHAnsi"/>
          <w:iCs/>
          <w:snapToGrid w:val="0"/>
        </w:rPr>
        <w:t xml:space="preserve"> time horizon</w:t>
      </w:r>
      <w:r w:rsidRPr="00935CE1">
        <w:rPr>
          <w:rFonts w:asciiTheme="minorHAnsi" w:hAnsiTheme="minorHAnsi"/>
          <w:iCs/>
          <w:snapToGrid w:val="0"/>
        </w:rPr>
        <w:t xml:space="preserve">, </w:t>
      </w:r>
      <w:r w:rsidR="000773D8" w:rsidRPr="00935CE1">
        <w:rPr>
          <w:rFonts w:asciiTheme="minorHAnsi" w:hAnsiTheme="minorHAnsi"/>
          <w:iCs/>
          <w:snapToGrid w:val="0"/>
        </w:rPr>
        <w:t xml:space="preserve">given (i) a mean </w:t>
      </w:r>
      <w:r w:rsidRPr="00935CE1">
        <w:rPr>
          <w:rFonts w:asciiTheme="minorHAnsi" w:hAnsiTheme="minorHAnsi"/>
          <w:iCs/>
          <w:snapToGrid w:val="0"/>
        </w:rPr>
        <w:t xml:space="preserve">starting </w:t>
      </w:r>
      <w:r w:rsidR="000773D8" w:rsidRPr="00935CE1">
        <w:rPr>
          <w:rFonts w:asciiTheme="minorHAnsi" w:hAnsiTheme="minorHAnsi"/>
          <w:iCs/>
          <w:snapToGrid w:val="0"/>
        </w:rPr>
        <w:t>age for the cohort of 65 years (based on STARGLO), (ii)</w:t>
      </w:r>
      <w:r w:rsidRPr="00935CE1">
        <w:rPr>
          <w:rFonts w:asciiTheme="minorHAnsi" w:hAnsiTheme="minorHAnsi"/>
          <w:iCs/>
          <w:snapToGrid w:val="0"/>
        </w:rPr>
        <w:t xml:space="preserve"> the expected survival in </w:t>
      </w:r>
      <w:r w:rsidR="00C43553" w:rsidRPr="00935CE1">
        <w:rPr>
          <w:rFonts w:asciiTheme="minorHAnsi" w:hAnsiTheme="minorHAnsi"/>
          <w:iCs/>
          <w:snapToGrid w:val="0"/>
        </w:rPr>
        <w:t>NHL</w:t>
      </w:r>
      <w:r w:rsidRPr="00935CE1">
        <w:rPr>
          <w:rFonts w:asciiTheme="minorHAnsi" w:hAnsiTheme="minorHAnsi"/>
          <w:iCs/>
          <w:snapToGrid w:val="0"/>
        </w:rPr>
        <w:t xml:space="preserve"> (five-year survival after diagnosis: 75.9% for all forms</w:t>
      </w:r>
      <w:r w:rsidRPr="00935CE1">
        <w:rPr>
          <w:rFonts w:asciiTheme="minorHAnsi" w:hAnsiTheme="minorHAnsi"/>
          <w:iCs/>
          <w:snapToGrid w:val="0"/>
          <w:vertAlign w:val="superscript"/>
        </w:rPr>
        <w:footnoteReference w:id="4"/>
      </w:r>
      <w:r w:rsidRPr="00935CE1">
        <w:rPr>
          <w:rFonts w:asciiTheme="minorHAnsi" w:hAnsiTheme="minorHAnsi"/>
          <w:iCs/>
          <w:snapToGrid w:val="0"/>
        </w:rPr>
        <w:t>)</w:t>
      </w:r>
      <w:r w:rsidR="00E04BFC" w:rsidRPr="00935CE1">
        <w:rPr>
          <w:rFonts w:asciiTheme="minorHAnsi" w:hAnsiTheme="minorHAnsi"/>
          <w:iCs/>
          <w:snapToGrid w:val="0"/>
        </w:rPr>
        <w:t>,</w:t>
      </w:r>
      <w:r w:rsidRPr="00935CE1">
        <w:rPr>
          <w:rFonts w:asciiTheme="minorHAnsi" w:hAnsiTheme="minorHAnsi"/>
          <w:iCs/>
          <w:snapToGrid w:val="0"/>
        </w:rPr>
        <w:t xml:space="preserve"> and </w:t>
      </w:r>
      <w:r w:rsidR="000773D8" w:rsidRPr="00935CE1">
        <w:rPr>
          <w:rFonts w:asciiTheme="minorHAnsi" w:hAnsiTheme="minorHAnsi"/>
          <w:iCs/>
          <w:snapToGrid w:val="0"/>
        </w:rPr>
        <w:t xml:space="preserve">(iii) </w:t>
      </w:r>
      <w:r w:rsidRPr="00935CE1">
        <w:rPr>
          <w:rFonts w:asciiTheme="minorHAnsi" w:hAnsiTheme="minorHAnsi"/>
          <w:iCs/>
          <w:snapToGrid w:val="0"/>
        </w:rPr>
        <w:t xml:space="preserve">the observed survival benefits in STARGLO. The submission </w:t>
      </w:r>
      <w:r w:rsidR="000773D8" w:rsidRPr="00935CE1">
        <w:rPr>
          <w:rFonts w:asciiTheme="minorHAnsi" w:hAnsiTheme="minorHAnsi"/>
          <w:iCs/>
          <w:snapToGrid w:val="0"/>
        </w:rPr>
        <w:t xml:space="preserve">also </w:t>
      </w:r>
      <w:r w:rsidRPr="00935CE1">
        <w:rPr>
          <w:rFonts w:asciiTheme="minorHAnsi" w:hAnsiTheme="minorHAnsi"/>
          <w:iCs/>
          <w:snapToGrid w:val="0"/>
        </w:rPr>
        <w:t>argued that the 20-year time</w:t>
      </w:r>
      <w:r w:rsidR="000773D8" w:rsidRPr="00935CE1">
        <w:rPr>
          <w:rFonts w:asciiTheme="minorHAnsi" w:hAnsiTheme="minorHAnsi"/>
          <w:iCs/>
          <w:snapToGrid w:val="0"/>
        </w:rPr>
        <w:t xml:space="preserve"> </w:t>
      </w:r>
      <w:r w:rsidRPr="00935CE1">
        <w:rPr>
          <w:rFonts w:asciiTheme="minorHAnsi" w:hAnsiTheme="minorHAnsi"/>
          <w:iCs/>
          <w:snapToGrid w:val="0"/>
        </w:rPr>
        <w:t xml:space="preserve">horizon was conservative for R/R DLBCL in the </w:t>
      </w:r>
      <w:r w:rsidR="00C43553" w:rsidRPr="00935CE1">
        <w:rPr>
          <w:rFonts w:asciiTheme="minorHAnsi" w:hAnsiTheme="minorHAnsi"/>
          <w:iCs/>
          <w:snapToGrid w:val="0"/>
        </w:rPr>
        <w:t>2L</w:t>
      </w:r>
      <w:r w:rsidRPr="00935CE1">
        <w:rPr>
          <w:rFonts w:asciiTheme="minorHAnsi" w:hAnsiTheme="minorHAnsi"/>
          <w:iCs/>
          <w:snapToGrid w:val="0"/>
        </w:rPr>
        <w:t xml:space="preserve"> setting, given the MSAC had accepted a 30-year time horizon for </w:t>
      </w:r>
      <w:proofErr w:type="spellStart"/>
      <w:r w:rsidRPr="00935CE1">
        <w:rPr>
          <w:rFonts w:asciiTheme="minorHAnsi" w:hAnsiTheme="minorHAnsi"/>
          <w:iCs/>
          <w:snapToGrid w:val="0"/>
        </w:rPr>
        <w:t>axicabtagene</w:t>
      </w:r>
      <w:proofErr w:type="spellEnd"/>
      <w:r w:rsidRPr="00935CE1">
        <w:rPr>
          <w:rFonts w:asciiTheme="minorHAnsi" w:hAnsiTheme="minorHAnsi"/>
          <w:iCs/>
          <w:snapToGrid w:val="0"/>
        </w:rPr>
        <w:t xml:space="preserve"> </w:t>
      </w:r>
      <w:proofErr w:type="spellStart"/>
      <w:r w:rsidRPr="00935CE1">
        <w:rPr>
          <w:rFonts w:asciiTheme="minorHAnsi" w:hAnsiTheme="minorHAnsi"/>
          <w:iCs/>
          <w:snapToGrid w:val="0"/>
        </w:rPr>
        <w:t>ciloleucel</w:t>
      </w:r>
      <w:proofErr w:type="spellEnd"/>
      <w:r w:rsidRPr="00935CE1">
        <w:rPr>
          <w:rFonts w:asciiTheme="minorHAnsi" w:hAnsiTheme="minorHAnsi"/>
          <w:iCs/>
          <w:snapToGrid w:val="0"/>
        </w:rPr>
        <w:t xml:space="preserve"> in the </w:t>
      </w:r>
      <w:r w:rsidR="00C43553" w:rsidRPr="00935CE1">
        <w:rPr>
          <w:rFonts w:asciiTheme="minorHAnsi" w:hAnsiTheme="minorHAnsi"/>
          <w:iCs/>
          <w:snapToGrid w:val="0"/>
        </w:rPr>
        <w:t>2L</w:t>
      </w:r>
      <w:r w:rsidRPr="00935CE1">
        <w:rPr>
          <w:rFonts w:asciiTheme="minorHAnsi" w:hAnsiTheme="minorHAnsi"/>
          <w:iCs/>
          <w:snapToGrid w:val="0"/>
        </w:rPr>
        <w:t xml:space="preserve"> setting (para 13, </w:t>
      </w:r>
      <w:proofErr w:type="spellStart"/>
      <w:r w:rsidRPr="00935CE1">
        <w:rPr>
          <w:rFonts w:asciiTheme="minorHAnsi" w:hAnsiTheme="minorHAnsi"/>
          <w:iCs/>
          <w:snapToGrid w:val="0"/>
        </w:rPr>
        <w:t>axicabtagene</w:t>
      </w:r>
      <w:proofErr w:type="spellEnd"/>
      <w:r w:rsidRPr="00935CE1">
        <w:rPr>
          <w:rFonts w:asciiTheme="minorHAnsi" w:hAnsiTheme="minorHAnsi"/>
          <w:iCs/>
          <w:snapToGrid w:val="0"/>
        </w:rPr>
        <w:t xml:space="preserve"> </w:t>
      </w:r>
      <w:proofErr w:type="spellStart"/>
      <w:r w:rsidRPr="00935CE1">
        <w:rPr>
          <w:rFonts w:asciiTheme="minorHAnsi" w:hAnsiTheme="minorHAnsi"/>
          <w:iCs/>
          <w:snapToGrid w:val="0"/>
        </w:rPr>
        <w:t>ciloleucel</w:t>
      </w:r>
      <w:proofErr w:type="spellEnd"/>
      <w:r w:rsidRPr="00935CE1">
        <w:rPr>
          <w:rFonts w:asciiTheme="minorHAnsi" w:hAnsiTheme="minorHAnsi"/>
          <w:iCs/>
          <w:snapToGrid w:val="0"/>
        </w:rPr>
        <w:t xml:space="preserve">, MSAC PSD, April 2024), and the PBAC had accepted a 20-year time horizon for epcoritamab in the </w:t>
      </w:r>
      <w:r w:rsidR="00C43553" w:rsidRPr="00935CE1">
        <w:rPr>
          <w:rFonts w:asciiTheme="minorHAnsi" w:hAnsiTheme="minorHAnsi"/>
          <w:iCs/>
          <w:snapToGrid w:val="0"/>
        </w:rPr>
        <w:t>3L</w:t>
      </w:r>
      <w:r w:rsidRPr="00935CE1">
        <w:rPr>
          <w:rFonts w:asciiTheme="minorHAnsi" w:hAnsiTheme="minorHAnsi"/>
          <w:iCs/>
          <w:snapToGrid w:val="0"/>
        </w:rPr>
        <w:t xml:space="preserve"> setting (paragraph 7.9, epcoritamab</w:t>
      </w:r>
      <w:r w:rsidR="008E52E6" w:rsidRPr="00935CE1">
        <w:rPr>
          <w:rFonts w:asciiTheme="minorHAnsi" w:hAnsiTheme="minorHAnsi"/>
          <w:iCs/>
          <w:snapToGrid w:val="0"/>
        </w:rPr>
        <w:t xml:space="preserve"> PSD</w:t>
      </w:r>
      <w:r w:rsidRPr="00935CE1">
        <w:rPr>
          <w:rFonts w:asciiTheme="minorHAnsi" w:hAnsiTheme="minorHAnsi"/>
          <w:iCs/>
          <w:snapToGrid w:val="0"/>
        </w:rPr>
        <w:t>, November 2024</w:t>
      </w:r>
      <w:r w:rsidR="006F7A6E" w:rsidRPr="00935CE1">
        <w:rPr>
          <w:rFonts w:asciiTheme="minorHAnsi" w:hAnsiTheme="minorHAnsi"/>
          <w:iCs/>
          <w:snapToGrid w:val="0"/>
        </w:rPr>
        <w:t xml:space="preserve"> PBAC Meeting</w:t>
      </w:r>
      <w:r w:rsidRPr="00935CE1">
        <w:rPr>
          <w:rFonts w:asciiTheme="minorHAnsi" w:hAnsiTheme="minorHAnsi"/>
          <w:iCs/>
          <w:snapToGrid w:val="0"/>
        </w:rPr>
        <w:t>).</w:t>
      </w:r>
      <w:r w:rsidR="004E6320" w:rsidRPr="00935CE1">
        <w:rPr>
          <w:rFonts w:asciiTheme="minorHAnsi" w:hAnsiTheme="minorHAnsi"/>
          <w:iCs/>
          <w:snapToGrid w:val="0"/>
        </w:rPr>
        <w:t xml:space="preserve"> </w:t>
      </w:r>
      <w:bookmarkEnd w:id="67"/>
    </w:p>
    <w:p w14:paraId="3FD0E16B" w14:textId="58F9ABDB" w:rsidR="00790C5A" w:rsidRPr="00935CE1" w:rsidRDefault="00000FC1" w:rsidP="00C206C6">
      <w:pPr>
        <w:numPr>
          <w:ilvl w:val="1"/>
          <w:numId w:val="1"/>
        </w:numPr>
        <w:spacing w:before="60" w:after="60"/>
        <w:rPr>
          <w:rFonts w:asciiTheme="minorHAnsi" w:hAnsiTheme="minorHAnsi"/>
          <w:iCs/>
          <w:snapToGrid w:val="0"/>
        </w:rPr>
      </w:pPr>
      <w:bookmarkStart w:id="68" w:name="_Hlk196738508"/>
      <w:r>
        <w:rPr>
          <w:rFonts w:asciiTheme="minorHAnsi" w:hAnsiTheme="minorHAnsi"/>
          <w:iCs/>
          <w:snapToGrid w:val="0"/>
        </w:rPr>
        <w:t>The evaluation considered a</w:t>
      </w:r>
      <w:r w:rsidR="000773D8" w:rsidRPr="00935CE1">
        <w:rPr>
          <w:rFonts w:asciiTheme="minorHAnsi" w:hAnsiTheme="minorHAnsi"/>
          <w:iCs/>
          <w:snapToGrid w:val="0"/>
        </w:rPr>
        <w:t xml:space="preserve"> shorter time horizon may be more reasonable for an Australian population, given the mean age of patients with R/R DLBCL at the start of second-line treatment (68 years)</w:t>
      </w:r>
      <w:r w:rsidR="00720244" w:rsidRPr="00935CE1">
        <w:rPr>
          <w:rFonts w:asciiTheme="minorHAnsi" w:hAnsiTheme="minorHAnsi"/>
          <w:iCs/>
          <w:snapToGrid w:val="0"/>
        </w:rPr>
        <w:t xml:space="preserve"> and expected survival (</w:t>
      </w:r>
      <w:r w:rsidR="00C95898" w:rsidRPr="00935CE1">
        <w:rPr>
          <w:rFonts w:asciiTheme="minorHAnsi" w:hAnsiTheme="minorHAnsi"/>
          <w:iCs/>
          <w:snapToGrid w:val="0"/>
        </w:rPr>
        <w:t xml:space="preserve">approximately </w:t>
      </w:r>
      <w:r w:rsidR="00FD1511" w:rsidRPr="00935CE1">
        <w:rPr>
          <w:rFonts w:asciiTheme="minorHAnsi" w:hAnsiTheme="minorHAnsi"/>
          <w:iCs/>
          <w:snapToGrid w:val="0"/>
        </w:rPr>
        <w:t xml:space="preserve">15% </w:t>
      </w:r>
      <w:r w:rsidR="00790C5A" w:rsidRPr="00935CE1">
        <w:rPr>
          <w:rFonts w:asciiTheme="minorHAnsi" w:hAnsiTheme="minorHAnsi"/>
          <w:iCs/>
          <w:snapToGrid w:val="0"/>
        </w:rPr>
        <w:t xml:space="preserve">survival at </w:t>
      </w:r>
      <w:r w:rsidR="00FD1511" w:rsidRPr="00935CE1">
        <w:rPr>
          <w:rFonts w:asciiTheme="minorHAnsi" w:hAnsiTheme="minorHAnsi"/>
          <w:iCs/>
          <w:snapToGrid w:val="0"/>
        </w:rPr>
        <w:t xml:space="preserve">two </w:t>
      </w:r>
      <w:r w:rsidR="00790C5A" w:rsidRPr="00935CE1">
        <w:rPr>
          <w:rFonts w:asciiTheme="minorHAnsi" w:hAnsiTheme="minorHAnsi"/>
          <w:iCs/>
          <w:snapToGrid w:val="0"/>
        </w:rPr>
        <w:t>years post second-line therapy</w:t>
      </w:r>
      <w:r w:rsidR="00720244" w:rsidRPr="00935CE1">
        <w:rPr>
          <w:rFonts w:asciiTheme="minorHAnsi" w:hAnsiTheme="minorHAnsi"/>
          <w:iCs/>
          <w:snapToGrid w:val="0"/>
        </w:rPr>
        <w:t>)</w:t>
      </w:r>
      <w:r w:rsidR="000773D8" w:rsidRPr="00935CE1">
        <w:rPr>
          <w:rFonts w:asciiTheme="minorHAnsi" w:hAnsiTheme="minorHAnsi"/>
          <w:iCs/>
          <w:snapToGrid w:val="0"/>
        </w:rPr>
        <w:t xml:space="preserve"> </w:t>
      </w:r>
      <w:r w:rsidR="00720244" w:rsidRPr="00935CE1">
        <w:rPr>
          <w:rFonts w:asciiTheme="minorHAnsi" w:hAnsiTheme="minorHAnsi"/>
          <w:iCs/>
          <w:snapToGrid w:val="0"/>
        </w:rPr>
        <w:t xml:space="preserve">reported in </w:t>
      </w:r>
      <w:r w:rsidR="000773D8" w:rsidRPr="00935CE1">
        <w:rPr>
          <w:rFonts w:asciiTheme="minorHAnsi" w:hAnsiTheme="minorHAnsi"/>
          <w:iCs/>
          <w:snapToGrid w:val="0"/>
        </w:rPr>
        <w:t xml:space="preserve">the </w:t>
      </w:r>
      <w:r w:rsidR="00790C5A" w:rsidRPr="00935CE1">
        <w:rPr>
          <w:rFonts w:asciiTheme="minorHAnsi" w:hAnsiTheme="minorHAnsi"/>
          <w:iCs/>
          <w:snapToGrid w:val="0"/>
        </w:rPr>
        <w:t>Australian Lymphoma and Related Diseases Registry</w:t>
      </w:r>
      <w:bookmarkEnd w:id="68"/>
      <w:r w:rsidR="000773D8" w:rsidRPr="00935CE1">
        <w:rPr>
          <w:rFonts w:asciiTheme="minorHAnsi" w:hAnsiTheme="minorHAnsi"/>
          <w:iCs/>
          <w:snapToGrid w:val="0"/>
        </w:rPr>
        <w:t>.</w:t>
      </w:r>
      <w:r w:rsidR="00720244" w:rsidRPr="00935CE1">
        <w:rPr>
          <w:rFonts w:asciiTheme="minorHAnsi" w:hAnsiTheme="minorHAnsi"/>
          <w:iCs/>
          <w:snapToGrid w:val="0"/>
        </w:rPr>
        <w:t xml:space="preserve"> However, consideration should also be given to recent changes in the clinical management algorithm </w:t>
      </w:r>
      <w:r w:rsidR="00790C5A" w:rsidRPr="00935CE1">
        <w:rPr>
          <w:rFonts w:asciiTheme="minorHAnsi" w:hAnsiTheme="minorHAnsi"/>
          <w:iCs/>
          <w:snapToGrid w:val="0"/>
        </w:rPr>
        <w:t xml:space="preserve">in terms of second-line CAR-T </w:t>
      </w:r>
      <w:r w:rsidR="00217BE2">
        <w:rPr>
          <w:rFonts w:asciiTheme="minorHAnsi" w:hAnsiTheme="minorHAnsi"/>
          <w:iCs/>
          <w:snapToGrid w:val="0"/>
        </w:rPr>
        <w:t xml:space="preserve">cell therapy </w:t>
      </w:r>
      <w:r w:rsidR="00790C5A" w:rsidRPr="00935CE1">
        <w:rPr>
          <w:rFonts w:asciiTheme="minorHAnsi" w:hAnsiTheme="minorHAnsi"/>
          <w:iCs/>
          <w:snapToGrid w:val="0"/>
        </w:rPr>
        <w:t>use, and how this might impact patients likely to receive Glofit-GemOx in practice.</w:t>
      </w:r>
      <w:r w:rsidR="00AD1F5A" w:rsidRPr="00935CE1">
        <w:rPr>
          <w:rFonts w:asciiTheme="minorHAnsi" w:hAnsiTheme="minorHAnsi"/>
          <w:iCs/>
          <w:snapToGrid w:val="0"/>
        </w:rPr>
        <w:t xml:space="preserve"> As </w:t>
      </w:r>
      <w:r w:rsidR="00790C5A" w:rsidRPr="00935CE1">
        <w:rPr>
          <w:rFonts w:asciiTheme="minorHAnsi" w:hAnsiTheme="minorHAnsi"/>
          <w:iCs/>
          <w:snapToGrid w:val="0"/>
        </w:rPr>
        <w:t xml:space="preserve">the STARGLO trial did not explicitly exclude CAR-T </w:t>
      </w:r>
      <w:r w:rsidR="002602F4">
        <w:rPr>
          <w:rFonts w:asciiTheme="minorHAnsi" w:hAnsiTheme="minorHAnsi"/>
          <w:iCs/>
          <w:snapToGrid w:val="0"/>
        </w:rPr>
        <w:t xml:space="preserve">cell therapy </w:t>
      </w:r>
      <w:r w:rsidR="00790C5A" w:rsidRPr="00935CE1">
        <w:rPr>
          <w:rFonts w:asciiTheme="minorHAnsi" w:hAnsiTheme="minorHAnsi"/>
          <w:iCs/>
          <w:snapToGrid w:val="0"/>
        </w:rPr>
        <w:t xml:space="preserve">eligible patients and second-line </w:t>
      </w:r>
      <w:r w:rsidR="000940C3">
        <w:rPr>
          <w:rFonts w:asciiTheme="minorHAnsi" w:hAnsiTheme="minorHAnsi"/>
          <w:iCs/>
          <w:snapToGrid w:val="0"/>
        </w:rPr>
        <w:t>CAR-T cell therapy</w:t>
      </w:r>
      <w:r w:rsidR="00790C5A" w:rsidRPr="00935CE1">
        <w:rPr>
          <w:rFonts w:asciiTheme="minorHAnsi" w:hAnsiTheme="minorHAnsi"/>
          <w:iCs/>
          <w:snapToGrid w:val="0"/>
        </w:rPr>
        <w:t xml:space="preserve"> was not available for historical patients in the Australian Lymphoma and Related Diseases Registry</w:t>
      </w:r>
      <w:r w:rsidR="00AD1F5A" w:rsidRPr="00935CE1">
        <w:rPr>
          <w:rFonts w:asciiTheme="minorHAnsi" w:hAnsiTheme="minorHAnsi"/>
          <w:iCs/>
          <w:snapToGrid w:val="0"/>
        </w:rPr>
        <w:t xml:space="preserve">, neither population may reliably inform the expected prognosis of treated and untreated </w:t>
      </w:r>
      <w:r w:rsidR="00F70776" w:rsidRPr="00935CE1">
        <w:rPr>
          <w:rFonts w:asciiTheme="minorHAnsi" w:hAnsiTheme="minorHAnsi"/>
          <w:iCs/>
          <w:snapToGrid w:val="0"/>
        </w:rPr>
        <w:t xml:space="preserve">future </w:t>
      </w:r>
      <w:r w:rsidR="00AD1F5A" w:rsidRPr="00935CE1">
        <w:rPr>
          <w:rFonts w:asciiTheme="minorHAnsi" w:hAnsiTheme="minorHAnsi"/>
          <w:iCs/>
          <w:snapToGrid w:val="0"/>
        </w:rPr>
        <w:t>patients</w:t>
      </w:r>
      <w:r w:rsidR="00790C5A" w:rsidRPr="00935CE1">
        <w:rPr>
          <w:rFonts w:asciiTheme="minorHAnsi" w:hAnsiTheme="minorHAnsi"/>
          <w:iCs/>
          <w:snapToGrid w:val="0"/>
        </w:rPr>
        <w:t>.</w:t>
      </w:r>
      <w:r w:rsidR="00E54C85" w:rsidRPr="00935CE1">
        <w:rPr>
          <w:rFonts w:asciiTheme="minorHAnsi" w:hAnsiTheme="minorHAnsi"/>
          <w:iCs/>
          <w:snapToGrid w:val="0"/>
        </w:rPr>
        <w:t xml:space="preserve"> </w:t>
      </w:r>
      <w:r w:rsidR="00EC785D" w:rsidRPr="00935CE1">
        <w:rPr>
          <w:rFonts w:asciiTheme="minorHAnsi" w:hAnsiTheme="minorHAnsi"/>
          <w:iCs/>
          <w:snapToGrid w:val="0"/>
        </w:rPr>
        <w:t xml:space="preserve">The ESC considered a 15-year time horizon </w:t>
      </w:r>
      <w:r w:rsidR="009B1064" w:rsidRPr="00935CE1">
        <w:rPr>
          <w:rFonts w:asciiTheme="minorHAnsi" w:hAnsiTheme="minorHAnsi"/>
          <w:iCs/>
          <w:snapToGrid w:val="0"/>
        </w:rPr>
        <w:t xml:space="preserve">would be more reasonable given the expected mean age of eligible patients. </w:t>
      </w:r>
    </w:p>
    <w:p w14:paraId="0570330C" w14:textId="1F98E6CE" w:rsidR="00F71EBD" w:rsidRPr="00935CE1" w:rsidRDefault="00E47A9A" w:rsidP="004602CD">
      <w:pPr>
        <w:numPr>
          <w:ilvl w:val="1"/>
          <w:numId w:val="1"/>
        </w:numPr>
        <w:spacing w:before="60" w:after="60"/>
        <w:rPr>
          <w:rFonts w:asciiTheme="minorHAnsi" w:hAnsiTheme="minorHAnsi"/>
          <w:iCs/>
          <w:snapToGrid w:val="0"/>
        </w:rPr>
      </w:pPr>
      <w:bookmarkStart w:id="69" w:name="_Ref203998804"/>
      <w:r w:rsidRPr="00935CE1">
        <w:rPr>
          <w:rFonts w:asciiTheme="minorHAnsi" w:hAnsiTheme="minorHAnsi"/>
          <w:iCs/>
          <w:snapToGrid w:val="0"/>
        </w:rPr>
        <w:t xml:space="preserve">For the base case analysis, the model used the PFS and OS KM data reported in STARGLO to inform the proportion of patients in each health state until 27.2 and 34.3 months, respectively, and independent log-normal parametric extrapolations thereafter in both treatment arms. </w:t>
      </w:r>
      <w:r w:rsidR="00A86EFE" w:rsidRPr="00935CE1">
        <w:rPr>
          <w:rFonts w:asciiTheme="minorHAnsi" w:hAnsiTheme="minorHAnsi"/>
          <w:iCs/>
          <w:snapToGrid w:val="0"/>
        </w:rPr>
        <w:t>The submission argued that for both OS and PFS, the log-normal parametric function provided the most clinically plausible extrapolations and the second-best fit to the data based on the AIC and BIC</w:t>
      </w:r>
      <w:r w:rsidR="003E7525" w:rsidRPr="00935CE1">
        <w:rPr>
          <w:rFonts w:asciiTheme="minorHAnsi" w:hAnsiTheme="minorHAnsi"/>
          <w:iCs/>
          <w:snapToGrid w:val="0"/>
        </w:rPr>
        <w:t xml:space="preserve"> (the Gompertz had the best fit statistics but produced a clinically unrealistic horizontal ‘cured-like’ function)</w:t>
      </w:r>
      <w:r w:rsidR="00A86EFE" w:rsidRPr="00935CE1">
        <w:rPr>
          <w:rFonts w:asciiTheme="minorHAnsi" w:hAnsiTheme="minorHAnsi"/>
          <w:iCs/>
          <w:snapToGrid w:val="0"/>
        </w:rPr>
        <w:t>. The nominated truncation points for the KM data corresponded to the maximum follow-up time for PFS (27.2 month) and OS (34.3 month) in the R-</w:t>
      </w:r>
      <w:r w:rsidR="00944210" w:rsidRPr="00935CE1">
        <w:rPr>
          <w:rFonts w:asciiTheme="minorHAnsi" w:hAnsiTheme="minorHAnsi"/>
          <w:iCs/>
          <w:snapToGrid w:val="0"/>
        </w:rPr>
        <w:t> </w:t>
      </w:r>
      <w:proofErr w:type="spellStart"/>
      <w:r w:rsidR="00A86EFE" w:rsidRPr="00935CE1">
        <w:rPr>
          <w:rFonts w:asciiTheme="minorHAnsi" w:hAnsiTheme="minorHAnsi"/>
          <w:iCs/>
          <w:snapToGrid w:val="0"/>
        </w:rPr>
        <w:t>GemOx</w:t>
      </w:r>
      <w:proofErr w:type="spellEnd"/>
      <w:r w:rsidR="00A86EFE" w:rsidRPr="00935CE1">
        <w:rPr>
          <w:rFonts w:asciiTheme="minorHAnsi" w:hAnsiTheme="minorHAnsi"/>
          <w:iCs/>
          <w:snapToGrid w:val="0"/>
        </w:rPr>
        <w:t xml:space="preserve"> treatment arm of STARGLO (DCO: 16 February 2024).</w:t>
      </w:r>
      <w:r w:rsidR="00F71EBD" w:rsidRPr="00935CE1">
        <w:rPr>
          <w:rFonts w:asciiTheme="minorHAnsi" w:hAnsiTheme="minorHAnsi"/>
          <w:iCs/>
          <w:snapToGrid w:val="0"/>
        </w:rPr>
        <w:t xml:space="preserve"> </w:t>
      </w:r>
      <w:r w:rsidRPr="00935CE1">
        <w:rPr>
          <w:rFonts w:asciiTheme="minorHAnsi" w:hAnsiTheme="minorHAnsi"/>
          <w:iCs/>
          <w:snapToGrid w:val="0"/>
        </w:rPr>
        <w:t>Overall, the log-normal parametric functions appeared to provide a reasonable fit to the data</w:t>
      </w:r>
      <w:r w:rsidR="00F71EBD" w:rsidRPr="00935CE1">
        <w:rPr>
          <w:rFonts w:asciiTheme="minorHAnsi" w:hAnsiTheme="minorHAnsi"/>
          <w:iCs/>
          <w:snapToGrid w:val="0"/>
        </w:rPr>
        <w:t xml:space="preserve">; however, the </w:t>
      </w:r>
      <w:r w:rsidR="000D5022" w:rsidRPr="00935CE1">
        <w:rPr>
          <w:rFonts w:asciiTheme="minorHAnsi" w:hAnsiTheme="minorHAnsi"/>
          <w:iCs/>
          <w:snapToGrid w:val="0"/>
        </w:rPr>
        <w:t xml:space="preserve">ESC noted that the </w:t>
      </w:r>
      <w:r w:rsidR="00F71EBD" w:rsidRPr="00935CE1">
        <w:rPr>
          <w:rFonts w:asciiTheme="minorHAnsi" w:hAnsiTheme="minorHAnsi"/>
          <w:iCs/>
          <w:snapToGrid w:val="0"/>
        </w:rPr>
        <w:t>model was sensitive to the parametric function</w:t>
      </w:r>
      <w:r w:rsidR="00F72950" w:rsidRPr="00935CE1">
        <w:rPr>
          <w:rFonts w:asciiTheme="minorHAnsi" w:hAnsiTheme="minorHAnsi"/>
          <w:iCs/>
          <w:snapToGrid w:val="0"/>
        </w:rPr>
        <w:t>s</w:t>
      </w:r>
      <w:r w:rsidR="00F71EBD" w:rsidRPr="00935CE1">
        <w:rPr>
          <w:rFonts w:asciiTheme="minorHAnsi" w:hAnsiTheme="minorHAnsi"/>
          <w:iCs/>
          <w:snapToGrid w:val="0"/>
        </w:rPr>
        <w:t xml:space="preserve"> chosen, particularly to functions that produced a steeper tail distribution for OS (e.g. Weibull and exponential).</w:t>
      </w:r>
      <w:r w:rsidR="0008360B" w:rsidRPr="00935CE1">
        <w:rPr>
          <w:rFonts w:asciiTheme="minorHAnsi" w:hAnsiTheme="minorHAnsi"/>
          <w:iCs/>
          <w:snapToGrid w:val="0"/>
        </w:rPr>
        <w:t xml:space="preserve"> </w:t>
      </w:r>
      <w:r w:rsidR="006423E8" w:rsidRPr="00935CE1">
        <w:rPr>
          <w:rFonts w:asciiTheme="minorHAnsi" w:hAnsiTheme="minorHAnsi"/>
          <w:iCs/>
          <w:snapToGrid w:val="0"/>
        </w:rPr>
        <w:t xml:space="preserve">The ESC considered that </w:t>
      </w:r>
      <w:r w:rsidR="005F2006" w:rsidRPr="00935CE1">
        <w:rPr>
          <w:rFonts w:asciiTheme="minorHAnsi" w:hAnsiTheme="minorHAnsi"/>
          <w:iCs/>
          <w:snapToGrid w:val="0"/>
        </w:rPr>
        <w:t xml:space="preserve">the use of </w:t>
      </w:r>
      <w:r w:rsidR="00B43137" w:rsidRPr="00935CE1">
        <w:rPr>
          <w:rFonts w:asciiTheme="minorHAnsi" w:hAnsiTheme="minorHAnsi"/>
          <w:iCs/>
          <w:snapToGrid w:val="0"/>
        </w:rPr>
        <w:t xml:space="preserve">a more conservative </w:t>
      </w:r>
      <w:r w:rsidR="007A3D3F" w:rsidRPr="00935CE1">
        <w:rPr>
          <w:rFonts w:asciiTheme="minorHAnsi" w:hAnsiTheme="minorHAnsi"/>
          <w:iCs/>
          <w:snapToGrid w:val="0"/>
        </w:rPr>
        <w:t xml:space="preserve">extrapolation function would be </w:t>
      </w:r>
      <w:r w:rsidR="00B43137" w:rsidRPr="00935CE1">
        <w:rPr>
          <w:rFonts w:asciiTheme="minorHAnsi" w:hAnsiTheme="minorHAnsi"/>
          <w:iCs/>
          <w:snapToGrid w:val="0"/>
        </w:rPr>
        <w:t>appropriate</w:t>
      </w:r>
      <w:r w:rsidR="006951BB" w:rsidRPr="00935CE1">
        <w:rPr>
          <w:rFonts w:asciiTheme="minorHAnsi" w:hAnsiTheme="minorHAnsi"/>
          <w:iCs/>
          <w:snapToGrid w:val="0"/>
        </w:rPr>
        <w:t xml:space="preserve"> </w:t>
      </w:r>
      <w:r w:rsidR="00064159" w:rsidRPr="00935CE1">
        <w:rPr>
          <w:rFonts w:asciiTheme="minorHAnsi" w:hAnsiTheme="minorHAnsi"/>
          <w:iCs/>
          <w:snapToGrid w:val="0"/>
        </w:rPr>
        <w:t>given that uncertainty remain</w:t>
      </w:r>
      <w:r w:rsidR="0068260E" w:rsidRPr="00935CE1">
        <w:rPr>
          <w:rFonts w:asciiTheme="minorHAnsi" w:hAnsiTheme="minorHAnsi"/>
          <w:iCs/>
          <w:snapToGrid w:val="0"/>
        </w:rPr>
        <w:t>ed</w:t>
      </w:r>
      <w:r w:rsidR="00064159" w:rsidRPr="00935CE1">
        <w:rPr>
          <w:rFonts w:asciiTheme="minorHAnsi" w:hAnsiTheme="minorHAnsi"/>
          <w:iCs/>
          <w:snapToGrid w:val="0"/>
        </w:rPr>
        <w:t xml:space="preserve"> in the longer</w:t>
      </w:r>
      <w:r w:rsidR="00612C40" w:rsidRPr="00935CE1">
        <w:rPr>
          <w:rFonts w:asciiTheme="minorHAnsi" w:hAnsiTheme="minorHAnsi"/>
          <w:iCs/>
          <w:snapToGrid w:val="0"/>
        </w:rPr>
        <w:t>-</w:t>
      </w:r>
      <w:r w:rsidR="00064159" w:rsidRPr="00935CE1">
        <w:rPr>
          <w:rFonts w:asciiTheme="minorHAnsi" w:hAnsiTheme="minorHAnsi"/>
          <w:iCs/>
          <w:snapToGrid w:val="0"/>
        </w:rPr>
        <w:t>term outcomes</w:t>
      </w:r>
      <w:r w:rsidR="00612C40" w:rsidRPr="00935CE1">
        <w:rPr>
          <w:rFonts w:asciiTheme="minorHAnsi" w:hAnsiTheme="minorHAnsi"/>
          <w:iCs/>
          <w:snapToGrid w:val="0"/>
        </w:rPr>
        <w:t>. The ESC considered the</w:t>
      </w:r>
      <w:r w:rsidR="00146917" w:rsidRPr="00935CE1">
        <w:rPr>
          <w:rFonts w:asciiTheme="minorHAnsi" w:hAnsiTheme="minorHAnsi"/>
          <w:iCs/>
          <w:snapToGrid w:val="0"/>
        </w:rPr>
        <w:t xml:space="preserve"> use of the Weibull </w:t>
      </w:r>
      <w:r w:rsidR="00D372DA" w:rsidRPr="00935CE1">
        <w:rPr>
          <w:rFonts w:asciiTheme="minorHAnsi" w:hAnsiTheme="minorHAnsi"/>
          <w:iCs/>
          <w:snapToGrid w:val="0"/>
        </w:rPr>
        <w:t>function for both PFS and OS would be appropriate.</w:t>
      </w:r>
      <w:bookmarkEnd w:id="69"/>
      <w:r w:rsidR="00D372DA" w:rsidRPr="00935CE1">
        <w:rPr>
          <w:rFonts w:asciiTheme="minorHAnsi" w:hAnsiTheme="minorHAnsi"/>
          <w:iCs/>
          <w:snapToGrid w:val="0"/>
        </w:rPr>
        <w:t xml:space="preserve"> </w:t>
      </w:r>
      <w:r w:rsidR="00612C40" w:rsidRPr="00935CE1">
        <w:rPr>
          <w:rFonts w:asciiTheme="minorHAnsi" w:hAnsiTheme="minorHAnsi"/>
          <w:iCs/>
          <w:snapToGrid w:val="0"/>
        </w:rPr>
        <w:t xml:space="preserve"> </w:t>
      </w:r>
      <w:r w:rsidR="0002072F" w:rsidRPr="00935CE1">
        <w:rPr>
          <w:rFonts w:asciiTheme="minorHAnsi" w:hAnsiTheme="minorHAnsi"/>
          <w:iCs/>
          <w:snapToGrid w:val="0"/>
        </w:rPr>
        <w:t xml:space="preserve"> </w:t>
      </w:r>
      <w:r w:rsidR="0053030E" w:rsidRPr="00935CE1">
        <w:rPr>
          <w:rFonts w:asciiTheme="minorHAnsi" w:hAnsiTheme="minorHAnsi"/>
          <w:iCs/>
          <w:snapToGrid w:val="0"/>
        </w:rPr>
        <w:t xml:space="preserve"> </w:t>
      </w:r>
      <w:r w:rsidR="00B43137" w:rsidRPr="00935CE1">
        <w:rPr>
          <w:rFonts w:asciiTheme="minorHAnsi" w:hAnsiTheme="minorHAnsi"/>
          <w:iCs/>
          <w:snapToGrid w:val="0"/>
        </w:rPr>
        <w:t xml:space="preserve"> </w:t>
      </w:r>
    </w:p>
    <w:p w14:paraId="541BF60E" w14:textId="67D1A508" w:rsidR="00B245E5" w:rsidRPr="00935CE1" w:rsidRDefault="00B245E5" w:rsidP="00B245E5">
      <w:pPr>
        <w:pStyle w:val="Caption"/>
        <w:rPr>
          <w:iCs/>
        </w:rPr>
      </w:pPr>
      <w:r w:rsidRPr="00935CE1">
        <w:rPr>
          <w:iCs/>
        </w:rPr>
        <w:t xml:space="preserve">Figure </w:t>
      </w:r>
      <w:r w:rsidR="00A53E6E" w:rsidRPr="00935CE1">
        <w:rPr>
          <w:iCs/>
        </w:rPr>
        <w:fldChar w:fldCharType="begin" w:fldLock="1"/>
      </w:r>
      <w:r w:rsidR="00A53E6E" w:rsidRPr="00935CE1">
        <w:rPr>
          <w:iCs/>
        </w:rPr>
        <w:instrText xml:space="preserve"> SEQ Figure \* ARABIC </w:instrText>
      </w:r>
      <w:r w:rsidR="00A53E6E" w:rsidRPr="00935CE1">
        <w:rPr>
          <w:iCs/>
        </w:rPr>
        <w:fldChar w:fldCharType="separate"/>
      </w:r>
      <w:r w:rsidR="003C21E7">
        <w:rPr>
          <w:iCs/>
          <w:noProof/>
        </w:rPr>
        <w:t>3</w:t>
      </w:r>
      <w:r w:rsidR="00A53E6E" w:rsidRPr="00935CE1">
        <w:rPr>
          <w:iCs/>
          <w:noProof/>
        </w:rPr>
        <w:fldChar w:fldCharType="end"/>
      </w:r>
      <w:r w:rsidRPr="00935CE1">
        <w:rPr>
          <w:iCs/>
        </w:rPr>
        <w:t>: PFS and OS extrapolation functions in Glofit-GemOx and R-</w:t>
      </w:r>
      <w:proofErr w:type="spellStart"/>
      <w:r w:rsidRPr="00935CE1">
        <w:rPr>
          <w:iCs/>
        </w:rPr>
        <w:t>GemOx</w:t>
      </w:r>
      <w:proofErr w:type="spellEnd"/>
      <w:r w:rsidRPr="00935CE1">
        <w:rPr>
          <w:iCs/>
        </w:rPr>
        <w:t xml:space="preserve"> arms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15"/>
        <w:gridCol w:w="4512"/>
      </w:tblGrid>
      <w:tr w:rsidR="00B245E5" w:rsidRPr="00935CE1" w14:paraId="45BD4A10" w14:textId="77777777" w:rsidTr="00F274C6">
        <w:trPr>
          <w:trHeight w:val="20"/>
        </w:trPr>
        <w:tc>
          <w:tcPr>
            <w:tcW w:w="2501" w:type="pct"/>
          </w:tcPr>
          <w:p w14:paraId="4FBB6827" w14:textId="77777777" w:rsidR="00B245E5" w:rsidRPr="00935CE1" w:rsidRDefault="00B245E5" w:rsidP="00F274C6">
            <w:pPr>
              <w:pStyle w:val="In-tableHeading"/>
              <w:rPr>
                <w:iCs/>
                <w:lang w:val="en-AU"/>
              </w:rPr>
            </w:pPr>
            <w:r w:rsidRPr="00935CE1">
              <w:rPr>
                <w:iCs/>
                <w:lang w:val="en-AU"/>
              </w:rPr>
              <w:t>PFS</w:t>
            </w:r>
          </w:p>
        </w:tc>
        <w:tc>
          <w:tcPr>
            <w:tcW w:w="2499" w:type="pct"/>
          </w:tcPr>
          <w:p w14:paraId="63977DAD" w14:textId="77777777" w:rsidR="00B245E5" w:rsidRPr="00935CE1" w:rsidRDefault="00B245E5" w:rsidP="00F274C6">
            <w:pPr>
              <w:pStyle w:val="In-tableHeading"/>
              <w:rPr>
                <w:iCs/>
                <w:lang w:val="en-AU"/>
              </w:rPr>
            </w:pPr>
            <w:r w:rsidRPr="00935CE1">
              <w:rPr>
                <w:iCs/>
                <w:lang w:val="en-AU"/>
              </w:rPr>
              <w:t>OS</w:t>
            </w:r>
          </w:p>
        </w:tc>
      </w:tr>
      <w:tr w:rsidR="00B245E5" w:rsidRPr="00935CE1" w14:paraId="171EF16A" w14:textId="77777777" w:rsidTr="00F274C6">
        <w:trPr>
          <w:trHeight w:val="20"/>
        </w:trPr>
        <w:tc>
          <w:tcPr>
            <w:tcW w:w="2501" w:type="pct"/>
          </w:tcPr>
          <w:p w14:paraId="09CF1717" w14:textId="33DF0CF1" w:rsidR="00B245E5" w:rsidRPr="00935CE1" w:rsidRDefault="002124D1" w:rsidP="00F274C6">
            <w:pPr>
              <w:pStyle w:val="In-tableHeading"/>
              <w:rPr>
                <w:iCs/>
                <w:lang w:val="en-AU"/>
              </w:rPr>
            </w:pPr>
            <w:r w:rsidRPr="00935CE1">
              <w:rPr>
                <w:iCs/>
                <w:noProof/>
                <w:lang w:val="en-AU"/>
              </w:rPr>
              <w:drawing>
                <wp:inline distT="0" distB="0" distL="0" distR="0" wp14:anchorId="1F33594F" wp14:editId="2BEA4312">
                  <wp:extent cx="2944495" cy="2170430"/>
                  <wp:effectExtent l="0" t="0" r="8255" b="1270"/>
                  <wp:docPr id="13" name="Picture 13" descr="Figure 2: Kaplan-Meier curves for overall survival and progression free survival in STARGLO (ITT); the red line reflects Glofit-GemOx and the blue line reflects R-Gem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2: Kaplan-Meier curves for overall survival and progression free survival in STARGLO (ITT); the red line reflects Glofit-GemOx and the blue line reflects R-GemOx."/>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5393" cy="2171092"/>
                          </a:xfrm>
                          <a:prstGeom prst="rect">
                            <a:avLst/>
                          </a:prstGeom>
                          <a:noFill/>
                        </pic:spPr>
                      </pic:pic>
                    </a:graphicData>
                  </a:graphic>
                </wp:inline>
              </w:drawing>
            </w:r>
          </w:p>
        </w:tc>
        <w:tc>
          <w:tcPr>
            <w:tcW w:w="2499" w:type="pct"/>
          </w:tcPr>
          <w:p w14:paraId="68B58793" w14:textId="2F4AE489" w:rsidR="00B245E5" w:rsidRPr="00935CE1" w:rsidRDefault="00645166" w:rsidP="00F274C6">
            <w:pPr>
              <w:pStyle w:val="In-tableHeading"/>
              <w:rPr>
                <w:iCs/>
                <w:lang w:val="en-AU"/>
              </w:rPr>
            </w:pPr>
            <w:r w:rsidRPr="00935CE1">
              <w:rPr>
                <w:iCs/>
                <w:noProof/>
                <w:lang w:val="en-AU"/>
              </w:rPr>
              <w:drawing>
                <wp:inline distT="0" distB="0" distL="0" distR="0" wp14:anchorId="097087A5" wp14:editId="445D5CE4">
                  <wp:extent cx="2960437" cy="2170430"/>
                  <wp:effectExtent l="0" t="0" r="0" b="1270"/>
                  <wp:docPr id="24" name="Picture 24" descr="Figure 3: PFS and OS extrapolation functions in Glofit-GemOx and R-GemOx arms&#10; &#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3: PFS and OS extrapolation functions in Glofit-GemOx and R-GemOx arms&#10; &#10;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4517" cy="2180753"/>
                          </a:xfrm>
                          <a:prstGeom prst="rect">
                            <a:avLst/>
                          </a:prstGeom>
                          <a:noFill/>
                        </pic:spPr>
                      </pic:pic>
                    </a:graphicData>
                  </a:graphic>
                </wp:inline>
              </w:drawing>
            </w:r>
          </w:p>
        </w:tc>
      </w:tr>
      <w:tr w:rsidR="00B245E5" w:rsidRPr="00935CE1" w14:paraId="02C25A03" w14:textId="77777777" w:rsidTr="00F274C6">
        <w:trPr>
          <w:trHeight w:val="20"/>
        </w:trPr>
        <w:tc>
          <w:tcPr>
            <w:tcW w:w="5000" w:type="pct"/>
            <w:gridSpan w:val="2"/>
          </w:tcPr>
          <w:p w14:paraId="19202F46" w14:textId="77777777" w:rsidR="00B245E5" w:rsidRPr="00935CE1" w:rsidRDefault="00B245E5" w:rsidP="00F274C6">
            <w:pPr>
              <w:pStyle w:val="In-tableHeading"/>
              <w:rPr>
                <w:iCs/>
                <w:noProof/>
                <w:lang w:val="en-AU"/>
              </w:rPr>
            </w:pPr>
            <w:r w:rsidRPr="00935CE1">
              <w:rPr>
                <w:iCs/>
                <w:noProof/>
                <w:lang w:val="en-AU"/>
              </w:rPr>
              <w:drawing>
                <wp:inline distT="0" distB="0" distL="0" distR="0" wp14:anchorId="3F51B283" wp14:editId="2A269649">
                  <wp:extent cx="6009847" cy="365053"/>
                  <wp:effectExtent l="0" t="0" r="0" b="0"/>
                  <wp:docPr id="44" name="Picture 44" descr="Diagram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 descriptions"/>
                          <pic:cNvPicPr>
                            <a:picLocks noChangeAspect="1" noChangeArrowheads="1"/>
                          </pic:cNvPicPr>
                        </pic:nvPicPr>
                        <pic:blipFill rotWithShape="1">
                          <a:blip r:embed="rId22">
                            <a:extLst>
                              <a:ext uri="{28A0092B-C50C-407E-A947-70E740481C1C}">
                                <a14:useLocalDpi xmlns:a14="http://schemas.microsoft.com/office/drawing/2010/main" val="0"/>
                              </a:ext>
                            </a:extLst>
                          </a:blip>
                          <a:srcRect/>
                          <a:stretch/>
                        </pic:blipFill>
                        <pic:spPr bwMode="auto">
                          <a:xfrm>
                            <a:off x="0" y="0"/>
                            <a:ext cx="6376136" cy="3873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DC45438" w14:textId="77777777" w:rsidR="00B245E5" w:rsidRPr="00935CE1" w:rsidRDefault="00B245E5" w:rsidP="00B245E5">
      <w:pPr>
        <w:rPr>
          <w:rFonts w:ascii="Arial Narrow" w:hAnsi="Arial Narrow"/>
          <w:iCs/>
          <w:sz w:val="18"/>
        </w:rPr>
      </w:pPr>
      <w:r w:rsidRPr="00935CE1">
        <w:rPr>
          <w:rFonts w:ascii="Arial Narrow" w:hAnsi="Arial Narrow"/>
          <w:iCs/>
          <w:sz w:val="18"/>
        </w:rPr>
        <w:t>Source: Constructed during the evaluation from “Glofit-GemOx” and “R-</w:t>
      </w:r>
      <w:proofErr w:type="spellStart"/>
      <w:r w:rsidRPr="00935CE1">
        <w:rPr>
          <w:rFonts w:ascii="Arial Narrow" w:hAnsi="Arial Narrow"/>
          <w:iCs/>
          <w:sz w:val="18"/>
        </w:rPr>
        <w:t>GemOx</w:t>
      </w:r>
      <w:proofErr w:type="spellEnd"/>
      <w:r w:rsidRPr="00935CE1">
        <w:rPr>
          <w:rFonts w:ascii="Arial Narrow" w:hAnsi="Arial Narrow"/>
          <w:iCs/>
          <w:sz w:val="18"/>
        </w:rPr>
        <w:t>” worksheets of the Economic Evaluation_glofit.xlsx.</w:t>
      </w:r>
    </w:p>
    <w:p w14:paraId="50427704" w14:textId="3A4594CF" w:rsidR="00F71EBD" w:rsidRPr="00935CE1" w:rsidRDefault="00B245E5" w:rsidP="003859EA">
      <w:pPr>
        <w:pStyle w:val="3-BodyText"/>
        <w:spacing w:before="0" w:after="120"/>
        <w:rPr>
          <w:rFonts w:ascii="Arial Narrow" w:hAnsi="Arial Narrow"/>
          <w:iCs/>
          <w:snapToGrid/>
          <w:sz w:val="18"/>
        </w:rPr>
      </w:pPr>
      <w:r w:rsidRPr="00935CE1">
        <w:rPr>
          <w:rFonts w:ascii="Arial Narrow" w:hAnsi="Arial Narrow"/>
          <w:iCs/>
          <w:snapToGrid/>
          <w:sz w:val="18"/>
        </w:rPr>
        <w:t>Glofit-GemOx=glofitamab, gemcitabine and oxaliplatin; KM=Kaplan-Meier; OS=overall survival; PFS=progression-free survival; R-</w:t>
      </w:r>
      <w:proofErr w:type="spellStart"/>
      <w:r w:rsidRPr="00935CE1">
        <w:rPr>
          <w:rFonts w:ascii="Arial Narrow" w:hAnsi="Arial Narrow"/>
          <w:iCs/>
          <w:snapToGrid/>
          <w:sz w:val="18"/>
        </w:rPr>
        <w:t>GemOx</w:t>
      </w:r>
      <w:proofErr w:type="spellEnd"/>
      <w:r w:rsidRPr="00935CE1">
        <w:rPr>
          <w:rFonts w:ascii="Arial Narrow" w:hAnsi="Arial Narrow"/>
          <w:iCs/>
          <w:snapToGrid/>
          <w:sz w:val="18"/>
        </w:rPr>
        <w:t>=rituximab, gemcitabine and oxaliplatin.</w:t>
      </w:r>
    </w:p>
    <w:p w14:paraId="3BF2EEC8" w14:textId="12B425FE" w:rsidR="002A0BBB" w:rsidRPr="00935CE1" w:rsidRDefault="00F71EBD" w:rsidP="004602CD">
      <w:pPr>
        <w:numPr>
          <w:ilvl w:val="1"/>
          <w:numId w:val="1"/>
        </w:numPr>
        <w:spacing w:before="60" w:after="60"/>
        <w:rPr>
          <w:rFonts w:asciiTheme="minorHAnsi" w:hAnsiTheme="minorHAnsi"/>
          <w:iCs/>
          <w:snapToGrid w:val="0"/>
        </w:rPr>
      </w:pPr>
      <w:bookmarkStart w:id="70" w:name="_Ref203997371"/>
      <w:r w:rsidRPr="00935CE1">
        <w:rPr>
          <w:rFonts w:asciiTheme="minorHAnsi" w:hAnsiTheme="minorHAnsi"/>
          <w:iCs/>
          <w:snapToGrid w:val="0"/>
        </w:rPr>
        <w:t>T</w:t>
      </w:r>
      <w:r w:rsidR="00A86EFE" w:rsidRPr="00935CE1">
        <w:rPr>
          <w:rFonts w:asciiTheme="minorHAnsi" w:hAnsiTheme="minorHAnsi"/>
          <w:iCs/>
          <w:snapToGrid w:val="0"/>
        </w:rPr>
        <w:t>h</w:t>
      </w:r>
      <w:r w:rsidR="002A0BBB" w:rsidRPr="00935CE1">
        <w:rPr>
          <w:rFonts w:asciiTheme="minorHAnsi" w:hAnsiTheme="minorHAnsi"/>
          <w:iCs/>
          <w:snapToGrid w:val="0"/>
        </w:rPr>
        <w:t>e submission’s approach for defining the KM data truncation point was poorly justified and produced unrealistic survival functions</w:t>
      </w:r>
      <w:r w:rsidRPr="00935CE1">
        <w:rPr>
          <w:rFonts w:asciiTheme="minorHAnsi" w:hAnsiTheme="minorHAnsi"/>
          <w:iCs/>
          <w:snapToGrid w:val="0"/>
        </w:rPr>
        <w:t xml:space="preserve"> – regardless of the parametric function chosen </w:t>
      </w:r>
      <w:r w:rsidR="00944210" w:rsidRPr="00935CE1">
        <w:rPr>
          <w:rFonts w:asciiTheme="minorHAnsi" w:hAnsiTheme="minorHAnsi"/>
          <w:iCs/>
          <w:snapToGrid w:val="0"/>
        </w:rPr>
        <w:t>–</w:t>
      </w:r>
      <w:r w:rsidR="00BF0924" w:rsidRPr="00935CE1">
        <w:rPr>
          <w:rFonts w:asciiTheme="minorHAnsi" w:hAnsiTheme="minorHAnsi"/>
          <w:iCs/>
          <w:snapToGrid w:val="0"/>
        </w:rPr>
        <w:t xml:space="preserve"> in the base case analysis</w:t>
      </w:r>
      <w:r w:rsidR="00A86EFE" w:rsidRPr="00935CE1">
        <w:rPr>
          <w:rFonts w:asciiTheme="minorHAnsi" w:hAnsiTheme="minorHAnsi"/>
          <w:iCs/>
          <w:snapToGrid w:val="0"/>
        </w:rPr>
        <w:t xml:space="preserve"> (see </w:t>
      </w:r>
      <w:r w:rsidR="00A86EFE" w:rsidRPr="00935CE1">
        <w:rPr>
          <w:rFonts w:asciiTheme="minorHAnsi" w:hAnsiTheme="minorHAnsi"/>
          <w:iCs/>
          <w:snapToGrid w:val="0"/>
        </w:rPr>
        <w:fldChar w:fldCharType="begin" w:fldLock="1"/>
      </w:r>
      <w:r w:rsidR="00A86EFE" w:rsidRPr="00935CE1">
        <w:rPr>
          <w:rFonts w:asciiTheme="minorHAnsi" w:hAnsiTheme="minorHAnsi"/>
          <w:iCs/>
          <w:snapToGrid w:val="0"/>
        </w:rPr>
        <w:instrText xml:space="preserve"> REF _Ref196298033 \h </w:instrText>
      </w:r>
      <w:r w:rsidR="004602CD" w:rsidRPr="00935CE1">
        <w:rPr>
          <w:rFonts w:asciiTheme="minorHAnsi" w:hAnsiTheme="minorHAnsi"/>
          <w:iCs/>
          <w:snapToGrid w:val="0"/>
        </w:rPr>
        <w:instrText xml:space="preserve"> \* MERGEFORMAT </w:instrText>
      </w:r>
      <w:r w:rsidR="00A86EFE" w:rsidRPr="00935CE1">
        <w:rPr>
          <w:rFonts w:asciiTheme="minorHAnsi" w:hAnsiTheme="minorHAnsi"/>
          <w:iCs/>
          <w:snapToGrid w:val="0"/>
        </w:rPr>
      </w:r>
      <w:r w:rsidR="00A86EFE" w:rsidRPr="00935CE1">
        <w:rPr>
          <w:rFonts w:asciiTheme="minorHAnsi" w:hAnsiTheme="minorHAnsi"/>
          <w:iCs/>
          <w:snapToGrid w:val="0"/>
        </w:rPr>
        <w:fldChar w:fldCharType="separate"/>
      </w:r>
      <w:r w:rsidR="003C21E7" w:rsidRPr="003C21E7">
        <w:rPr>
          <w:rFonts w:asciiTheme="minorHAnsi" w:hAnsiTheme="minorHAnsi"/>
          <w:iCs/>
          <w:snapToGrid w:val="0"/>
        </w:rPr>
        <w:t>Figure 4</w:t>
      </w:r>
      <w:r w:rsidR="00A86EFE" w:rsidRPr="00935CE1">
        <w:rPr>
          <w:rFonts w:asciiTheme="minorHAnsi" w:hAnsiTheme="minorHAnsi"/>
          <w:iCs/>
          <w:snapToGrid w:val="0"/>
        </w:rPr>
        <w:fldChar w:fldCharType="end"/>
      </w:r>
      <w:r w:rsidR="00A86EFE" w:rsidRPr="00935CE1">
        <w:rPr>
          <w:rFonts w:asciiTheme="minorHAnsi" w:hAnsiTheme="minorHAnsi"/>
          <w:iCs/>
          <w:snapToGrid w:val="0"/>
        </w:rPr>
        <w:t>, panels A and B)</w:t>
      </w:r>
      <w:r w:rsidR="002A0BBB" w:rsidRPr="00935CE1">
        <w:rPr>
          <w:rFonts w:asciiTheme="minorHAnsi" w:hAnsiTheme="minorHAnsi"/>
          <w:iCs/>
          <w:snapToGrid w:val="0"/>
        </w:rPr>
        <w:t xml:space="preserve">. Rather, it is common practice to use KM data until about 10% of patients remain at risk or another </w:t>
      </w:r>
      <w:r w:rsidR="00A86EFE" w:rsidRPr="00935CE1">
        <w:rPr>
          <w:rFonts w:asciiTheme="minorHAnsi" w:hAnsiTheme="minorHAnsi"/>
          <w:iCs/>
          <w:snapToGrid w:val="0"/>
        </w:rPr>
        <w:t xml:space="preserve">similar </w:t>
      </w:r>
      <w:r w:rsidR="002A0BBB" w:rsidRPr="00935CE1">
        <w:rPr>
          <w:rFonts w:asciiTheme="minorHAnsi" w:hAnsiTheme="minorHAnsi"/>
          <w:iCs/>
          <w:snapToGrid w:val="0"/>
        </w:rPr>
        <w:t xml:space="preserve">point, beyond which estimates become less reliable (more uncertain) due to data scarcity and high censoring. </w:t>
      </w:r>
      <w:r w:rsidR="00BF0924" w:rsidRPr="00935CE1">
        <w:rPr>
          <w:rFonts w:asciiTheme="minorHAnsi" w:hAnsiTheme="minorHAnsi"/>
          <w:iCs/>
          <w:snapToGrid w:val="0"/>
        </w:rPr>
        <w:t>For a sensitivity analysis, t</w:t>
      </w:r>
      <w:r w:rsidR="002A0BBB" w:rsidRPr="00935CE1">
        <w:rPr>
          <w:rFonts w:asciiTheme="minorHAnsi" w:hAnsiTheme="minorHAnsi"/>
          <w:iCs/>
          <w:snapToGrid w:val="0"/>
        </w:rPr>
        <w:t xml:space="preserve">he submission </w:t>
      </w:r>
      <w:r w:rsidR="00BF0924" w:rsidRPr="00935CE1">
        <w:rPr>
          <w:rFonts w:asciiTheme="minorHAnsi" w:hAnsiTheme="minorHAnsi"/>
          <w:iCs/>
          <w:snapToGrid w:val="0"/>
        </w:rPr>
        <w:t xml:space="preserve">defined the truncation point based on the </w:t>
      </w:r>
      <w:r w:rsidR="002A0BBB" w:rsidRPr="00935CE1">
        <w:rPr>
          <w:rFonts w:asciiTheme="minorHAnsi" w:hAnsiTheme="minorHAnsi"/>
          <w:iCs/>
          <w:snapToGrid w:val="0"/>
        </w:rPr>
        <w:t xml:space="preserve">average follow-up </w:t>
      </w:r>
      <w:r w:rsidR="00BF0924" w:rsidRPr="00935CE1">
        <w:rPr>
          <w:rFonts w:asciiTheme="minorHAnsi" w:hAnsiTheme="minorHAnsi"/>
          <w:iCs/>
          <w:snapToGrid w:val="0"/>
        </w:rPr>
        <w:t>on the combined treatment arms</w:t>
      </w:r>
      <w:r w:rsidR="002A0BBB" w:rsidRPr="00935CE1">
        <w:rPr>
          <w:rFonts w:asciiTheme="minorHAnsi" w:hAnsiTheme="minorHAnsi"/>
          <w:iCs/>
          <w:snapToGrid w:val="0"/>
        </w:rPr>
        <w:t>, which was likely more reliable</w:t>
      </w:r>
      <w:r w:rsidR="00F12B10" w:rsidRPr="00935CE1">
        <w:rPr>
          <w:rFonts w:asciiTheme="minorHAnsi" w:hAnsiTheme="minorHAnsi"/>
          <w:iCs/>
          <w:snapToGrid w:val="0"/>
        </w:rPr>
        <w:t xml:space="preserve"> (see </w:t>
      </w:r>
      <w:r w:rsidR="00F12B10" w:rsidRPr="00935CE1">
        <w:rPr>
          <w:rFonts w:asciiTheme="minorHAnsi" w:hAnsiTheme="minorHAnsi"/>
          <w:iCs/>
          <w:snapToGrid w:val="0"/>
        </w:rPr>
        <w:fldChar w:fldCharType="begin" w:fldLock="1"/>
      </w:r>
      <w:r w:rsidR="00F12B10" w:rsidRPr="00935CE1">
        <w:rPr>
          <w:rFonts w:asciiTheme="minorHAnsi" w:hAnsiTheme="minorHAnsi"/>
          <w:iCs/>
          <w:snapToGrid w:val="0"/>
        </w:rPr>
        <w:instrText xml:space="preserve"> REF _Ref196298033 \h </w:instrText>
      </w:r>
      <w:r w:rsidR="004602CD" w:rsidRPr="00935CE1">
        <w:rPr>
          <w:rFonts w:asciiTheme="minorHAnsi" w:hAnsiTheme="minorHAnsi"/>
          <w:iCs/>
          <w:snapToGrid w:val="0"/>
        </w:rPr>
        <w:instrText xml:space="preserve"> \* MERGEFORMAT </w:instrText>
      </w:r>
      <w:r w:rsidR="00F12B10" w:rsidRPr="00935CE1">
        <w:rPr>
          <w:rFonts w:asciiTheme="minorHAnsi" w:hAnsiTheme="minorHAnsi"/>
          <w:iCs/>
          <w:snapToGrid w:val="0"/>
        </w:rPr>
      </w:r>
      <w:r w:rsidR="00F12B10" w:rsidRPr="00935CE1">
        <w:rPr>
          <w:rFonts w:asciiTheme="minorHAnsi" w:hAnsiTheme="minorHAnsi"/>
          <w:iCs/>
          <w:snapToGrid w:val="0"/>
        </w:rPr>
        <w:fldChar w:fldCharType="separate"/>
      </w:r>
      <w:r w:rsidR="003C21E7" w:rsidRPr="003C21E7">
        <w:rPr>
          <w:rFonts w:asciiTheme="minorHAnsi" w:hAnsiTheme="minorHAnsi"/>
          <w:iCs/>
          <w:snapToGrid w:val="0"/>
        </w:rPr>
        <w:t>Figure 4</w:t>
      </w:r>
      <w:r w:rsidR="00F12B10" w:rsidRPr="00935CE1">
        <w:rPr>
          <w:rFonts w:asciiTheme="minorHAnsi" w:hAnsiTheme="minorHAnsi"/>
          <w:iCs/>
          <w:snapToGrid w:val="0"/>
        </w:rPr>
        <w:fldChar w:fldCharType="end"/>
      </w:r>
      <w:r w:rsidR="00F12B10" w:rsidRPr="00935CE1">
        <w:rPr>
          <w:rFonts w:asciiTheme="minorHAnsi" w:hAnsiTheme="minorHAnsi"/>
          <w:iCs/>
          <w:snapToGrid w:val="0"/>
        </w:rPr>
        <w:t>, panels C and D)</w:t>
      </w:r>
      <w:r w:rsidR="002A0BBB" w:rsidRPr="00935CE1">
        <w:rPr>
          <w:rFonts w:asciiTheme="minorHAnsi" w:hAnsiTheme="minorHAnsi"/>
          <w:iCs/>
          <w:snapToGrid w:val="0"/>
        </w:rPr>
        <w:t xml:space="preserve">. However, it was </w:t>
      </w:r>
      <w:r w:rsidR="00BF0924" w:rsidRPr="00935CE1">
        <w:rPr>
          <w:rFonts w:asciiTheme="minorHAnsi" w:hAnsiTheme="minorHAnsi"/>
          <w:iCs/>
          <w:snapToGrid w:val="0"/>
        </w:rPr>
        <w:t xml:space="preserve">also </w:t>
      </w:r>
      <w:r w:rsidR="002A0BBB" w:rsidRPr="00935CE1">
        <w:rPr>
          <w:rFonts w:asciiTheme="minorHAnsi" w:hAnsiTheme="minorHAnsi"/>
          <w:iCs/>
          <w:snapToGrid w:val="0"/>
        </w:rPr>
        <w:t>unclear why a common truncation point</w:t>
      </w:r>
      <w:r w:rsidR="0065437A" w:rsidRPr="00935CE1">
        <w:rPr>
          <w:rFonts w:asciiTheme="minorHAnsi" w:hAnsiTheme="minorHAnsi"/>
          <w:iCs/>
          <w:snapToGrid w:val="0"/>
        </w:rPr>
        <w:t>,</w:t>
      </w:r>
      <w:r w:rsidR="002A0BBB" w:rsidRPr="00935CE1">
        <w:rPr>
          <w:rFonts w:asciiTheme="minorHAnsi" w:hAnsiTheme="minorHAnsi"/>
          <w:iCs/>
          <w:snapToGrid w:val="0"/>
        </w:rPr>
        <w:t xml:space="preserve"> based on the combined treatment arms</w:t>
      </w:r>
      <w:r w:rsidR="0065437A" w:rsidRPr="00935CE1">
        <w:rPr>
          <w:rFonts w:asciiTheme="minorHAnsi" w:hAnsiTheme="minorHAnsi"/>
          <w:iCs/>
          <w:snapToGrid w:val="0"/>
        </w:rPr>
        <w:t>,</w:t>
      </w:r>
      <w:r w:rsidR="002A0BBB" w:rsidRPr="00935CE1">
        <w:rPr>
          <w:rFonts w:asciiTheme="minorHAnsi" w:hAnsiTheme="minorHAnsi"/>
          <w:iCs/>
          <w:snapToGrid w:val="0"/>
        </w:rPr>
        <w:t xml:space="preserve"> was </w:t>
      </w:r>
      <w:r w:rsidR="00BF0924" w:rsidRPr="00935CE1">
        <w:rPr>
          <w:rFonts w:asciiTheme="minorHAnsi" w:hAnsiTheme="minorHAnsi"/>
          <w:iCs/>
          <w:snapToGrid w:val="0"/>
        </w:rPr>
        <w:t xml:space="preserve">necessary </w:t>
      </w:r>
      <w:r w:rsidR="002A0BBB" w:rsidRPr="00935CE1">
        <w:rPr>
          <w:rFonts w:asciiTheme="minorHAnsi" w:hAnsiTheme="minorHAnsi"/>
          <w:iCs/>
          <w:snapToGrid w:val="0"/>
        </w:rPr>
        <w:t>when there was much longer average</w:t>
      </w:r>
      <w:r w:rsidR="000C04CA" w:rsidRPr="00935CE1">
        <w:rPr>
          <w:rFonts w:asciiTheme="minorHAnsi" w:hAnsiTheme="minorHAnsi"/>
          <w:iCs/>
          <w:snapToGrid w:val="0"/>
        </w:rPr>
        <w:t xml:space="preserve"> </w:t>
      </w:r>
      <w:r w:rsidR="002A0BBB" w:rsidRPr="00935CE1">
        <w:rPr>
          <w:rFonts w:asciiTheme="minorHAnsi" w:hAnsiTheme="minorHAnsi"/>
          <w:iCs/>
          <w:snapToGrid w:val="0"/>
        </w:rPr>
        <w:t>follow-up for Glofit-GemOx compared to R-</w:t>
      </w:r>
      <w:proofErr w:type="spellStart"/>
      <w:r w:rsidR="002A0BBB" w:rsidRPr="00935CE1">
        <w:rPr>
          <w:rFonts w:asciiTheme="minorHAnsi" w:hAnsiTheme="minorHAnsi"/>
          <w:iCs/>
          <w:snapToGrid w:val="0"/>
        </w:rPr>
        <w:t>GemOx</w:t>
      </w:r>
      <w:proofErr w:type="spellEnd"/>
      <w:r w:rsidR="002A0BBB" w:rsidRPr="00935CE1">
        <w:rPr>
          <w:rFonts w:asciiTheme="minorHAnsi" w:hAnsiTheme="minorHAnsi"/>
          <w:iCs/>
          <w:snapToGrid w:val="0"/>
        </w:rPr>
        <w:t>, especially for PFS</w:t>
      </w:r>
      <w:r w:rsidR="000C04CA" w:rsidRPr="00935CE1">
        <w:rPr>
          <w:rFonts w:asciiTheme="minorHAnsi" w:hAnsiTheme="minorHAnsi"/>
          <w:iCs/>
          <w:snapToGrid w:val="0"/>
        </w:rPr>
        <w:t xml:space="preserve"> (16.3 months in Glofit-GemOx versus 8.6 months in R-</w:t>
      </w:r>
      <w:r w:rsidR="00944210" w:rsidRPr="00935CE1">
        <w:rPr>
          <w:rFonts w:asciiTheme="minorHAnsi" w:hAnsiTheme="minorHAnsi"/>
          <w:iCs/>
          <w:snapToGrid w:val="0"/>
        </w:rPr>
        <w:t> </w:t>
      </w:r>
      <w:proofErr w:type="spellStart"/>
      <w:r w:rsidR="000C04CA" w:rsidRPr="00935CE1">
        <w:rPr>
          <w:rFonts w:asciiTheme="minorHAnsi" w:hAnsiTheme="minorHAnsi"/>
          <w:iCs/>
          <w:snapToGrid w:val="0"/>
        </w:rPr>
        <w:t>GemOx</w:t>
      </w:r>
      <w:proofErr w:type="spellEnd"/>
      <w:r w:rsidR="000C04CA" w:rsidRPr="00935CE1">
        <w:rPr>
          <w:rFonts w:asciiTheme="minorHAnsi" w:hAnsiTheme="minorHAnsi"/>
          <w:iCs/>
          <w:snapToGrid w:val="0"/>
        </w:rPr>
        <w:t>)</w:t>
      </w:r>
      <w:r w:rsidR="002A0BBB" w:rsidRPr="00935CE1">
        <w:rPr>
          <w:rFonts w:asciiTheme="minorHAnsi" w:hAnsiTheme="minorHAnsi"/>
          <w:iCs/>
          <w:snapToGrid w:val="0"/>
        </w:rPr>
        <w:t xml:space="preserve">. </w:t>
      </w:r>
      <w:r w:rsidR="0065437A" w:rsidRPr="00935CE1">
        <w:rPr>
          <w:rFonts w:asciiTheme="minorHAnsi" w:hAnsiTheme="minorHAnsi"/>
          <w:iCs/>
          <w:snapToGrid w:val="0"/>
        </w:rPr>
        <w:t xml:space="preserve">An alternative sensitivity analysis was conducted during the evaluation, assuming </w:t>
      </w:r>
      <w:r w:rsidR="00BF0924" w:rsidRPr="00935CE1">
        <w:rPr>
          <w:rFonts w:asciiTheme="minorHAnsi" w:hAnsiTheme="minorHAnsi"/>
          <w:iCs/>
          <w:snapToGrid w:val="0"/>
        </w:rPr>
        <w:t xml:space="preserve">different truncation points </w:t>
      </w:r>
      <w:r w:rsidR="0065437A" w:rsidRPr="00935CE1">
        <w:rPr>
          <w:rFonts w:asciiTheme="minorHAnsi" w:hAnsiTheme="minorHAnsi"/>
          <w:iCs/>
          <w:snapToGrid w:val="0"/>
        </w:rPr>
        <w:t xml:space="preserve">for each treatment arm </w:t>
      </w:r>
      <w:r w:rsidR="00BF0924" w:rsidRPr="00935CE1">
        <w:rPr>
          <w:rFonts w:asciiTheme="minorHAnsi" w:hAnsiTheme="minorHAnsi"/>
          <w:iCs/>
          <w:snapToGrid w:val="0"/>
        </w:rPr>
        <w:t xml:space="preserve">based on the </w:t>
      </w:r>
      <w:r w:rsidR="00F12B10" w:rsidRPr="00935CE1">
        <w:rPr>
          <w:rFonts w:asciiTheme="minorHAnsi" w:hAnsiTheme="minorHAnsi"/>
          <w:iCs/>
          <w:snapToGrid w:val="0"/>
        </w:rPr>
        <w:t xml:space="preserve">average follow-up </w:t>
      </w:r>
      <w:r w:rsidR="0065437A" w:rsidRPr="00935CE1">
        <w:rPr>
          <w:rFonts w:asciiTheme="minorHAnsi" w:hAnsiTheme="minorHAnsi"/>
          <w:iCs/>
          <w:snapToGrid w:val="0"/>
        </w:rPr>
        <w:t xml:space="preserve">of each arm reported in STARGLO </w:t>
      </w:r>
      <w:r w:rsidR="00F12B10" w:rsidRPr="00935CE1">
        <w:rPr>
          <w:rFonts w:asciiTheme="minorHAnsi" w:hAnsiTheme="minorHAnsi"/>
          <w:iCs/>
          <w:snapToGrid w:val="0"/>
        </w:rPr>
        <w:t xml:space="preserve">(see </w:t>
      </w:r>
      <w:r w:rsidR="00F12B10" w:rsidRPr="00935CE1">
        <w:rPr>
          <w:rFonts w:asciiTheme="minorHAnsi" w:hAnsiTheme="minorHAnsi"/>
          <w:iCs/>
          <w:snapToGrid w:val="0"/>
        </w:rPr>
        <w:fldChar w:fldCharType="begin" w:fldLock="1"/>
      </w:r>
      <w:r w:rsidR="00F12B10" w:rsidRPr="00935CE1">
        <w:rPr>
          <w:rFonts w:asciiTheme="minorHAnsi" w:hAnsiTheme="minorHAnsi"/>
          <w:iCs/>
          <w:snapToGrid w:val="0"/>
        </w:rPr>
        <w:instrText xml:space="preserve"> REF _Ref196298033 \h </w:instrText>
      </w:r>
      <w:r w:rsidR="00432C87" w:rsidRPr="00935CE1">
        <w:rPr>
          <w:rFonts w:asciiTheme="minorHAnsi" w:hAnsiTheme="minorHAnsi"/>
          <w:iCs/>
          <w:snapToGrid w:val="0"/>
        </w:rPr>
        <w:instrText xml:space="preserve"> \* MERGEFORMAT </w:instrText>
      </w:r>
      <w:r w:rsidR="00F12B10" w:rsidRPr="00935CE1">
        <w:rPr>
          <w:rFonts w:asciiTheme="minorHAnsi" w:hAnsiTheme="minorHAnsi"/>
          <w:iCs/>
          <w:snapToGrid w:val="0"/>
        </w:rPr>
      </w:r>
      <w:r w:rsidR="00F12B10" w:rsidRPr="00935CE1">
        <w:rPr>
          <w:rFonts w:asciiTheme="minorHAnsi" w:hAnsiTheme="minorHAnsi"/>
          <w:iCs/>
          <w:snapToGrid w:val="0"/>
        </w:rPr>
        <w:fldChar w:fldCharType="separate"/>
      </w:r>
      <w:r w:rsidR="003C21E7" w:rsidRPr="003C21E7">
        <w:rPr>
          <w:rFonts w:asciiTheme="minorHAnsi" w:hAnsiTheme="minorHAnsi"/>
          <w:iCs/>
          <w:snapToGrid w:val="0"/>
        </w:rPr>
        <w:t>Figure 4</w:t>
      </w:r>
      <w:r w:rsidR="00F12B10" w:rsidRPr="00935CE1">
        <w:rPr>
          <w:rFonts w:asciiTheme="minorHAnsi" w:hAnsiTheme="minorHAnsi"/>
          <w:iCs/>
          <w:snapToGrid w:val="0"/>
        </w:rPr>
        <w:fldChar w:fldCharType="end"/>
      </w:r>
      <w:r w:rsidR="00F12B10" w:rsidRPr="00935CE1">
        <w:rPr>
          <w:rFonts w:asciiTheme="minorHAnsi" w:hAnsiTheme="minorHAnsi"/>
          <w:iCs/>
          <w:snapToGrid w:val="0"/>
        </w:rPr>
        <w:t xml:space="preserve">, panels E and F). </w:t>
      </w:r>
      <w:r w:rsidR="002A0BBB" w:rsidRPr="00935CE1">
        <w:rPr>
          <w:rFonts w:asciiTheme="minorHAnsi" w:hAnsiTheme="minorHAnsi"/>
          <w:iCs/>
          <w:snapToGrid w:val="0"/>
        </w:rPr>
        <w:t xml:space="preserve">The </w:t>
      </w:r>
      <w:r w:rsidR="000C1405" w:rsidRPr="000C1405">
        <w:rPr>
          <w:rFonts w:asciiTheme="minorHAnsi" w:hAnsiTheme="minorHAnsi"/>
          <w:iCs/>
          <w:snapToGrid w:val="0"/>
        </w:rPr>
        <w:t xml:space="preserve">incremental cost effectiveness ratio </w:t>
      </w:r>
      <w:r w:rsidR="000C1405">
        <w:rPr>
          <w:rFonts w:asciiTheme="minorHAnsi" w:hAnsiTheme="minorHAnsi"/>
          <w:iCs/>
          <w:snapToGrid w:val="0"/>
        </w:rPr>
        <w:t>(</w:t>
      </w:r>
      <w:r w:rsidR="002A0BBB" w:rsidRPr="00935CE1">
        <w:rPr>
          <w:rFonts w:asciiTheme="minorHAnsi" w:hAnsiTheme="minorHAnsi"/>
          <w:iCs/>
          <w:snapToGrid w:val="0"/>
        </w:rPr>
        <w:t>ICER</w:t>
      </w:r>
      <w:r w:rsidR="000C1405">
        <w:rPr>
          <w:rFonts w:asciiTheme="minorHAnsi" w:hAnsiTheme="minorHAnsi"/>
          <w:iCs/>
          <w:snapToGrid w:val="0"/>
        </w:rPr>
        <w:t>)</w:t>
      </w:r>
      <w:r w:rsidR="002A0BBB" w:rsidRPr="00935CE1">
        <w:rPr>
          <w:rFonts w:asciiTheme="minorHAnsi" w:hAnsiTheme="minorHAnsi"/>
          <w:iCs/>
          <w:snapToGrid w:val="0"/>
        </w:rPr>
        <w:t xml:space="preserve"> was sensitive to the assumed truncation point</w:t>
      </w:r>
      <w:r w:rsidR="00F00EFC" w:rsidRPr="00935CE1">
        <w:rPr>
          <w:rFonts w:asciiTheme="minorHAnsi" w:hAnsiTheme="minorHAnsi"/>
          <w:iCs/>
          <w:snapToGrid w:val="0"/>
        </w:rPr>
        <w:t>s</w:t>
      </w:r>
      <w:r w:rsidR="00E03455" w:rsidRPr="00935CE1">
        <w:rPr>
          <w:rFonts w:asciiTheme="minorHAnsi" w:hAnsiTheme="minorHAnsi"/>
          <w:iCs/>
          <w:snapToGrid w:val="0"/>
        </w:rPr>
        <w:t xml:space="preserve"> </w:t>
      </w:r>
      <w:r w:rsidR="00F12B10" w:rsidRPr="00935CE1">
        <w:rPr>
          <w:rFonts w:asciiTheme="minorHAnsi" w:hAnsiTheme="minorHAnsi"/>
          <w:iCs/>
          <w:snapToGrid w:val="0"/>
        </w:rPr>
        <w:t>(</w:t>
      </w:r>
      <w:r w:rsidR="005455FA" w:rsidRPr="00935CE1">
        <w:rPr>
          <w:rFonts w:asciiTheme="minorHAnsi" w:hAnsiTheme="minorHAnsi"/>
          <w:iCs/>
          <w:snapToGrid w:val="0"/>
        </w:rPr>
        <w:t xml:space="preserve">see </w:t>
      </w:r>
      <w:r w:rsidR="005455FA" w:rsidRPr="00935CE1">
        <w:rPr>
          <w:rFonts w:asciiTheme="minorHAnsi" w:hAnsiTheme="minorHAnsi"/>
          <w:iCs/>
          <w:snapToGrid w:val="0"/>
        </w:rPr>
        <w:fldChar w:fldCharType="begin" w:fldLock="1"/>
      </w:r>
      <w:r w:rsidR="005455FA" w:rsidRPr="00935CE1">
        <w:rPr>
          <w:rFonts w:asciiTheme="minorHAnsi" w:hAnsiTheme="minorHAnsi"/>
          <w:iCs/>
          <w:snapToGrid w:val="0"/>
        </w:rPr>
        <w:instrText xml:space="preserve"> REF _Ref111485636 \h  \* MERGEFORMAT </w:instrText>
      </w:r>
      <w:r w:rsidR="005455FA" w:rsidRPr="00935CE1">
        <w:rPr>
          <w:rFonts w:asciiTheme="minorHAnsi" w:hAnsiTheme="minorHAnsi"/>
          <w:iCs/>
          <w:snapToGrid w:val="0"/>
        </w:rPr>
      </w:r>
      <w:r w:rsidR="005455FA" w:rsidRPr="00935CE1">
        <w:rPr>
          <w:rFonts w:asciiTheme="minorHAnsi" w:hAnsiTheme="minorHAnsi"/>
          <w:iCs/>
          <w:snapToGrid w:val="0"/>
        </w:rPr>
        <w:fldChar w:fldCharType="separate"/>
      </w:r>
      <w:r w:rsidR="003C21E7" w:rsidRPr="003C21E7">
        <w:rPr>
          <w:rFonts w:asciiTheme="minorHAnsi" w:hAnsiTheme="minorHAnsi"/>
          <w:iCs/>
          <w:snapToGrid w:val="0"/>
        </w:rPr>
        <w:t>Table 13</w:t>
      </w:r>
      <w:r w:rsidR="005455FA" w:rsidRPr="00935CE1">
        <w:rPr>
          <w:rFonts w:asciiTheme="minorHAnsi" w:hAnsiTheme="minorHAnsi"/>
          <w:iCs/>
          <w:snapToGrid w:val="0"/>
        </w:rPr>
        <w:fldChar w:fldCharType="end"/>
      </w:r>
      <w:r w:rsidR="00F12B10" w:rsidRPr="00935CE1">
        <w:rPr>
          <w:rFonts w:asciiTheme="minorHAnsi" w:hAnsiTheme="minorHAnsi"/>
          <w:iCs/>
          <w:snapToGrid w:val="0"/>
        </w:rPr>
        <w:t>)</w:t>
      </w:r>
      <w:r w:rsidR="002A0BBB" w:rsidRPr="00935CE1">
        <w:rPr>
          <w:rFonts w:asciiTheme="minorHAnsi" w:hAnsiTheme="minorHAnsi"/>
          <w:iCs/>
          <w:snapToGrid w:val="0"/>
        </w:rPr>
        <w:t>.</w:t>
      </w:r>
      <w:r w:rsidR="00E16242" w:rsidRPr="00935CE1">
        <w:rPr>
          <w:rFonts w:asciiTheme="minorHAnsi" w:hAnsiTheme="minorHAnsi"/>
          <w:iCs/>
          <w:snapToGrid w:val="0"/>
        </w:rPr>
        <w:t xml:space="preserve"> </w:t>
      </w:r>
      <w:r w:rsidR="00C6372C" w:rsidRPr="00935CE1">
        <w:rPr>
          <w:rFonts w:asciiTheme="minorHAnsi" w:hAnsiTheme="minorHAnsi"/>
          <w:iCs/>
          <w:snapToGrid w:val="0"/>
        </w:rPr>
        <w:t xml:space="preserve">The PSCR presented OS and PFS truncation time points calculated using the minimum n satisfying ‘Criterion 2’ from </w:t>
      </w:r>
      <w:proofErr w:type="spellStart"/>
      <w:r w:rsidR="00C6372C" w:rsidRPr="00935CE1">
        <w:rPr>
          <w:rFonts w:asciiTheme="minorHAnsi" w:hAnsiTheme="minorHAnsi"/>
          <w:iCs/>
          <w:snapToGrid w:val="0"/>
        </w:rPr>
        <w:t>Gebski</w:t>
      </w:r>
      <w:proofErr w:type="spellEnd"/>
      <w:r w:rsidR="00C6372C" w:rsidRPr="00935CE1">
        <w:rPr>
          <w:rFonts w:asciiTheme="minorHAnsi" w:hAnsiTheme="minorHAnsi"/>
          <w:iCs/>
          <w:snapToGrid w:val="0"/>
        </w:rPr>
        <w:t xml:space="preserve"> (2018) and the cut-off point of 10% of patients remaining at risk with the Pocock (2002) methodology. </w:t>
      </w:r>
      <w:r w:rsidR="00595018" w:rsidRPr="00935CE1">
        <w:rPr>
          <w:rFonts w:asciiTheme="minorHAnsi" w:hAnsiTheme="minorHAnsi"/>
          <w:iCs/>
          <w:snapToGrid w:val="0"/>
        </w:rPr>
        <w:t xml:space="preserve">On review of the </w:t>
      </w:r>
      <w:r w:rsidR="008009A7" w:rsidRPr="00935CE1">
        <w:rPr>
          <w:rFonts w:asciiTheme="minorHAnsi" w:hAnsiTheme="minorHAnsi"/>
          <w:iCs/>
          <w:snapToGrid w:val="0"/>
        </w:rPr>
        <w:t xml:space="preserve">modelled survival functions using </w:t>
      </w:r>
      <w:r w:rsidR="00060960" w:rsidRPr="00935CE1">
        <w:rPr>
          <w:rFonts w:asciiTheme="minorHAnsi" w:hAnsiTheme="minorHAnsi"/>
          <w:iCs/>
          <w:snapToGrid w:val="0"/>
        </w:rPr>
        <w:t xml:space="preserve">these two approaches to determining the </w:t>
      </w:r>
      <w:r w:rsidR="00605BD6" w:rsidRPr="00935CE1">
        <w:rPr>
          <w:rFonts w:asciiTheme="minorHAnsi" w:hAnsiTheme="minorHAnsi"/>
          <w:iCs/>
          <w:snapToGrid w:val="0"/>
        </w:rPr>
        <w:t xml:space="preserve">OS and PFS truncation time points </w:t>
      </w:r>
      <w:r w:rsidR="001224DD" w:rsidRPr="00935CE1">
        <w:rPr>
          <w:rFonts w:asciiTheme="minorHAnsi" w:hAnsiTheme="minorHAnsi"/>
          <w:iCs/>
          <w:snapToGrid w:val="0"/>
        </w:rPr>
        <w:t>(</w:t>
      </w:r>
      <w:r w:rsidR="005C27BD" w:rsidRPr="00935CE1">
        <w:rPr>
          <w:rFonts w:asciiTheme="minorHAnsi" w:hAnsiTheme="minorHAnsi"/>
          <w:iCs/>
          <w:snapToGrid w:val="0"/>
        </w:rPr>
        <w:t>Figures</w:t>
      </w:r>
      <w:r w:rsidR="001224DD" w:rsidRPr="00935CE1">
        <w:rPr>
          <w:rFonts w:asciiTheme="minorHAnsi" w:hAnsiTheme="minorHAnsi"/>
          <w:iCs/>
          <w:snapToGrid w:val="0"/>
        </w:rPr>
        <w:t xml:space="preserve"> not presented) </w:t>
      </w:r>
      <w:r w:rsidR="00605BD6" w:rsidRPr="00935CE1">
        <w:rPr>
          <w:rFonts w:asciiTheme="minorHAnsi" w:hAnsiTheme="minorHAnsi"/>
          <w:iCs/>
          <w:snapToGrid w:val="0"/>
        </w:rPr>
        <w:t xml:space="preserve">the ESC considered the </w:t>
      </w:r>
      <w:r w:rsidR="002F23C9" w:rsidRPr="00935CE1">
        <w:rPr>
          <w:rFonts w:asciiTheme="minorHAnsi" w:hAnsiTheme="minorHAnsi"/>
          <w:iCs/>
          <w:snapToGrid w:val="0"/>
        </w:rPr>
        <w:t xml:space="preserve">application of the 10% rule using the Pocock (2002) methodology </w:t>
      </w:r>
      <w:r w:rsidR="00E304DC" w:rsidRPr="00935CE1">
        <w:rPr>
          <w:rFonts w:asciiTheme="minorHAnsi" w:hAnsiTheme="minorHAnsi"/>
          <w:iCs/>
          <w:snapToGrid w:val="0"/>
        </w:rPr>
        <w:t xml:space="preserve">produced </w:t>
      </w:r>
      <w:r w:rsidR="00BB2DB9" w:rsidRPr="00935CE1">
        <w:rPr>
          <w:rFonts w:asciiTheme="minorHAnsi" w:hAnsiTheme="minorHAnsi"/>
          <w:iCs/>
          <w:snapToGrid w:val="0"/>
        </w:rPr>
        <w:t xml:space="preserve">survival functions that were more clinically plausible than using the </w:t>
      </w:r>
      <w:proofErr w:type="spellStart"/>
      <w:r w:rsidR="00BB2DB9" w:rsidRPr="00935CE1">
        <w:rPr>
          <w:rFonts w:asciiTheme="minorHAnsi" w:hAnsiTheme="minorHAnsi"/>
          <w:iCs/>
          <w:snapToGrid w:val="0"/>
        </w:rPr>
        <w:t>Gebski</w:t>
      </w:r>
      <w:proofErr w:type="spellEnd"/>
      <w:r w:rsidR="00BB2DB9" w:rsidRPr="00935CE1">
        <w:rPr>
          <w:rFonts w:asciiTheme="minorHAnsi" w:hAnsiTheme="minorHAnsi"/>
          <w:iCs/>
          <w:snapToGrid w:val="0"/>
        </w:rPr>
        <w:t xml:space="preserve"> </w:t>
      </w:r>
      <w:r w:rsidR="00A879E5" w:rsidRPr="00935CE1">
        <w:rPr>
          <w:rFonts w:asciiTheme="minorHAnsi" w:hAnsiTheme="minorHAnsi"/>
          <w:iCs/>
          <w:snapToGrid w:val="0"/>
        </w:rPr>
        <w:t>‘Criterion 2’ methodology.</w:t>
      </w:r>
      <w:bookmarkEnd w:id="70"/>
    </w:p>
    <w:p w14:paraId="71BF548E" w14:textId="1ABEA125" w:rsidR="002A0BBB" w:rsidRPr="00935CE1" w:rsidRDefault="002A0BBB" w:rsidP="002A0BBB">
      <w:pPr>
        <w:pStyle w:val="Caption"/>
        <w:rPr>
          <w:iCs/>
        </w:rPr>
      </w:pPr>
      <w:bookmarkStart w:id="71" w:name="_Ref196298033"/>
      <w:r w:rsidRPr="00935CE1">
        <w:rPr>
          <w:iCs/>
        </w:rPr>
        <w:t xml:space="preserve">Figure </w:t>
      </w:r>
      <w:r w:rsidRPr="00935CE1">
        <w:rPr>
          <w:iCs/>
        </w:rPr>
        <w:fldChar w:fldCharType="begin" w:fldLock="1"/>
      </w:r>
      <w:r w:rsidRPr="00935CE1">
        <w:rPr>
          <w:iCs/>
        </w:rPr>
        <w:instrText xml:space="preserve"> SEQ Figure \* ARABIC </w:instrText>
      </w:r>
      <w:r w:rsidRPr="00935CE1">
        <w:rPr>
          <w:iCs/>
        </w:rPr>
        <w:fldChar w:fldCharType="separate"/>
      </w:r>
      <w:r w:rsidR="003C21E7">
        <w:rPr>
          <w:iCs/>
          <w:noProof/>
        </w:rPr>
        <w:t>4</w:t>
      </w:r>
      <w:r w:rsidRPr="00935CE1">
        <w:rPr>
          <w:iCs/>
        </w:rPr>
        <w:fldChar w:fldCharType="end"/>
      </w:r>
      <w:bookmarkEnd w:id="71"/>
      <w:r w:rsidRPr="00935CE1">
        <w:rPr>
          <w:iCs/>
        </w:rPr>
        <w:t xml:space="preserve">: Extrapolation of PFS </w:t>
      </w:r>
      <w:r w:rsidR="000C04CA" w:rsidRPr="00935CE1">
        <w:rPr>
          <w:iCs/>
        </w:rPr>
        <w:t xml:space="preserve">and OS </w:t>
      </w:r>
      <w:r w:rsidRPr="00935CE1">
        <w:rPr>
          <w:iCs/>
        </w:rPr>
        <w:t>for Glofit-GemOx and R-</w:t>
      </w:r>
      <w:proofErr w:type="spellStart"/>
      <w:r w:rsidRPr="00935CE1">
        <w:rPr>
          <w:iCs/>
        </w:rPr>
        <w:t>GemOx</w:t>
      </w:r>
      <w:proofErr w:type="spellEnd"/>
      <w:r w:rsidRPr="00935CE1">
        <w:rPr>
          <w:iCs/>
        </w:rPr>
        <w:t xml:space="preserve"> arms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15"/>
        <w:gridCol w:w="4512"/>
      </w:tblGrid>
      <w:tr w:rsidR="002A0BBB" w:rsidRPr="00935CE1" w14:paraId="473B2E99" w14:textId="77777777" w:rsidTr="00F12B10">
        <w:trPr>
          <w:trHeight w:val="20"/>
        </w:trPr>
        <w:tc>
          <w:tcPr>
            <w:tcW w:w="2501" w:type="pct"/>
          </w:tcPr>
          <w:p w14:paraId="541BCCFC" w14:textId="77777777" w:rsidR="002A0BBB" w:rsidRPr="00935CE1" w:rsidRDefault="002A0BBB" w:rsidP="00977721">
            <w:pPr>
              <w:pStyle w:val="In-tableHeading"/>
              <w:rPr>
                <w:iCs/>
                <w:lang w:val="en-AU"/>
              </w:rPr>
            </w:pPr>
            <w:r w:rsidRPr="00935CE1">
              <w:rPr>
                <w:iCs/>
                <w:lang w:val="en-AU"/>
              </w:rPr>
              <w:t>PFS</w:t>
            </w:r>
          </w:p>
        </w:tc>
        <w:tc>
          <w:tcPr>
            <w:tcW w:w="2499" w:type="pct"/>
          </w:tcPr>
          <w:p w14:paraId="4993D40F" w14:textId="77777777" w:rsidR="002A0BBB" w:rsidRPr="00935CE1" w:rsidRDefault="002A0BBB" w:rsidP="00977721">
            <w:pPr>
              <w:pStyle w:val="In-tableHeading"/>
              <w:rPr>
                <w:iCs/>
                <w:lang w:val="en-AU"/>
              </w:rPr>
            </w:pPr>
            <w:r w:rsidRPr="00935CE1">
              <w:rPr>
                <w:iCs/>
                <w:lang w:val="en-AU"/>
              </w:rPr>
              <w:t>OS</w:t>
            </w:r>
          </w:p>
        </w:tc>
      </w:tr>
      <w:tr w:rsidR="002A0BBB" w:rsidRPr="00935CE1" w14:paraId="7F10FCE2" w14:textId="77777777" w:rsidTr="00F12B10">
        <w:trPr>
          <w:trHeight w:val="20"/>
        </w:trPr>
        <w:tc>
          <w:tcPr>
            <w:tcW w:w="2501" w:type="pct"/>
          </w:tcPr>
          <w:p w14:paraId="447773AE" w14:textId="74FEA37C" w:rsidR="002A0BBB" w:rsidRPr="00935CE1" w:rsidRDefault="002A0BBB" w:rsidP="00977721">
            <w:pPr>
              <w:pStyle w:val="In-tableHeading"/>
              <w:rPr>
                <w:iCs/>
                <w:lang w:val="en-AU"/>
              </w:rPr>
            </w:pPr>
            <w:r w:rsidRPr="00935CE1">
              <w:rPr>
                <w:iCs/>
                <w:lang w:val="en-AU"/>
              </w:rPr>
              <w:t xml:space="preserve">[A] Base case: Using maximum of shortest </w:t>
            </w:r>
            <w:r w:rsidR="000C04CA" w:rsidRPr="00935CE1">
              <w:rPr>
                <w:iCs/>
                <w:lang w:val="en-AU"/>
              </w:rPr>
              <w:t>PFS KM</w:t>
            </w:r>
            <w:r w:rsidRPr="00935CE1">
              <w:rPr>
                <w:iCs/>
                <w:lang w:val="en-AU"/>
              </w:rPr>
              <w:t xml:space="preserve"> curves (27.2 months) as </w:t>
            </w:r>
            <w:r w:rsidRPr="00935CE1">
              <w:rPr>
                <w:iCs/>
              </w:rPr>
              <w:t>truncation point</w:t>
            </w:r>
          </w:p>
        </w:tc>
        <w:tc>
          <w:tcPr>
            <w:tcW w:w="2499" w:type="pct"/>
          </w:tcPr>
          <w:p w14:paraId="359DBAB8" w14:textId="19525BC8" w:rsidR="002A0BBB" w:rsidRPr="00935CE1" w:rsidRDefault="002A0BBB" w:rsidP="00977721">
            <w:pPr>
              <w:pStyle w:val="In-tableHeading"/>
              <w:rPr>
                <w:iCs/>
                <w:lang w:val="en-AU"/>
              </w:rPr>
            </w:pPr>
            <w:r w:rsidRPr="00935CE1">
              <w:rPr>
                <w:iCs/>
                <w:lang w:val="en-AU"/>
              </w:rPr>
              <w:t xml:space="preserve">[B] Base case: Using Max of shortest </w:t>
            </w:r>
            <w:r w:rsidR="000C04CA" w:rsidRPr="00935CE1">
              <w:rPr>
                <w:iCs/>
                <w:lang w:val="en-AU"/>
              </w:rPr>
              <w:t xml:space="preserve">OS </w:t>
            </w:r>
            <w:r w:rsidRPr="00935CE1">
              <w:rPr>
                <w:iCs/>
                <w:lang w:val="en-AU"/>
              </w:rPr>
              <w:t>KM curves (34.3 months) as truncation point</w:t>
            </w:r>
          </w:p>
        </w:tc>
      </w:tr>
      <w:tr w:rsidR="002A0BBB" w:rsidRPr="00935CE1" w14:paraId="679627E4" w14:textId="77777777" w:rsidTr="00F12B10">
        <w:trPr>
          <w:trHeight w:val="20"/>
        </w:trPr>
        <w:tc>
          <w:tcPr>
            <w:tcW w:w="2500" w:type="pct"/>
          </w:tcPr>
          <w:p w14:paraId="49C2545A" w14:textId="77777777" w:rsidR="002A0BBB" w:rsidRPr="00935CE1" w:rsidRDefault="002A0BBB" w:rsidP="00977721">
            <w:pPr>
              <w:pStyle w:val="In-tableHeading"/>
              <w:rPr>
                <w:iCs/>
                <w:lang w:val="en-AU"/>
              </w:rPr>
            </w:pPr>
            <w:r w:rsidRPr="00935CE1">
              <w:rPr>
                <w:iCs/>
                <w:noProof/>
                <w:lang w:val="en-AU"/>
              </w:rPr>
              <w:drawing>
                <wp:inline distT="0" distB="0" distL="0" distR="0" wp14:anchorId="406B0027" wp14:editId="5EAA5E9D">
                  <wp:extent cx="2956055" cy="1685925"/>
                  <wp:effectExtent l="0" t="0" r="0" b="0"/>
                  <wp:docPr id="52" name="Picture 52" descr="Figure 4: Extrapolation of PFS and OS for Glofit-GemOx and R-GemOx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4: Extrapolation of PFS and OS for Glofit-GemOx and R-GemOx arm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5372" cy="1736865"/>
                          </a:xfrm>
                          <a:prstGeom prst="rect">
                            <a:avLst/>
                          </a:prstGeom>
                          <a:noFill/>
                        </pic:spPr>
                      </pic:pic>
                    </a:graphicData>
                  </a:graphic>
                </wp:inline>
              </w:drawing>
            </w:r>
          </w:p>
        </w:tc>
        <w:tc>
          <w:tcPr>
            <w:tcW w:w="2500" w:type="pct"/>
          </w:tcPr>
          <w:p w14:paraId="3F2ACA0D" w14:textId="77777777" w:rsidR="002A0BBB" w:rsidRPr="00935CE1" w:rsidRDefault="002A0BBB" w:rsidP="00977721">
            <w:pPr>
              <w:pStyle w:val="In-tableHeading"/>
              <w:rPr>
                <w:iCs/>
                <w:lang w:val="en-AU"/>
              </w:rPr>
            </w:pPr>
            <w:r w:rsidRPr="00935CE1">
              <w:rPr>
                <w:iCs/>
                <w:noProof/>
                <w:lang w:val="en-AU"/>
              </w:rPr>
              <w:drawing>
                <wp:inline distT="0" distB="0" distL="0" distR="0" wp14:anchorId="4A5DC75D" wp14:editId="0336C20F">
                  <wp:extent cx="2943321" cy="1771650"/>
                  <wp:effectExtent l="0" t="0" r="9525" b="0"/>
                  <wp:docPr id="55" name="Picture 55" descr="Figure 4: Extrapolation of PFS and OS for Glofit-GemOx and R-GemOx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gure 4: Extrapolation of PFS and OS for Glofit-GemOx and R-GemOx arm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65028" cy="1784716"/>
                          </a:xfrm>
                          <a:prstGeom prst="rect">
                            <a:avLst/>
                          </a:prstGeom>
                          <a:noFill/>
                        </pic:spPr>
                      </pic:pic>
                    </a:graphicData>
                  </a:graphic>
                </wp:inline>
              </w:drawing>
            </w:r>
          </w:p>
        </w:tc>
      </w:tr>
      <w:tr w:rsidR="002A0BBB" w:rsidRPr="00935CE1" w14:paraId="2BA4C25E" w14:textId="77777777" w:rsidTr="00F12B10">
        <w:trPr>
          <w:trHeight w:val="20"/>
        </w:trPr>
        <w:tc>
          <w:tcPr>
            <w:tcW w:w="2501" w:type="pct"/>
          </w:tcPr>
          <w:p w14:paraId="06854780" w14:textId="1530F541" w:rsidR="002A0BBB" w:rsidRPr="00935CE1" w:rsidDel="00BD7CCB" w:rsidRDefault="002A0BBB" w:rsidP="00977721">
            <w:pPr>
              <w:pStyle w:val="In-tableHeading"/>
              <w:rPr>
                <w:iCs/>
                <w:noProof/>
                <w:lang w:val="en-AU"/>
              </w:rPr>
            </w:pPr>
            <w:r w:rsidRPr="00935CE1">
              <w:rPr>
                <w:iCs/>
                <w:lang w:val="en-AU"/>
              </w:rPr>
              <w:t xml:space="preserve">[C] Sensitivity analysis: Using overall mean follow-up of 15.7 months as </w:t>
            </w:r>
            <w:r w:rsidRPr="00935CE1">
              <w:rPr>
                <w:iCs/>
              </w:rPr>
              <w:t>truncation point</w:t>
            </w:r>
            <w:r w:rsidRPr="00935CE1">
              <w:rPr>
                <w:iCs/>
                <w:lang w:val="en-AU"/>
              </w:rPr>
              <w:t xml:space="preserve"> (ICER increases by </w:t>
            </w:r>
            <w:r w:rsidR="00BD6E95" w:rsidRPr="00BD6E95">
              <w:rPr>
                <w:iCs/>
                <w:color w:val="000000"/>
                <w:spacing w:val="56"/>
                <w:shd w:val="solid" w:color="000000" w:fill="000000"/>
                <w:fitText w:val="354" w:id="-632054013"/>
                <w:lang w:val="en-AU"/>
                <w14:textFill>
                  <w14:solidFill>
                    <w14:srgbClr w14:val="000000">
                      <w14:alpha w14:val="100000"/>
                    </w14:srgbClr>
                  </w14:solidFill>
                </w14:textFill>
              </w:rPr>
              <w:t>|||</w:t>
            </w:r>
            <w:r w:rsidR="00BD6E95" w:rsidRPr="00BD6E95">
              <w:rPr>
                <w:iCs/>
                <w:color w:val="000000"/>
                <w:spacing w:val="3"/>
                <w:shd w:val="solid" w:color="000000" w:fill="000000"/>
                <w:fitText w:val="354" w:id="-632054013"/>
                <w:lang w:val="en-AU"/>
                <w14:textFill>
                  <w14:solidFill>
                    <w14:srgbClr w14:val="000000">
                      <w14:alpha w14:val="100000"/>
                    </w14:srgbClr>
                  </w14:solidFill>
                </w14:textFill>
              </w:rPr>
              <w:t>|</w:t>
            </w:r>
            <w:r w:rsidRPr="00935CE1">
              <w:rPr>
                <w:iCs/>
                <w:lang w:val="en-AU"/>
              </w:rPr>
              <w:t>%)</w:t>
            </w:r>
          </w:p>
        </w:tc>
        <w:tc>
          <w:tcPr>
            <w:tcW w:w="2499" w:type="pct"/>
          </w:tcPr>
          <w:p w14:paraId="42149BAB" w14:textId="01AB08E2" w:rsidR="002A0BBB" w:rsidRPr="00935CE1" w:rsidDel="00BD7CCB" w:rsidRDefault="002A0BBB" w:rsidP="00977721">
            <w:pPr>
              <w:pStyle w:val="In-tableHeading"/>
              <w:rPr>
                <w:iCs/>
                <w:noProof/>
                <w:lang w:val="en-AU"/>
              </w:rPr>
            </w:pPr>
            <w:r w:rsidRPr="00935CE1">
              <w:rPr>
                <w:iCs/>
                <w:noProof/>
                <w:lang w:val="en-AU"/>
              </w:rPr>
              <w:t xml:space="preserve">[D] Sensitivity analysis: Using mean follow-up of 20.7 months as truncation point (ICER increases by </w:t>
            </w:r>
            <w:r w:rsidR="00BD6E95" w:rsidRPr="00BD6E95">
              <w:rPr>
                <w:iCs/>
                <w:noProof/>
                <w:color w:val="000000"/>
                <w:spacing w:val="56"/>
                <w:shd w:val="solid" w:color="000000" w:fill="000000"/>
                <w:fitText w:val="354" w:id="-632054012"/>
                <w:lang w:val="en-AU"/>
                <w14:textFill>
                  <w14:solidFill>
                    <w14:srgbClr w14:val="000000">
                      <w14:alpha w14:val="100000"/>
                    </w14:srgbClr>
                  </w14:solidFill>
                </w14:textFill>
              </w:rPr>
              <w:t>|||</w:t>
            </w:r>
            <w:r w:rsidR="00BD6E95" w:rsidRPr="00BD6E95">
              <w:rPr>
                <w:iCs/>
                <w:noProof/>
                <w:color w:val="000000"/>
                <w:spacing w:val="3"/>
                <w:shd w:val="solid" w:color="000000" w:fill="000000"/>
                <w:fitText w:val="354" w:id="-632054012"/>
                <w:lang w:val="en-AU"/>
                <w14:textFill>
                  <w14:solidFill>
                    <w14:srgbClr w14:val="000000">
                      <w14:alpha w14:val="100000"/>
                    </w14:srgbClr>
                  </w14:solidFill>
                </w14:textFill>
              </w:rPr>
              <w:t>|</w:t>
            </w:r>
            <w:r w:rsidRPr="00935CE1">
              <w:rPr>
                <w:iCs/>
                <w:noProof/>
                <w:lang w:val="en-AU"/>
              </w:rPr>
              <w:t>%)</w:t>
            </w:r>
          </w:p>
        </w:tc>
      </w:tr>
      <w:tr w:rsidR="002A0BBB" w:rsidRPr="00935CE1" w14:paraId="75EBC68F" w14:textId="77777777" w:rsidTr="00F12B10">
        <w:trPr>
          <w:trHeight w:val="20"/>
        </w:trPr>
        <w:tc>
          <w:tcPr>
            <w:tcW w:w="2501" w:type="pct"/>
          </w:tcPr>
          <w:p w14:paraId="6AC1626B" w14:textId="77777777" w:rsidR="002A0BBB" w:rsidRPr="00935CE1" w:rsidDel="00BD7CCB" w:rsidRDefault="002A0BBB" w:rsidP="00977721">
            <w:pPr>
              <w:pStyle w:val="In-tableHeading"/>
              <w:tabs>
                <w:tab w:val="left" w:pos="1190"/>
              </w:tabs>
              <w:rPr>
                <w:iCs/>
                <w:noProof/>
                <w:lang w:val="en-AU"/>
              </w:rPr>
            </w:pPr>
            <w:r w:rsidRPr="00935CE1">
              <w:rPr>
                <w:iCs/>
                <w:noProof/>
                <w:lang w:val="en-AU"/>
              </w:rPr>
              <w:drawing>
                <wp:inline distT="0" distB="0" distL="0" distR="0" wp14:anchorId="06FFC744" wp14:editId="0C0629EF">
                  <wp:extent cx="2988872" cy="1935480"/>
                  <wp:effectExtent l="0" t="0" r="2540" b="7620"/>
                  <wp:docPr id="53" name="Picture 53" descr="Figure 4: Extrapolation of PFS and OS for Glofit-GemOx and R-GemOx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4: Extrapolation of PFS and OS for Glofit-GemOx and R-GemOx arm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7283" cy="1947403"/>
                          </a:xfrm>
                          <a:prstGeom prst="rect">
                            <a:avLst/>
                          </a:prstGeom>
                          <a:noFill/>
                        </pic:spPr>
                      </pic:pic>
                    </a:graphicData>
                  </a:graphic>
                </wp:inline>
              </w:drawing>
            </w:r>
          </w:p>
        </w:tc>
        <w:tc>
          <w:tcPr>
            <w:tcW w:w="2499" w:type="pct"/>
          </w:tcPr>
          <w:p w14:paraId="17E98DA6" w14:textId="77777777" w:rsidR="002A0BBB" w:rsidRPr="00935CE1" w:rsidDel="00BD7CCB" w:rsidRDefault="002A0BBB" w:rsidP="00977721">
            <w:pPr>
              <w:pStyle w:val="In-tableHeading"/>
              <w:rPr>
                <w:iCs/>
                <w:noProof/>
                <w:lang w:val="en-AU"/>
              </w:rPr>
            </w:pPr>
            <w:r w:rsidRPr="00935CE1">
              <w:rPr>
                <w:iCs/>
                <w:noProof/>
                <w:lang w:val="en-AU"/>
              </w:rPr>
              <w:drawing>
                <wp:inline distT="0" distB="0" distL="0" distR="0" wp14:anchorId="2565501C" wp14:editId="3D8C0C5C">
                  <wp:extent cx="2996382" cy="2040963"/>
                  <wp:effectExtent l="0" t="0" r="0" b="0"/>
                  <wp:docPr id="56" name="Picture 56" descr="Figure 4: Extrapolation of PFS and OS for Glofit-GemOx and R-GemOx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Figure 4: Extrapolation of PFS and OS for Glofit-GemOx and R-GemOx arm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12463" cy="2051917"/>
                          </a:xfrm>
                          <a:prstGeom prst="rect">
                            <a:avLst/>
                          </a:prstGeom>
                          <a:noFill/>
                        </pic:spPr>
                      </pic:pic>
                    </a:graphicData>
                  </a:graphic>
                </wp:inline>
              </w:drawing>
            </w:r>
          </w:p>
        </w:tc>
      </w:tr>
      <w:tr w:rsidR="002A0BBB" w:rsidRPr="00935CE1" w14:paraId="72E15A9F" w14:textId="77777777" w:rsidTr="00F12B10">
        <w:trPr>
          <w:trHeight w:val="20"/>
        </w:trPr>
        <w:tc>
          <w:tcPr>
            <w:tcW w:w="2501" w:type="pct"/>
          </w:tcPr>
          <w:p w14:paraId="712D510F" w14:textId="4B15D259" w:rsidR="002A0BBB" w:rsidRPr="00935CE1" w:rsidRDefault="002A0BBB" w:rsidP="00977721">
            <w:pPr>
              <w:pStyle w:val="In-tableHeading"/>
              <w:tabs>
                <w:tab w:val="left" w:pos="1190"/>
              </w:tabs>
              <w:rPr>
                <w:iCs/>
                <w:noProof/>
                <w:lang w:val="en-AU"/>
              </w:rPr>
            </w:pPr>
            <w:r w:rsidRPr="00935CE1">
              <w:rPr>
                <w:iCs/>
                <w:lang w:val="en-AU"/>
              </w:rPr>
              <w:t>[E] Sensitivity analysis: Using treatment-specific mean follow-up of 16.3 months for Glofit-GemOx and 8.6 months for R-</w:t>
            </w:r>
            <w:proofErr w:type="spellStart"/>
            <w:r w:rsidRPr="00935CE1">
              <w:rPr>
                <w:iCs/>
                <w:lang w:val="en-AU"/>
              </w:rPr>
              <w:t>GemOx</w:t>
            </w:r>
            <w:proofErr w:type="spellEnd"/>
            <w:r w:rsidRPr="00935CE1">
              <w:rPr>
                <w:iCs/>
                <w:lang w:val="en-AU"/>
              </w:rPr>
              <w:t xml:space="preserve"> (ICER increases by </w:t>
            </w:r>
            <w:r w:rsidR="00BD6E95" w:rsidRPr="00BD6E95">
              <w:rPr>
                <w:iCs/>
                <w:color w:val="000000"/>
                <w:spacing w:val="56"/>
                <w:shd w:val="solid" w:color="000000" w:fill="000000"/>
                <w:fitText w:val="354" w:id="-632054011"/>
                <w:lang w:val="en-AU"/>
                <w14:textFill>
                  <w14:solidFill>
                    <w14:srgbClr w14:val="000000">
                      <w14:alpha w14:val="100000"/>
                    </w14:srgbClr>
                  </w14:solidFill>
                </w14:textFill>
              </w:rPr>
              <w:t>|||</w:t>
            </w:r>
            <w:r w:rsidR="00BD6E95" w:rsidRPr="00BD6E95">
              <w:rPr>
                <w:iCs/>
                <w:color w:val="000000"/>
                <w:spacing w:val="3"/>
                <w:shd w:val="solid" w:color="000000" w:fill="000000"/>
                <w:fitText w:val="354" w:id="-632054011"/>
                <w:lang w:val="en-AU"/>
                <w14:textFill>
                  <w14:solidFill>
                    <w14:srgbClr w14:val="000000">
                      <w14:alpha w14:val="100000"/>
                    </w14:srgbClr>
                  </w14:solidFill>
                </w14:textFill>
              </w:rPr>
              <w:t>|</w:t>
            </w:r>
            <w:r w:rsidRPr="00935CE1">
              <w:rPr>
                <w:iCs/>
                <w:lang w:val="en-AU"/>
              </w:rPr>
              <w:t>%)</w:t>
            </w:r>
          </w:p>
        </w:tc>
        <w:tc>
          <w:tcPr>
            <w:tcW w:w="2499" w:type="pct"/>
          </w:tcPr>
          <w:p w14:paraId="728BA90D" w14:textId="172EDC8B" w:rsidR="002A0BBB" w:rsidRPr="00935CE1" w:rsidRDefault="002A0BBB" w:rsidP="00977721">
            <w:pPr>
              <w:pStyle w:val="In-tableHeading"/>
              <w:rPr>
                <w:iCs/>
                <w:noProof/>
                <w:lang w:val="en-AU"/>
              </w:rPr>
            </w:pPr>
            <w:r w:rsidRPr="00935CE1">
              <w:rPr>
                <w:iCs/>
                <w:noProof/>
                <w:lang w:val="en-AU"/>
              </w:rPr>
              <w:t xml:space="preserve">[F] Sensitivity analysis: Using treatment-specific mean follow-up of 22.5 months for Glofit-GemOx and 19.7 months for R-GemOx (ICER increases by </w:t>
            </w:r>
            <w:r w:rsidR="00BD6E95">
              <w:rPr>
                <w:iCs/>
                <w:noProof/>
                <w:color w:val="000000"/>
                <w:spacing w:val="56"/>
                <w:shd w:val="solid" w:color="000000" w:fill="000000"/>
                <w:fitText w:val="354" w:id="-632054010"/>
                <w:lang w:val="en-AU"/>
                <w14:textFill>
                  <w14:solidFill>
                    <w14:srgbClr w14:val="000000">
                      <w14:alpha w14:val="100000"/>
                    </w14:srgbClr>
                  </w14:solidFill>
                </w14:textFill>
              </w:rPr>
              <w:t>|||</w:t>
            </w:r>
            <w:r w:rsidR="00BD6E95">
              <w:rPr>
                <w:iCs/>
                <w:noProof/>
                <w:color w:val="000000"/>
                <w:spacing w:val="2"/>
                <w:shd w:val="solid" w:color="000000" w:fill="000000"/>
                <w:fitText w:val="354" w:id="-632054010"/>
                <w:lang w:val="en-AU"/>
                <w14:textFill>
                  <w14:solidFill>
                    <w14:srgbClr w14:val="000000">
                      <w14:alpha w14:val="100000"/>
                    </w14:srgbClr>
                  </w14:solidFill>
                </w14:textFill>
              </w:rPr>
              <w:t>|</w:t>
            </w:r>
            <w:r w:rsidRPr="00935CE1">
              <w:rPr>
                <w:iCs/>
                <w:noProof/>
                <w:lang w:val="en-AU"/>
              </w:rPr>
              <w:t>%)</w:t>
            </w:r>
          </w:p>
        </w:tc>
      </w:tr>
      <w:tr w:rsidR="002A0BBB" w:rsidRPr="00935CE1" w14:paraId="1AA0AC4B" w14:textId="77777777" w:rsidTr="00F12B10">
        <w:trPr>
          <w:trHeight w:val="20"/>
        </w:trPr>
        <w:tc>
          <w:tcPr>
            <w:tcW w:w="2501" w:type="pct"/>
          </w:tcPr>
          <w:p w14:paraId="4A5E6C30" w14:textId="77777777" w:rsidR="002A0BBB" w:rsidRPr="00935CE1" w:rsidRDefault="002A0BBB" w:rsidP="00977721">
            <w:pPr>
              <w:pStyle w:val="In-tableHeading"/>
              <w:tabs>
                <w:tab w:val="left" w:pos="1190"/>
              </w:tabs>
              <w:rPr>
                <w:iCs/>
                <w:noProof/>
                <w:lang w:val="en-AU"/>
              </w:rPr>
            </w:pPr>
            <w:r w:rsidRPr="00935CE1">
              <w:rPr>
                <w:iCs/>
                <w:noProof/>
                <w:lang w:val="en-AU"/>
              </w:rPr>
              <w:drawing>
                <wp:inline distT="0" distB="0" distL="0" distR="0" wp14:anchorId="4E2FCCF4" wp14:editId="3D1951A9">
                  <wp:extent cx="2939561" cy="1935480"/>
                  <wp:effectExtent l="0" t="0" r="0" b="7620"/>
                  <wp:docPr id="54" name="Picture 54" descr="Figure 4: Extrapolation of PFS and OS for Glofit-GemOx and R-GemOx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4: Extrapolation of PFS and OS for Glofit-GemOx and R-GemOx arm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79277" cy="1961630"/>
                          </a:xfrm>
                          <a:prstGeom prst="rect">
                            <a:avLst/>
                          </a:prstGeom>
                          <a:noFill/>
                        </pic:spPr>
                      </pic:pic>
                    </a:graphicData>
                  </a:graphic>
                </wp:inline>
              </w:drawing>
            </w:r>
          </w:p>
        </w:tc>
        <w:tc>
          <w:tcPr>
            <w:tcW w:w="2499" w:type="pct"/>
          </w:tcPr>
          <w:p w14:paraId="236952F8" w14:textId="77777777" w:rsidR="002A0BBB" w:rsidRPr="00935CE1" w:rsidRDefault="002A0BBB" w:rsidP="00977721">
            <w:pPr>
              <w:pStyle w:val="In-tableHeading"/>
              <w:rPr>
                <w:iCs/>
                <w:noProof/>
                <w:lang w:val="en-AU"/>
              </w:rPr>
            </w:pPr>
            <w:r w:rsidRPr="00935CE1">
              <w:rPr>
                <w:iCs/>
                <w:noProof/>
                <w:lang w:val="en-AU"/>
              </w:rPr>
              <w:drawing>
                <wp:inline distT="0" distB="0" distL="0" distR="0" wp14:anchorId="3547D375" wp14:editId="64A705D5">
                  <wp:extent cx="3015817" cy="2051050"/>
                  <wp:effectExtent l="0" t="0" r="0" b="6350"/>
                  <wp:docPr id="57" name="Picture 57" descr="Figure 4: Extrapolation of PFS and OS for Glofit-GemOx and R-GemOx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Figure 4: Extrapolation of PFS and OS for Glofit-GemOx and R-GemOx arm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33603" cy="2063146"/>
                          </a:xfrm>
                          <a:prstGeom prst="rect">
                            <a:avLst/>
                          </a:prstGeom>
                          <a:noFill/>
                        </pic:spPr>
                      </pic:pic>
                    </a:graphicData>
                  </a:graphic>
                </wp:inline>
              </w:drawing>
            </w:r>
          </w:p>
        </w:tc>
      </w:tr>
    </w:tbl>
    <w:p w14:paraId="20FE7591" w14:textId="77777777" w:rsidR="002A0BBB" w:rsidRPr="00935CE1" w:rsidRDefault="002A0BBB" w:rsidP="002A0BBB">
      <w:pPr>
        <w:pStyle w:val="TableFooter"/>
        <w:rPr>
          <w:iCs/>
        </w:rPr>
      </w:pPr>
      <w:r w:rsidRPr="00935CE1">
        <w:rPr>
          <w:iCs/>
        </w:rPr>
        <w:t>Source: Constructed during the evaluation from “Glofit-GemOx” and “R-</w:t>
      </w:r>
      <w:proofErr w:type="spellStart"/>
      <w:r w:rsidRPr="00935CE1">
        <w:rPr>
          <w:iCs/>
        </w:rPr>
        <w:t>GemOx</w:t>
      </w:r>
      <w:proofErr w:type="spellEnd"/>
      <w:r w:rsidRPr="00935CE1">
        <w:rPr>
          <w:iCs/>
        </w:rPr>
        <w:t>” worksheets of the Economic Evaluation_glofit.xlsx.</w:t>
      </w:r>
    </w:p>
    <w:p w14:paraId="1041DAA2" w14:textId="7CCBF5F9" w:rsidR="004438CB" w:rsidRPr="00935CE1" w:rsidRDefault="002A0BBB" w:rsidP="002A0BBB">
      <w:pPr>
        <w:pStyle w:val="TableFooter"/>
        <w:spacing w:after="120"/>
        <w:rPr>
          <w:iCs/>
        </w:rPr>
      </w:pPr>
      <w:r w:rsidRPr="00935CE1">
        <w:rPr>
          <w:iCs/>
        </w:rPr>
        <w:t xml:space="preserve">Glofit-GemOx=glofitamab, gemcitabine and oxaliplatin; ICER=incremental cost-effectiveness ratio; </w:t>
      </w:r>
      <w:r w:rsidR="000C04CA" w:rsidRPr="00935CE1">
        <w:rPr>
          <w:iCs/>
        </w:rPr>
        <w:t xml:space="preserve">KM=Kaplan-Meier; </w:t>
      </w:r>
      <w:r w:rsidRPr="00935CE1">
        <w:rPr>
          <w:iCs/>
        </w:rPr>
        <w:t>OS=overall survival; PFS=progression</w:t>
      </w:r>
      <w:r w:rsidR="00CE4EBF" w:rsidRPr="00935CE1">
        <w:rPr>
          <w:iCs/>
        </w:rPr>
        <w:t>-</w:t>
      </w:r>
      <w:r w:rsidRPr="00935CE1">
        <w:rPr>
          <w:iCs/>
        </w:rPr>
        <w:t>free survival; R-</w:t>
      </w:r>
      <w:proofErr w:type="spellStart"/>
      <w:r w:rsidRPr="00935CE1">
        <w:rPr>
          <w:iCs/>
        </w:rPr>
        <w:t>GemOx</w:t>
      </w:r>
      <w:proofErr w:type="spellEnd"/>
      <w:r w:rsidRPr="00935CE1">
        <w:rPr>
          <w:iCs/>
        </w:rPr>
        <w:t>=rituximab, gemcitabine and oxaliplatin</w:t>
      </w:r>
    </w:p>
    <w:p w14:paraId="34B5611C" w14:textId="77777777" w:rsidR="0002672B" w:rsidRPr="00935CE1" w:rsidRDefault="0002672B" w:rsidP="0002672B">
      <w:pPr>
        <w:rPr>
          <w:iCs/>
        </w:rPr>
      </w:pPr>
    </w:p>
    <w:p w14:paraId="692D4EB2" w14:textId="35EF3D5D" w:rsidR="00570A46" w:rsidRPr="00935CE1" w:rsidRDefault="009F2CEB" w:rsidP="004602CD">
      <w:pPr>
        <w:numPr>
          <w:ilvl w:val="1"/>
          <w:numId w:val="1"/>
        </w:numPr>
        <w:spacing w:before="60" w:after="60"/>
        <w:rPr>
          <w:rFonts w:asciiTheme="minorHAnsi" w:hAnsiTheme="minorHAnsi"/>
          <w:iCs/>
          <w:snapToGrid w:val="0"/>
        </w:rPr>
      </w:pPr>
      <w:bookmarkStart w:id="72" w:name="_Ref201087453"/>
      <w:r w:rsidRPr="00935CE1">
        <w:rPr>
          <w:rFonts w:asciiTheme="minorHAnsi" w:hAnsiTheme="minorHAnsi"/>
          <w:iCs/>
          <w:snapToGrid w:val="0"/>
        </w:rPr>
        <w:t>The proportion of patients in the PFS health state who were ‘on treatment’ and ‘off treatment’ in each cycle</w:t>
      </w:r>
      <w:r w:rsidR="00570A46" w:rsidRPr="00935CE1">
        <w:rPr>
          <w:rFonts w:asciiTheme="minorHAnsi" w:hAnsiTheme="minorHAnsi"/>
          <w:iCs/>
          <w:snapToGrid w:val="0"/>
        </w:rPr>
        <w:t xml:space="preserve"> </w:t>
      </w:r>
      <w:r w:rsidR="00F00EFC" w:rsidRPr="00935CE1">
        <w:rPr>
          <w:rFonts w:asciiTheme="minorHAnsi" w:hAnsiTheme="minorHAnsi"/>
          <w:iCs/>
          <w:snapToGrid w:val="0"/>
        </w:rPr>
        <w:sym w:font="Symbol" w:char="F02D"/>
      </w:r>
      <w:r w:rsidRPr="00935CE1">
        <w:rPr>
          <w:rFonts w:asciiTheme="minorHAnsi" w:hAnsiTheme="minorHAnsi"/>
          <w:iCs/>
          <w:snapToGrid w:val="0"/>
        </w:rPr>
        <w:t xml:space="preserve"> for the purposes of applying different utility weights</w:t>
      </w:r>
      <w:r w:rsidR="00570A46" w:rsidRPr="00935CE1">
        <w:rPr>
          <w:rFonts w:asciiTheme="minorHAnsi" w:hAnsiTheme="minorHAnsi"/>
          <w:iCs/>
          <w:snapToGrid w:val="0"/>
        </w:rPr>
        <w:t xml:space="preserve"> </w:t>
      </w:r>
      <w:r w:rsidR="00F00EFC" w:rsidRPr="00935CE1">
        <w:rPr>
          <w:rFonts w:asciiTheme="minorHAnsi" w:hAnsiTheme="minorHAnsi"/>
          <w:iCs/>
          <w:snapToGrid w:val="0"/>
        </w:rPr>
        <w:sym w:font="Symbol" w:char="F02D"/>
      </w:r>
      <w:r w:rsidRPr="00935CE1">
        <w:rPr>
          <w:rFonts w:asciiTheme="minorHAnsi" w:hAnsiTheme="minorHAnsi"/>
          <w:iCs/>
          <w:snapToGrid w:val="0"/>
        </w:rPr>
        <w:t xml:space="preserve"> was </w:t>
      </w:r>
      <w:r w:rsidR="000C5088" w:rsidRPr="00935CE1">
        <w:rPr>
          <w:rFonts w:asciiTheme="minorHAnsi" w:hAnsiTheme="minorHAnsi"/>
          <w:iCs/>
          <w:snapToGrid w:val="0"/>
        </w:rPr>
        <w:t>estimated from</w:t>
      </w:r>
      <w:r w:rsidRPr="00935CE1">
        <w:rPr>
          <w:rFonts w:asciiTheme="minorHAnsi" w:hAnsiTheme="minorHAnsi"/>
          <w:iCs/>
          <w:snapToGrid w:val="0"/>
        </w:rPr>
        <w:t xml:space="preserve"> total time on treatment (TTOT) </w:t>
      </w:r>
      <w:r w:rsidR="006F6B69" w:rsidRPr="00935CE1">
        <w:rPr>
          <w:rFonts w:asciiTheme="minorHAnsi" w:hAnsiTheme="minorHAnsi"/>
          <w:iCs/>
          <w:snapToGrid w:val="0"/>
        </w:rPr>
        <w:t xml:space="preserve">data at the start of each 7-day model cycle </w:t>
      </w:r>
      <w:r w:rsidR="0016154F" w:rsidRPr="00935CE1">
        <w:rPr>
          <w:rFonts w:asciiTheme="minorHAnsi" w:hAnsiTheme="minorHAnsi"/>
          <w:iCs/>
          <w:snapToGrid w:val="0"/>
        </w:rPr>
        <w:t xml:space="preserve">and PFS data </w:t>
      </w:r>
      <w:r w:rsidRPr="00935CE1">
        <w:rPr>
          <w:rFonts w:asciiTheme="minorHAnsi" w:hAnsiTheme="minorHAnsi"/>
          <w:iCs/>
          <w:snapToGrid w:val="0"/>
        </w:rPr>
        <w:t>in STARGLO</w:t>
      </w:r>
      <w:r w:rsidR="006F6B69" w:rsidRPr="00935CE1">
        <w:rPr>
          <w:rFonts w:asciiTheme="minorHAnsi" w:hAnsiTheme="minorHAnsi"/>
          <w:iCs/>
          <w:snapToGrid w:val="0"/>
        </w:rPr>
        <w:t xml:space="preserve"> (assuming PFS ‘on treatment’ could not exceed PFS)</w:t>
      </w:r>
      <w:r w:rsidRPr="00935CE1">
        <w:rPr>
          <w:rFonts w:asciiTheme="minorHAnsi" w:hAnsiTheme="minorHAnsi"/>
          <w:iCs/>
          <w:snapToGrid w:val="0"/>
        </w:rPr>
        <w:t xml:space="preserve">. Treatment costs were calculated separately, based on the proportion of patients estimated to be on treatment at the start of each 21-day treatment-cycle </w:t>
      </w:r>
      <w:r w:rsidR="0016154F" w:rsidRPr="00935CE1">
        <w:rPr>
          <w:rFonts w:asciiTheme="minorHAnsi" w:hAnsiTheme="minorHAnsi"/>
          <w:iCs/>
          <w:snapToGrid w:val="0"/>
        </w:rPr>
        <w:t>in the model based on the TTOT data</w:t>
      </w:r>
      <w:r w:rsidRPr="00935CE1">
        <w:rPr>
          <w:rFonts w:asciiTheme="minorHAnsi" w:hAnsiTheme="minorHAnsi"/>
          <w:iCs/>
          <w:snapToGrid w:val="0"/>
        </w:rPr>
        <w:t xml:space="preserve"> in STARGLO.</w:t>
      </w:r>
      <w:r w:rsidR="001A4FC9" w:rsidRPr="00935CE1">
        <w:rPr>
          <w:rFonts w:asciiTheme="minorHAnsi" w:hAnsiTheme="minorHAnsi"/>
          <w:iCs/>
          <w:snapToGrid w:val="0"/>
        </w:rPr>
        <w:t xml:space="preserve"> Overall, the submission’s approach for determining when patients discontinued treatment</w:t>
      </w:r>
      <w:r w:rsidR="00152ED6" w:rsidRPr="00935CE1">
        <w:rPr>
          <w:rFonts w:asciiTheme="minorHAnsi" w:hAnsiTheme="minorHAnsi"/>
          <w:iCs/>
          <w:snapToGrid w:val="0"/>
        </w:rPr>
        <w:t xml:space="preserve"> was internally inconsistent and resulted in an underestimate in the time spen</w:t>
      </w:r>
      <w:r w:rsidR="00F00EFC" w:rsidRPr="00935CE1">
        <w:rPr>
          <w:rFonts w:asciiTheme="minorHAnsi" w:hAnsiTheme="minorHAnsi"/>
          <w:iCs/>
          <w:snapToGrid w:val="0"/>
        </w:rPr>
        <w:t>t</w:t>
      </w:r>
      <w:r w:rsidR="00152ED6" w:rsidRPr="00935CE1">
        <w:rPr>
          <w:rFonts w:asciiTheme="minorHAnsi" w:hAnsiTheme="minorHAnsi"/>
          <w:iCs/>
          <w:snapToGrid w:val="0"/>
        </w:rPr>
        <w:t xml:space="preserve"> on treatment and costs assigned to treatment compared to STARGLO. </w:t>
      </w:r>
      <w:r w:rsidR="002A0BBB" w:rsidRPr="00935CE1">
        <w:rPr>
          <w:rFonts w:asciiTheme="minorHAnsi" w:hAnsiTheme="minorHAnsi"/>
          <w:iCs/>
          <w:snapToGrid w:val="0"/>
        </w:rPr>
        <w:fldChar w:fldCharType="begin" w:fldLock="1"/>
      </w:r>
      <w:r w:rsidR="002A0BBB" w:rsidRPr="00935CE1">
        <w:rPr>
          <w:rFonts w:asciiTheme="minorHAnsi" w:hAnsiTheme="minorHAnsi"/>
          <w:iCs/>
          <w:snapToGrid w:val="0"/>
        </w:rPr>
        <w:instrText xml:space="preserve"> REF _Ref195623707 \h </w:instrText>
      </w:r>
      <w:r w:rsidR="00570A46" w:rsidRPr="00935CE1">
        <w:rPr>
          <w:rFonts w:asciiTheme="minorHAnsi" w:hAnsiTheme="minorHAnsi"/>
          <w:iCs/>
          <w:snapToGrid w:val="0"/>
        </w:rPr>
        <w:instrText xml:space="preserve"> \* MERGEFORMAT </w:instrText>
      </w:r>
      <w:r w:rsidR="002A0BBB" w:rsidRPr="00935CE1">
        <w:rPr>
          <w:rFonts w:asciiTheme="minorHAnsi" w:hAnsiTheme="minorHAnsi"/>
          <w:iCs/>
          <w:snapToGrid w:val="0"/>
        </w:rPr>
      </w:r>
      <w:r w:rsidR="002A0BBB" w:rsidRPr="00935CE1">
        <w:rPr>
          <w:rFonts w:asciiTheme="minorHAnsi" w:hAnsiTheme="minorHAnsi"/>
          <w:iCs/>
          <w:snapToGrid w:val="0"/>
        </w:rPr>
        <w:fldChar w:fldCharType="separate"/>
      </w:r>
      <w:r w:rsidR="003C21E7" w:rsidRPr="003C21E7">
        <w:rPr>
          <w:rFonts w:asciiTheme="minorHAnsi" w:hAnsiTheme="minorHAnsi"/>
          <w:iCs/>
          <w:snapToGrid w:val="0"/>
        </w:rPr>
        <w:t>Figure 5</w:t>
      </w:r>
      <w:r w:rsidR="002A0BBB" w:rsidRPr="00935CE1">
        <w:rPr>
          <w:rFonts w:asciiTheme="minorHAnsi" w:hAnsiTheme="minorHAnsi"/>
          <w:iCs/>
          <w:snapToGrid w:val="0"/>
        </w:rPr>
        <w:fldChar w:fldCharType="end"/>
      </w:r>
      <w:r w:rsidR="002A0BBB" w:rsidRPr="00935CE1">
        <w:rPr>
          <w:rFonts w:asciiTheme="minorHAnsi" w:hAnsiTheme="minorHAnsi"/>
          <w:iCs/>
          <w:snapToGrid w:val="0"/>
        </w:rPr>
        <w:t xml:space="preserve"> </w:t>
      </w:r>
      <w:r w:rsidR="0016154F" w:rsidRPr="00935CE1">
        <w:rPr>
          <w:rFonts w:asciiTheme="minorHAnsi" w:hAnsiTheme="minorHAnsi"/>
          <w:iCs/>
          <w:snapToGrid w:val="0"/>
        </w:rPr>
        <w:t>illustrates</w:t>
      </w:r>
      <w:r w:rsidR="00570A46" w:rsidRPr="00935CE1">
        <w:rPr>
          <w:rFonts w:asciiTheme="minorHAnsi" w:hAnsiTheme="minorHAnsi"/>
          <w:iCs/>
          <w:snapToGrid w:val="0"/>
        </w:rPr>
        <w:t xml:space="preserve"> </w:t>
      </w:r>
      <w:r w:rsidR="006F6B69" w:rsidRPr="00935CE1">
        <w:rPr>
          <w:rFonts w:asciiTheme="minorHAnsi" w:hAnsiTheme="minorHAnsi"/>
          <w:iCs/>
          <w:snapToGrid w:val="0"/>
        </w:rPr>
        <w:t>the</w:t>
      </w:r>
      <w:r w:rsidR="000C5088" w:rsidRPr="00935CE1">
        <w:rPr>
          <w:rFonts w:asciiTheme="minorHAnsi" w:hAnsiTheme="minorHAnsi"/>
          <w:iCs/>
          <w:snapToGrid w:val="0"/>
        </w:rPr>
        <w:t xml:space="preserve"> </w:t>
      </w:r>
      <w:r w:rsidR="006F6B69" w:rsidRPr="00935CE1">
        <w:rPr>
          <w:rFonts w:asciiTheme="minorHAnsi" w:hAnsiTheme="minorHAnsi"/>
          <w:iCs/>
          <w:snapToGrid w:val="0"/>
        </w:rPr>
        <w:t>differences</w:t>
      </w:r>
      <w:r w:rsidR="000C5088" w:rsidRPr="00935CE1">
        <w:rPr>
          <w:rFonts w:asciiTheme="minorHAnsi" w:hAnsiTheme="minorHAnsi"/>
          <w:iCs/>
          <w:snapToGrid w:val="0"/>
        </w:rPr>
        <w:t xml:space="preserve"> between </w:t>
      </w:r>
      <w:r w:rsidR="00570A46" w:rsidRPr="00935CE1">
        <w:rPr>
          <w:rFonts w:asciiTheme="minorHAnsi" w:hAnsiTheme="minorHAnsi"/>
          <w:iCs/>
          <w:snapToGrid w:val="0"/>
        </w:rPr>
        <w:t xml:space="preserve">(i) </w:t>
      </w:r>
      <w:r w:rsidR="0016154F" w:rsidRPr="00935CE1">
        <w:rPr>
          <w:rFonts w:asciiTheme="minorHAnsi" w:hAnsiTheme="minorHAnsi"/>
          <w:iCs/>
          <w:snapToGrid w:val="0"/>
        </w:rPr>
        <w:t xml:space="preserve">the proportion of patients in the PFS ‘on treatment’ health state in the model used to assign utilities (green line), </w:t>
      </w:r>
      <w:r w:rsidR="00570A46" w:rsidRPr="00935CE1">
        <w:rPr>
          <w:rFonts w:asciiTheme="minorHAnsi" w:hAnsiTheme="minorHAnsi"/>
          <w:iCs/>
          <w:snapToGrid w:val="0"/>
        </w:rPr>
        <w:t xml:space="preserve">(ii) </w:t>
      </w:r>
      <w:r w:rsidR="0016154F" w:rsidRPr="00935CE1">
        <w:rPr>
          <w:rFonts w:asciiTheme="minorHAnsi" w:hAnsiTheme="minorHAnsi"/>
          <w:iCs/>
          <w:snapToGrid w:val="0"/>
        </w:rPr>
        <w:t xml:space="preserve">the proportion of patients </w:t>
      </w:r>
      <w:r w:rsidR="006F6B69" w:rsidRPr="00935CE1">
        <w:rPr>
          <w:rFonts w:asciiTheme="minorHAnsi" w:hAnsiTheme="minorHAnsi"/>
          <w:iCs/>
          <w:snapToGrid w:val="0"/>
        </w:rPr>
        <w:t xml:space="preserve">assigned treatment costs </w:t>
      </w:r>
      <w:r w:rsidR="00B45374" w:rsidRPr="00935CE1">
        <w:rPr>
          <w:rFonts w:asciiTheme="minorHAnsi" w:hAnsiTheme="minorHAnsi"/>
          <w:iCs/>
          <w:snapToGrid w:val="0"/>
        </w:rPr>
        <w:t xml:space="preserve">(for glofitamab and rituximab) </w:t>
      </w:r>
      <w:r w:rsidR="0016154F" w:rsidRPr="00935CE1">
        <w:rPr>
          <w:rFonts w:asciiTheme="minorHAnsi" w:hAnsiTheme="minorHAnsi"/>
          <w:iCs/>
          <w:snapToGrid w:val="0"/>
        </w:rPr>
        <w:t xml:space="preserve">at the start of each </w:t>
      </w:r>
      <w:r w:rsidR="006F6B69" w:rsidRPr="00935CE1">
        <w:rPr>
          <w:rFonts w:asciiTheme="minorHAnsi" w:hAnsiTheme="minorHAnsi"/>
          <w:iCs/>
          <w:snapToGrid w:val="0"/>
        </w:rPr>
        <w:t xml:space="preserve">21-day </w:t>
      </w:r>
      <w:r w:rsidR="0016154F" w:rsidRPr="00935CE1">
        <w:rPr>
          <w:rFonts w:asciiTheme="minorHAnsi" w:hAnsiTheme="minorHAnsi"/>
          <w:iCs/>
          <w:snapToGrid w:val="0"/>
        </w:rPr>
        <w:t xml:space="preserve">treatment cycle (red dots), and </w:t>
      </w:r>
      <w:r w:rsidR="00570A46" w:rsidRPr="00935CE1">
        <w:rPr>
          <w:rFonts w:asciiTheme="minorHAnsi" w:hAnsiTheme="minorHAnsi"/>
          <w:iCs/>
          <w:snapToGrid w:val="0"/>
        </w:rPr>
        <w:t xml:space="preserve">(iii) </w:t>
      </w:r>
      <w:r w:rsidR="0016154F" w:rsidRPr="00935CE1">
        <w:rPr>
          <w:rFonts w:asciiTheme="minorHAnsi" w:hAnsiTheme="minorHAnsi"/>
          <w:iCs/>
          <w:snapToGrid w:val="0"/>
        </w:rPr>
        <w:t>the KM data for TTOT reported in STARGLO</w:t>
      </w:r>
      <w:r w:rsidR="006F6B69" w:rsidRPr="00935CE1">
        <w:rPr>
          <w:rFonts w:asciiTheme="minorHAnsi" w:hAnsiTheme="minorHAnsi"/>
          <w:iCs/>
          <w:snapToGrid w:val="0"/>
        </w:rPr>
        <w:t xml:space="preserve"> (failure defined the day after their last dose)</w:t>
      </w:r>
      <w:r w:rsidR="0016154F" w:rsidRPr="00935CE1">
        <w:rPr>
          <w:rFonts w:asciiTheme="minorHAnsi" w:hAnsiTheme="minorHAnsi"/>
          <w:iCs/>
          <w:snapToGrid w:val="0"/>
        </w:rPr>
        <w:t>.</w:t>
      </w:r>
      <w:bookmarkEnd w:id="72"/>
    </w:p>
    <w:p w14:paraId="5E94C569" w14:textId="698FAA58" w:rsidR="00A534A5" w:rsidRPr="00935CE1" w:rsidRDefault="0016154F" w:rsidP="007368C9">
      <w:pPr>
        <w:pStyle w:val="3-BodyText"/>
        <w:numPr>
          <w:ilvl w:val="0"/>
          <w:numId w:val="4"/>
        </w:numPr>
        <w:spacing w:before="0" w:after="120"/>
        <w:ind w:left="1134" w:hanging="425"/>
        <w:rPr>
          <w:iCs/>
        </w:rPr>
      </w:pPr>
      <w:r w:rsidRPr="00935CE1">
        <w:rPr>
          <w:iCs/>
        </w:rPr>
        <w:t>In estimating the proportion of patients</w:t>
      </w:r>
      <w:r w:rsidR="00A534A5" w:rsidRPr="00935CE1">
        <w:rPr>
          <w:iCs/>
        </w:rPr>
        <w:t xml:space="preserve"> in the PFS ‘on treatment’ health state</w:t>
      </w:r>
      <w:r w:rsidR="00AF1D18" w:rsidRPr="00935CE1">
        <w:rPr>
          <w:iCs/>
        </w:rPr>
        <w:t xml:space="preserve"> each cycle</w:t>
      </w:r>
      <w:r w:rsidR="00A534A5" w:rsidRPr="00935CE1">
        <w:rPr>
          <w:iCs/>
        </w:rPr>
        <w:t xml:space="preserve">, </w:t>
      </w:r>
      <w:r w:rsidR="00C30C63" w:rsidRPr="00935CE1">
        <w:rPr>
          <w:iCs/>
        </w:rPr>
        <w:t xml:space="preserve">the submission </w:t>
      </w:r>
      <w:r w:rsidR="00A534A5" w:rsidRPr="00935CE1">
        <w:rPr>
          <w:iCs/>
        </w:rPr>
        <w:t xml:space="preserve">multiplied the TTOT curve </w:t>
      </w:r>
      <w:r w:rsidR="000C5088" w:rsidRPr="00935CE1">
        <w:rPr>
          <w:iCs/>
        </w:rPr>
        <w:t xml:space="preserve">by the </w:t>
      </w:r>
      <w:r w:rsidR="00A534A5" w:rsidRPr="00935CE1">
        <w:rPr>
          <w:iCs/>
        </w:rPr>
        <w:t>PFS curve</w:t>
      </w:r>
      <w:r w:rsidR="00265BB9" w:rsidRPr="00935CE1">
        <w:rPr>
          <w:iCs/>
        </w:rPr>
        <w:t>, which appeared to be an error</w:t>
      </w:r>
      <w:r w:rsidR="00A534A5" w:rsidRPr="00935CE1">
        <w:rPr>
          <w:iCs/>
        </w:rPr>
        <w:t xml:space="preserve">. </w:t>
      </w:r>
      <w:r w:rsidR="00AF1D18" w:rsidRPr="00935CE1">
        <w:rPr>
          <w:iCs/>
        </w:rPr>
        <w:t xml:space="preserve">Rather, the </w:t>
      </w:r>
      <w:r w:rsidR="00265BB9" w:rsidRPr="00935CE1">
        <w:rPr>
          <w:iCs/>
        </w:rPr>
        <w:t xml:space="preserve">proportion of patients in </w:t>
      </w:r>
      <w:r w:rsidR="00AF1D18" w:rsidRPr="00935CE1">
        <w:rPr>
          <w:iCs/>
        </w:rPr>
        <w:t xml:space="preserve">PFS ‘on treatment’ should equal the TTOT curve given patients </w:t>
      </w:r>
      <w:r w:rsidR="00F7382E" w:rsidRPr="00935CE1">
        <w:rPr>
          <w:iCs/>
        </w:rPr>
        <w:t>must have PFS to remain on treatment</w:t>
      </w:r>
      <w:r w:rsidR="00AF1D18" w:rsidRPr="00935CE1">
        <w:rPr>
          <w:iCs/>
        </w:rPr>
        <w:t>. This led to an underestimation of the proportion of patients in the PFS ‘on treatment’ health state</w:t>
      </w:r>
      <w:r w:rsidR="00265BB9" w:rsidRPr="00935CE1">
        <w:rPr>
          <w:iCs/>
        </w:rPr>
        <w:t>;</w:t>
      </w:r>
      <w:r w:rsidR="00AF1D18" w:rsidRPr="00935CE1">
        <w:rPr>
          <w:iCs/>
        </w:rPr>
        <w:t xml:space="preserve"> </w:t>
      </w:r>
      <w:r w:rsidR="00265BB9" w:rsidRPr="00935CE1">
        <w:rPr>
          <w:iCs/>
        </w:rPr>
        <w:t xml:space="preserve">however, </w:t>
      </w:r>
      <w:r w:rsidR="00AF1D18" w:rsidRPr="00935CE1">
        <w:rPr>
          <w:iCs/>
        </w:rPr>
        <w:t>the model was not sensitive to this error given the utility weights for PFS ‘on treatment’ and PFS ‘off treatment’ were nearly identical</w:t>
      </w:r>
      <w:r w:rsidR="00265BB9" w:rsidRPr="00935CE1">
        <w:rPr>
          <w:iCs/>
        </w:rPr>
        <w:t xml:space="preserve"> and the average time on treatment was relatively short</w:t>
      </w:r>
      <w:r w:rsidR="00AF1D18" w:rsidRPr="00935CE1">
        <w:rPr>
          <w:iCs/>
        </w:rPr>
        <w:t>.</w:t>
      </w:r>
    </w:p>
    <w:p w14:paraId="4CBDD52F" w14:textId="45337E41" w:rsidR="00570A46" w:rsidRPr="00935CE1" w:rsidRDefault="00AF1D18" w:rsidP="007368C9">
      <w:pPr>
        <w:pStyle w:val="3-BodyText"/>
        <w:numPr>
          <w:ilvl w:val="0"/>
          <w:numId w:val="4"/>
        </w:numPr>
        <w:spacing w:before="0" w:after="120"/>
        <w:ind w:left="1134" w:hanging="425"/>
        <w:rPr>
          <w:iCs/>
        </w:rPr>
      </w:pPr>
      <w:r w:rsidRPr="00935CE1">
        <w:rPr>
          <w:iCs/>
        </w:rPr>
        <w:t xml:space="preserve">In estimating the proportion of patients </w:t>
      </w:r>
      <w:r w:rsidR="00C30C63" w:rsidRPr="00935CE1">
        <w:rPr>
          <w:iCs/>
        </w:rPr>
        <w:t>assigned</w:t>
      </w:r>
      <w:r w:rsidRPr="00935CE1">
        <w:rPr>
          <w:iCs/>
        </w:rPr>
        <w:t xml:space="preserve"> treatment </w:t>
      </w:r>
      <w:r w:rsidR="00C30C63" w:rsidRPr="00935CE1">
        <w:rPr>
          <w:iCs/>
        </w:rPr>
        <w:t xml:space="preserve">costs </w:t>
      </w:r>
      <w:r w:rsidR="00570A46" w:rsidRPr="00935CE1">
        <w:rPr>
          <w:iCs/>
        </w:rPr>
        <w:t>each 21-day treatment cycle, the submission</w:t>
      </w:r>
      <w:r w:rsidR="00C30C63" w:rsidRPr="00935CE1">
        <w:rPr>
          <w:iCs/>
        </w:rPr>
        <w:t xml:space="preserve"> appeared to obtain (‘read off’) values directly from the </w:t>
      </w:r>
      <w:r w:rsidR="00265BB9" w:rsidRPr="00935CE1">
        <w:rPr>
          <w:iCs/>
        </w:rPr>
        <w:t>TTOT</w:t>
      </w:r>
      <w:r w:rsidR="00570A46" w:rsidRPr="00935CE1">
        <w:rPr>
          <w:iCs/>
        </w:rPr>
        <w:t xml:space="preserve"> curve every 21 days</w:t>
      </w:r>
      <w:r w:rsidR="00C30C63" w:rsidRPr="00935CE1">
        <w:rPr>
          <w:iCs/>
        </w:rPr>
        <w:t>, which</w:t>
      </w:r>
      <w:r w:rsidR="00570A46" w:rsidRPr="00935CE1">
        <w:rPr>
          <w:iCs/>
        </w:rPr>
        <w:t xml:space="preserve"> ignored the patients who received delayed doses</w:t>
      </w:r>
      <w:r w:rsidR="00C30C63" w:rsidRPr="00935CE1">
        <w:rPr>
          <w:iCs/>
        </w:rPr>
        <w:t xml:space="preserve"> (the blue dot in between the red dots)</w:t>
      </w:r>
      <w:r w:rsidR="00570A46" w:rsidRPr="00935CE1">
        <w:rPr>
          <w:iCs/>
        </w:rPr>
        <w:t xml:space="preserve">. </w:t>
      </w:r>
      <w:proofErr w:type="gramStart"/>
      <w:r w:rsidR="00265BB9" w:rsidRPr="00935CE1">
        <w:rPr>
          <w:iCs/>
        </w:rPr>
        <w:t>As a consequence</w:t>
      </w:r>
      <w:proofErr w:type="gramEnd"/>
      <w:r w:rsidR="00265BB9" w:rsidRPr="00935CE1">
        <w:rPr>
          <w:iCs/>
        </w:rPr>
        <w:t>, the model estimated a lower mean number of treatment cycles per patient compared to STARGLO (</w:t>
      </w:r>
      <w:r w:rsidR="00176820" w:rsidRPr="00935CE1">
        <w:rPr>
          <w:iCs/>
        </w:rPr>
        <w:t xml:space="preserve">refer to </w:t>
      </w:r>
      <w:r w:rsidR="00A91747" w:rsidRPr="00935CE1">
        <w:rPr>
          <w:iCs/>
        </w:rPr>
        <w:fldChar w:fldCharType="begin" w:fldLock="1"/>
      </w:r>
      <w:r w:rsidR="00A91747" w:rsidRPr="00935CE1">
        <w:rPr>
          <w:iCs/>
        </w:rPr>
        <w:instrText xml:space="preserve"> REF _Ref196647344 \h </w:instrText>
      </w:r>
      <w:r w:rsidR="0012646F" w:rsidRPr="00935CE1">
        <w:rPr>
          <w:iCs/>
        </w:rPr>
        <w:instrText xml:space="preserve"> \* MERGEFORMAT </w:instrText>
      </w:r>
      <w:r w:rsidR="00A91747" w:rsidRPr="00935CE1">
        <w:rPr>
          <w:iCs/>
        </w:rPr>
      </w:r>
      <w:r w:rsidR="00A91747" w:rsidRPr="00935CE1">
        <w:rPr>
          <w:iCs/>
        </w:rPr>
        <w:fldChar w:fldCharType="separate"/>
      </w:r>
      <w:r w:rsidR="003C21E7" w:rsidRPr="00935CE1">
        <w:rPr>
          <w:iCs/>
        </w:rPr>
        <w:t xml:space="preserve">Table </w:t>
      </w:r>
      <w:r w:rsidR="003C21E7">
        <w:rPr>
          <w:iCs/>
          <w:noProof/>
        </w:rPr>
        <w:t>10</w:t>
      </w:r>
      <w:r w:rsidR="00A91747" w:rsidRPr="00935CE1">
        <w:rPr>
          <w:iCs/>
        </w:rPr>
        <w:fldChar w:fldCharType="end"/>
      </w:r>
      <w:r w:rsidR="00265BB9" w:rsidRPr="00935CE1">
        <w:rPr>
          <w:iCs/>
        </w:rPr>
        <w:t>). There was also a minor programming error which delayed when the costs of Glofit-GemOx were applied by one model cycle</w:t>
      </w:r>
      <w:r w:rsidR="00D94F1F" w:rsidRPr="00935CE1">
        <w:rPr>
          <w:iCs/>
        </w:rPr>
        <w:t xml:space="preserve"> (which is why the red dots and blue line do not perfectly align)</w:t>
      </w:r>
      <w:r w:rsidR="00265BB9" w:rsidRPr="00935CE1">
        <w:rPr>
          <w:iCs/>
        </w:rPr>
        <w:t xml:space="preserve">. </w:t>
      </w:r>
      <w:r w:rsidR="0012646F" w:rsidRPr="00935CE1">
        <w:rPr>
          <w:iCs/>
        </w:rPr>
        <w:t>The model was sensitive to the average number of glofitamab cycles in the Glofit-GemOx treatment regimen (</w:t>
      </w:r>
      <w:r w:rsidR="00A91747" w:rsidRPr="00935CE1">
        <w:rPr>
          <w:iCs/>
        </w:rPr>
        <w:t xml:space="preserve">see </w:t>
      </w:r>
      <w:r w:rsidR="00A91747" w:rsidRPr="00935CE1">
        <w:rPr>
          <w:iCs/>
        </w:rPr>
        <w:fldChar w:fldCharType="begin" w:fldLock="1"/>
      </w:r>
      <w:r w:rsidR="00A91747" w:rsidRPr="00935CE1">
        <w:rPr>
          <w:iCs/>
        </w:rPr>
        <w:instrText xml:space="preserve"> REF _Ref111485636 \h </w:instrText>
      </w:r>
      <w:r w:rsidR="0012646F" w:rsidRPr="00935CE1">
        <w:rPr>
          <w:iCs/>
        </w:rPr>
        <w:instrText xml:space="preserve"> \* MERGEFORMAT </w:instrText>
      </w:r>
      <w:r w:rsidR="00A91747" w:rsidRPr="00935CE1">
        <w:rPr>
          <w:iCs/>
        </w:rPr>
      </w:r>
      <w:r w:rsidR="00A91747" w:rsidRPr="00935CE1">
        <w:rPr>
          <w:iCs/>
        </w:rPr>
        <w:fldChar w:fldCharType="separate"/>
      </w:r>
      <w:r w:rsidR="003C21E7" w:rsidRPr="003C21E7">
        <w:rPr>
          <w:iCs/>
        </w:rPr>
        <w:t>Table 13</w:t>
      </w:r>
      <w:r w:rsidR="00A91747" w:rsidRPr="00935CE1">
        <w:rPr>
          <w:iCs/>
        </w:rPr>
        <w:fldChar w:fldCharType="end"/>
      </w:r>
      <w:r w:rsidR="00A91747" w:rsidRPr="00935CE1">
        <w:rPr>
          <w:iCs/>
        </w:rPr>
        <w:t>)</w:t>
      </w:r>
      <w:r w:rsidR="00CE6901" w:rsidRPr="00935CE1">
        <w:rPr>
          <w:iCs/>
        </w:rPr>
        <w:t>.</w:t>
      </w:r>
    </w:p>
    <w:p w14:paraId="505F6C85" w14:textId="06FB848A" w:rsidR="00CE432C" w:rsidRPr="00960D90" w:rsidRDefault="00B74360" w:rsidP="00CE432C">
      <w:pPr>
        <w:pStyle w:val="3-BodyText"/>
        <w:spacing w:before="0" w:after="120"/>
        <w:ind w:left="709"/>
        <w:rPr>
          <w:iCs/>
        </w:rPr>
      </w:pPr>
      <w:r w:rsidRPr="00935CE1">
        <w:rPr>
          <w:iCs/>
        </w:rPr>
        <w:t xml:space="preserve">The PSCR </w:t>
      </w:r>
      <w:r w:rsidR="008A441E" w:rsidRPr="00935CE1">
        <w:rPr>
          <w:iCs/>
        </w:rPr>
        <w:t xml:space="preserve">acknowledged the </w:t>
      </w:r>
      <w:r w:rsidR="00982611" w:rsidRPr="00935CE1">
        <w:rPr>
          <w:iCs/>
        </w:rPr>
        <w:t xml:space="preserve">internal inconsistency in determining when patients discontinued treatment to calculate </w:t>
      </w:r>
      <w:r w:rsidR="00711AF6" w:rsidRPr="00935CE1">
        <w:rPr>
          <w:iCs/>
        </w:rPr>
        <w:t xml:space="preserve">costs </w:t>
      </w:r>
      <w:r w:rsidR="00F958EC" w:rsidRPr="00935CE1">
        <w:rPr>
          <w:iCs/>
        </w:rPr>
        <w:t>and QALYs</w:t>
      </w:r>
      <w:r w:rsidR="001562B1" w:rsidRPr="00935CE1">
        <w:rPr>
          <w:iCs/>
        </w:rPr>
        <w:t xml:space="preserve"> and provided a revised economic model</w:t>
      </w:r>
      <w:r w:rsidR="00131F44" w:rsidRPr="00935CE1">
        <w:rPr>
          <w:iCs/>
        </w:rPr>
        <w:t xml:space="preserve">. </w:t>
      </w:r>
      <w:r w:rsidR="00F532D2" w:rsidRPr="00935CE1">
        <w:rPr>
          <w:iCs/>
        </w:rPr>
        <w:t xml:space="preserve">The PSCR stated the economic model </w:t>
      </w:r>
      <w:r w:rsidR="008E41D5" w:rsidRPr="00935CE1">
        <w:rPr>
          <w:iCs/>
        </w:rPr>
        <w:t>was</w:t>
      </w:r>
      <w:r w:rsidR="00F532D2" w:rsidRPr="00935CE1">
        <w:rPr>
          <w:iCs/>
        </w:rPr>
        <w:t xml:space="preserve"> revised to explicitly determine </w:t>
      </w:r>
      <w:r w:rsidR="003D68A1" w:rsidRPr="00935CE1">
        <w:rPr>
          <w:iCs/>
        </w:rPr>
        <w:t>patient discontinuation based on K</w:t>
      </w:r>
      <w:r w:rsidR="00FD55F9" w:rsidRPr="00935CE1">
        <w:rPr>
          <w:iCs/>
        </w:rPr>
        <w:t>M T</w:t>
      </w:r>
      <w:r w:rsidR="00810C83" w:rsidRPr="00935CE1">
        <w:rPr>
          <w:iCs/>
        </w:rPr>
        <w:t>T</w:t>
      </w:r>
      <w:r w:rsidR="00FD55F9" w:rsidRPr="00935CE1">
        <w:rPr>
          <w:iCs/>
        </w:rPr>
        <w:t>OT data. In addition, the PSCR</w:t>
      </w:r>
      <w:r w:rsidR="001D139B" w:rsidRPr="00935CE1">
        <w:rPr>
          <w:iCs/>
        </w:rPr>
        <w:t xml:space="preserve"> stated that the model corrected errors in calculating the public/private </w:t>
      </w:r>
      <w:r w:rsidR="000D7CA0" w:rsidRPr="00935CE1">
        <w:rPr>
          <w:iCs/>
        </w:rPr>
        <w:t xml:space="preserve">split for rituximab and gemcitabine, in estimating the proportion of </w:t>
      </w:r>
      <w:r w:rsidR="00AA6A25" w:rsidRPr="00935CE1">
        <w:rPr>
          <w:iCs/>
        </w:rPr>
        <w:t xml:space="preserve">patients in the PFS ‘on treatment’ health state and the programming error which delayed when the costs of Glofit-GemOx were applied by one </w:t>
      </w:r>
      <w:r w:rsidR="00717CA8" w:rsidRPr="00935CE1">
        <w:rPr>
          <w:iCs/>
        </w:rPr>
        <w:t xml:space="preserve">model cycle. </w:t>
      </w:r>
      <w:r w:rsidR="00065D6B" w:rsidRPr="00935CE1">
        <w:rPr>
          <w:iCs/>
        </w:rPr>
        <w:t xml:space="preserve">The PSCR </w:t>
      </w:r>
      <w:r w:rsidR="00186D14" w:rsidRPr="00935CE1">
        <w:rPr>
          <w:iCs/>
        </w:rPr>
        <w:t>stated</w:t>
      </w:r>
      <w:r w:rsidR="00065D6B" w:rsidRPr="00935CE1">
        <w:rPr>
          <w:iCs/>
        </w:rPr>
        <w:t xml:space="preserve"> that </w:t>
      </w:r>
      <w:r w:rsidR="00241F9E" w:rsidRPr="00935CE1">
        <w:rPr>
          <w:iCs/>
        </w:rPr>
        <w:t xml:space="preserve">the use of the </w:t>
      </w:r>
      <w:r w:rsidR="00694C7A" w:rsidRPr="00935CE1">
        <w:rPr>
          <w:iCs/>
        </w:rPr>
        <w:t>KM curves for T</w:t>
      </w:r>
      <w:r w:rsidR="00810C83" w:rsidRPr="00935CE1">
        <w:rPr>
          <w:iCs/>
        </w:rPr>
        <w:t>T</w:t>
      </w:r>
      <w:r w:rsidR="00694C7A" w:rsidRPr="00935CE1">
        <w:rPr>
          <w:iCs/>
        </w:rPr>
        <w:t>OT may slightly underestimate the mean if the KM data are immature or if conservative extrapolation methods are used</w:t>
      </w:r>
      <w:r w:rsidR="00186D14" w:rsidRPr="00935CE1">
        <w:rPr>
          <w:iCs/>
        </w:rPr>
        <w:t xml:space="preserve">. As such, the PSCR argued that </w:t>
      </w:r>
      <w:r w:rsidR="007B6694" w:rsidRPr="00935CE1">
        <w:rPr>
          <w:iCs/>
        </w:rPr>
        <w:t xml:space="preserve">modelled mean </w:t>
      </w:r>
      <w:r w:rsidR="007B6694" w:rsidRPr="00960D90">
        <w:rPr>
          <w:iCs/>
        </w:rPr>
        <w:t>of 8.1 cycles compared</w:t>
      </w:r>
      <w:r w:rsidR="007B6694" w:rsidRPr="00935CE1">
        <w:rPr>
          <w:iCs/>
        </w:rPr>
        <w:t xml:space="preserve"> to the trial-reported 8.5 cycles </w:t>
      </w:r>
      <w:r w:rsidR="00616C11" w:rsidRPr="00935CE1">
        <w:rPr>
          <w:iCs/>
        </w:rPr>
        <w:t>was reasonable</w:t>
      </w:r>
      <w:r w:rsidR="0089286C" w:rsidRPr="00935CE1">
        <w:rPr>
          <w:iCs/>
        </w:rPr>
        <w:t xml:space="preserve">. </w:t>
      </w:r>
      <w:r w:rsidR="00294FA8" w:rsidRPr="00935CE1">
        <w:rPr>
          <w:iCs/>
        </w:rPr>
        <w:t xml:space="preserve">The ESC disagreed with the PSCR </w:t>
      </w:r>
      <w:r w:rsidR="00381B55" w:rsidRPr="00935CE1">
        <w:rPr>
          <w:iCs/>
        </w:rPr>
        <w:t xml:space="preserve">noting that all patients in the STARGLO trial had completed treatment and hence there should not be any differences in mean doses </w:t>
      </w:r>
      <w:r w:rsidR="00381B55" w:rsidRPr="00960D90">
        <w:rPr>
          <w:iCs/>
        </w:rPr>
        <w:t xml:space="preserve">between the trial and model due to censoring or extrapolation. </w:t>
      </w:r>
    </w:p>
    <w:p w14:paraId="40AF888A" w14:textId="7D7BEF9B" w:rsidR="002A0BBB" w:rsidRPr="00960D90" w:rsidRDefault="002A0BBB" w:rsidP="002A0BBB">
      <w:pPr>
        <w:pStyle w:val="Caption"/>
        <w:rPr>
          <w:iCs/>
        </w:rPr>
      </w:pPr>
      <w:bookmarkStart w:id="73" w:name="_Ref195623707"/>
      <w:r w:rsidRPr="00960D90">
        <w:rPr>
          <w:iCs/>
        </w:rPr>
        <w:t xml:space="preserve">Figure </w:t>
      </w:r>
      <w:r w:rsidR="00A53E6E" w:rsidRPr="00960D90">
        <w:rPr>
          <w:iCs/>
        </w:rPr>
        <w:fldChar w:fldCharType="begin" w:fldLock="1"/>
      </w:r>
      <w:r w:rsidR="00A53E6E" w:rsidRPr="00960D90">
        <w:rPr>
          <w:iCs/>
        </w:rPr>
        <w:instrText xml:space="preserve"> SEQ Figure \* ARABIC </w:instrText>
      </w:r>
      <w:r w:rsidR="00A53E6E" w:rsidRPr="00960D90">
        <w:rPr>
          <w:iCs/>
        </w:rPr>
        <w:fldChar w:fldCharType="separate"/>
      </w:r>
      <w:r w:rsidR="003C21E7" w:rsidRPr="00960D90">
        <w:rPr>
          <w:iCs/>
          <w:noProof/>
        </w:rPr>
        <w:t>5</w:t>
      </w:r>
      <w:r w:rsidR="00A53E6E" w:rsidRPr="00960D90">
        <w:rPr>
          <w:iCs/>
          <w:noProof/>
        </w:rPr>
        <w:fldChar w:fldCharType="end"/>
      </w:r>
      <w:bookmarkEnd w:id="73"/>
      <w:r w:rsidRPr="00960D90">
        <w:rPr>
          <w:iCs/>
        </w:rPr>
        <w:t xml:space="preserve">: </w:t>
      </w:r>
      <w:r w:rsidR="0017161F" w:rsidRPr="00960D90">
        <w:rPr>
          <w:iCs/>
        </w:rPr>
        <w:t xml:space="preserve">TTOT </w:t>
      </w:r>
      <w:r w:rsidRPr="00960D90">
        <w:rPr>
          <w:iCs/>
        </w:rPr>
        <w:t>KM</w:t>
      </w:r>
      <w:r w:rsidR="0017161F" w:rsidRPr="00960D90">
        <w:rPr>
          <w:iCs/>
        </w:rPr>
        <w:t>, patients receiving treatment, and PFS ‘on treatment’ curve (model)</w:t>
      </w:r>
      <w:r w:rsidRPr="00960D90">
        <w:rPr>
          <w:iCs/>
        </w:rPr>
        <w:t xml:space="preserve"> for Glofit-GemOx and R-</w:t>
      </w:r>
      <w:proofErr w:type="spellStart"/>
      <w:r w:rsidRPr="00960D90">
        <w:rPr>
          <w:iCs/>
        </w:rPr>
        <w:t>GemOx</w:t>
      </w:r>
      <w:proofErr w:type="spellEnd"/>
      <w:r w:rsidR="005A5D82" w:rsidRPr="00960D90">
        <w:rPr>
          <w:iCs/>
        </w:rPr>
        <w:t xml:space="preserve"> for the submission base case</w:t>
      </w:r>
    </w:p>
    <w:tbl>
      <w:tblPr>
        <w:tblStyle w:val="TableGrid"/>
        <w:tblW w:w="51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1"/>
      </w:tblGrid>
      <w:tr w:rsidR="00CE4EBF" w:rsidRPr="00935CE1" w14:paraId="7F44C21F" w14:textId="77777777" w:rsidTr="00F00EFC">
        <w:trPr>
          <w:trHeight w:val="397"/>
        </w:trPr>
        <w:tc>
          <w:tcPr>
            <w:tcW w:w="2499" w:type="pct"/>
          </w:tcPr>
          <w:p w14:paraId="78A038EF" w14:textId="0EE5127A" w:rsidR="00CE4EBF" w:rsidRPr="00960D90" w:rsidRDefault="00CE4EBF" w:rsidP="00977721">
            <w:pPr>
              <w:pStyle w:val="In-tableHeading"/>
              <w:rPr>
                <w:iCs/>
                <w:noProof/>
                <w:lang w:val="en-AU"/>
              </w:rPr>
            </w:pPr>
            <w:r w:rsidRPr="00960D90">
              <w:rPr>
                <w:iCs/>
                <w:noProof/>
                <w:sz w:val="18"/>
                <w:lang w:val="en-AU"/>
              </w:rPr>
              <w:t xml:space="preserve">[A] Glofitamab KM TTOT + modeled TTOT &amp; PFS ‘on treatment’ </w:t>
            </w:r>
          </w:p>
        </w:tc>
        <w:tc>
          <w:tcPr>
            <w:tcW w:w="2501" w:type="pct"/>
          </w:tcPr>
          <w:p w14:paraId="35B5171F" w14:textId="57330CA8" w:rsidR="00CE4EBF" w:rsidRPr="00935CE1" w:rsidRDefault="00CE4EBF" w:rsidP="00977721">
            <w:pPr>
              <w:pStyle w:val="In-tableHeading"/>
              <w:rPr>
                <w:iCs/>
                <w:noProof/>
                <w:lang w:val="en-AU"/>
              </w:rPr>
            </w:pPr>
            <w:r w:rsidRPr="00960D90">
              <w:rPr>
                <w:iCs/>
                <w:noProof/>
                <w:sz w:val="18"/>
                <w:lang w:val="en-AU"/>
              </w:rPr>
              <w:t>[B] Rituximab KM TTOT + modeled TTOT &amp; PFS ‘on treatment’</w:t>
            </w:r>
          </w:p>
        </w:tc>
      </w:tr>
      <w:tr w:rsidR="00CE4EBF" w:rsidRPr="00935CE1" w14:paraId="78F94CF6" w14:textId="77777777" w:rsidTr="00F00EFC">
        <w:trPr>
          <w:trHeight w:val="3096"/>
        </w:trPr>
        <w:tc>
          <w:tcPr>
            <w:tcW w:w="2499" w:type="pct"/>
          </w:tcPr>
          <w:p w14:paraId="0BD81281" w14:textId="0BC49584" w:rsidR="00CE4EBF" w:rsidRPr="00935CE1" w:rsidRDefault="00F72950" w:rsidP="00977721">
            <w:pPr>
              <w:pStyle w:val="In-tableHeading"/>
              <w:rPr>
                <w:iCs/>
                <w:noProof/>
                <w:lang w:val="en-AU"/>
              </w:rPr>
            </w:pPr>
            <w:r w:rsidRPr="00935CE1">
              <w:rPr>
                <w:iCs/>
                <w:noProof/>
                <w:lang w:val="en-AU"/>
              </w:rPr>
              <w:drawing>
                <wp:inline distT="0" distB="0" distL="0" distR="0" wp14:anchorId="6A53B3A0" wp14:editId="5F970574">
                  <wp:extent cx="2647665" cy="1956358"/>
                  <wp:effectExtent l="0" t="0" r="635" b="6350"/>
                  <wp:docPr id="30" name="Picture 30" descr="Figure 5: TTOT KM, patients receiving treatment, and PFS ‘on treatment’ curve (model) for Glofit-GemOx and R-GemOx for the submission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5: TTOT KM, patients receiving treatment, and PFS ‘on treatment’ curve (model) for Glofit-GemOx and R-GemOx for the submission base ca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2414" cy="1959867"/>
                          </a:xfrm>
                          <a:prstGeom prst="rect">
                            <a:avLst/>
                          </a:prstGeom>
                          <a:noFill/>
                        </pic:spPr>
                      </pic:pic>
                    </a:graphicData>
                  </a:graphic>
                </wp:inline>
              </w:drawing>
            </w:r>
          </w:p>
        </w:tc>
        <w:tc>
          <w:tcPr>
            <w:tcW w:w="2501" w:type="pct"/>
          </w:tcPr>
          <w:p w14:paraId="7B4AA06C" w14:textId="30D573D2" w:rsidR="00CE4EBF" w:rsidRPr="00935CE1" w:rsidRDefault="00CE4EBF" w:rsidP="00977721">
            <w:pPr>
              <w:pStyle w:val="In-tableHeading"/>
              <w:rPr>
                <w:iCs/>
                <w:noProof/>
                <w:lang w:val="en-AU"/>
              </w:rPr>
            </w:pPr>
            <w:r w:rsidRPr="00935CE1">
              <w:rPr>
                <w:iCs/>
                <w:noProof/>
                <w:lang w:val="en-AU"/>
              </w:rPr>
              <mc:AlternateContent>
                <mc:Choice Requires="wps">
                  <w:drawing>
                    <wp:anchor distT="0" distB="0" distL="114300" distR="114300" simplePos="0" relativeHeight="251658240" behindDoc="0" locked="0" layoutInCell="1" allowOverlap="1" wp14:anchorId="6F71BA58" wp14:editId="7906B488">
                      <wp:simplePos x="0" y="0"/>
                      <wp:positionH relativeFrom="column">
                        <wp:posOffset>398780</wp:posOffset>
                      </wp:positionH>
                      <wp:positionV relativeFrom="paragraph">
                        <wp:posOffset>47459</wp:posOffset>
                      </wp:positionV>
                      <wp:extent cx="45719" cy="45719"/>
                      <wp:effectExtent l="0" t="0" r="0" b="0"/>
                      <wp:wrapNone/>
                      <wp:docPr id="39" name="Oval 39"/>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30D80E" id="Oval 39" o:spid="_x0000_s1026" style="position:absolute;margin-left:31.4pt;margin-top:3.75pt;width:3.6pt;height:3.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" fillcolor="#c0504d [3205]" stroked="f" strokeweight="2pt"/>
                  </w:pict>
                </mc:Fallback>
              </mc:AlternateContent>
            </w:r>
            <w:r w:rsidR="00F72950" w:rsidRPr="00935CE1">
              <w:rPr>
                <w:iCs/>
                <w:noProof/>
                <w:lang w:val="en-AU"/>
              </w:rPr>
              <w:drawing>
                <wp:inline distT="0" distB="0" distL="0" distR="0" wp14:anchorId="39509A64" wp14:editId="3971ADAE">
                  <wp:extent cx="2715838" cy="1950670"/>
                  <wp:effectExtent l="0" t="0" r="8890" b="0"/>
                  <wp:docPr id="31" name="Picture 31" descr="Figure 5: TTOT KM, patients receiving treatment, and PFS ‘on treatment’ curve (model) for Glofit-GemOx and R-GemOx for the submission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5: TTOT KM, patients receiving treatment, and PFS ‘on treatment’ curve (model) for Glofit-GemOx and R-GemOx for the submission base cas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9382" cy="1953216"/>
                          </a:xfrm>
                          <a:prstGeom prst="rect">
                            <a:avLst/>
                          </a:prstGeom>
                          <a:noFill/>
                        </pic:spPr>
                      </pic:pic>
                    </a:graphicData>
                  </a:graphic>
                </wp:inline>
              </w:drawing>
            </w:r>
          </w:p>
        </w:tc>
      </w:tr>
    </w:tbl>
    <w:p w14:paraId="6F3B7748" w14:textId="77777777" w:rsidR="00CE4EBF" w:rsidRPr="00935CE1" w:rsidRDefault="00CE4EBF" w:rsidP="00CE4EBF">
      <w:pPr>
        <w:pStyle w:val="TableFooter"/>
        <w:rPr>
          <w:iCs/>
        </w:rPr>
      </w:pPr>
      <w:r w:rsidRPr="00935CE1">
        <w:rPr>
          <w:iCs/>
        </w:rPr>
        <w:t xml:space="preserve">Source: Constructed during the evaluation using data from the </w:t>
      </w:r>
      <w:proofErr w:type="spellStart"/>
      <w:r w:rsidRPr="00935CE1">
        <w:rPr>
          <w:iCs/>
        </w:rPr>
        <w:t>STARGLO_statistical</w:t>
      </w:r>
      <w:proofErr w:type="spellEnd"/>
      <w:r w:rsidRPr="00935CE1">
        <w:rPr>
          <w:iCs/>
        </w:rPr>
        <w:t xml:space="preserve"> appendix.xlsx.</w:t>
      </w:r>
    </w:p>
    <w:p w14:paraId="2280932C" w14:textId="77777777" w:rsidR="00DA2482" w:rsidRPr="00935CE1" w:rsidRDefault="00CE4EBF" w:rsidP="00DA2482">
      <w:pPr>
        <w:pStyle w:val="TableFooter"/>
        <w:rPr>
          <w:iCs/>
        </w:rPr>
      </w:pPr>
      <w:proofErr w:type="spellStart"/>
      <w:r w:rsidRPr="00935CE1">
        <w:rPr>
          <w:iCs/>
        </w:rPr>
        <w:t>Glofit</w:t>
      </w:r>
      <w:proofErr w:type="spellEnd"/>
      <w:r w:rsidRPr="00935CE1">
        <w:rPr>
          <w:iCs/>
        </w:rPr>
        <w:t>=glofitamab; KM=Kaplan-Meier; PFS=progression-free survival; R=rituximab; TTOT=total time on treatment.</w:t>
      </w:r>
      <w:r w:rsidR="00DA2482" w:rsidRPr="00935CE1">
        <w:rPr>
          <w:iCs/>
        </w:rPr>
        <w:t xml:space="preserve"> </w:t>
      </w:r>
    </w:p>
    <w:p w14:paraId="01ADD3DA" w14:textId="03A831E6" w:rsidR="00CE4EBF" w:rsidRPr="00935CE1" w:rsidRDefault="00DA2482" w:rsidP="00DA2482">
      <w:pPr>
        <w:pStyle w:val="TableFooter"/>
        <w:spacing w:after="240"/>
        <w:rPr>
          <w:iCs/>
        </w:rPr>
      </w:pPr>
      <w:r w:rsidRPr="00935CE1">
        <w:rPr>
          <w:iCs/>
        </w:rPr>
        <w:t>Note: One data point (0, 100%) was added to the KM curves during graph construction to reflect that 100% of the exposed population received the treatment at time zero.</w:t>
      </w:r>
    </w:p>
    <w:p w14:paraId="7A3E3EE2" w14:textId="1AC4DC5C" w:rsidR="00176820" w:rsidRPr="00935CE1" w:rsidDel="004238AC" w:rsidRDefault="00176820" w:rsidP="00176820">
      <w:pPr>
        <w:pStyle w:val="Caption"/>
        <w:rPr>
          <w:iCs/>
        </w:rPr>
      </w:pPr>
      <w:bookmarkStart w:id="74" w:name="_Ref196647344"/>
      <w:r w:rsidRPr="00935CE1">
        <w:rPr>
          <w:iCs/>
        </w:rPr>
        <w:t xml:space="preserve">Table </w:t>
      </w:r>
      <w:r w:rsidR="00A53E6E" w:rsidRPr="00935CE1">
        <w:rPr>
          <w:iCs/>
        </w:rPr>
        <w:fldChar w:fldCharType="begin" w:fldLock="1"/>
      </w:r>
      <w:r w:rsidR="00A53E6E" w:rsidRPr="00935CE1">
        <w:rPr>
          <w:iCs/>
        </w:rPr>
        <w:instrText xml:space="preserve"> SEQ Table \* ARABIC </w:instrText>
      </w:r>
      <w:r w:rsidR="00A53E6E" w:rsidRPr="00935CE1">
        <w:rPr>
          <w:iCs/>
        </w:rPr>
        <w:fldChar w:fldCharType="separate"/>
      </w:r>
      <w:r w:rsidR="003C21E7">
        <w:rPr>
          <w:iCs/>
          <w:noProof/>
        </w:rPr>
        <w:t>10</w:t>
      </w:r>
      <w:r w:rsidR="00A53E6E" w:rsidRPr="00935CE1">
        <w:rPr>
          <w:iCs/>
          <w:noProof/>
        </w:rPr>
        <w:fldChar w:fldCharType="end"/>
      </w:r>
      <w:bookmarkEnd w:id="74"/>
      <w:r w:rsidRPr="00935CE1">
        <w:rPr>
          <w:iCs/>
        </w:rPr>
        <w:t xml:space="preserve">: </w:t>
      </w:r>
      <w:r w:rsidR="0078273A" w:rsidRPr="00935CE1">
        <w:rPr>
          <w:iCs/>
        </w:rPr>
        <w:t xml:space="preserve">Average treatment cycles in the </w:t>
      </w:r>
      <w:r w:rsidR="005A5D82" w:rsidRPr="00935CE1">
        <w:rPr>
          <w:iCs/>
        </w:rPr>
        <w:t xml:space="preserve">submission </w:t>
      </w:r>
      <w:r w:rsidR="0078273A" w:rsidRPr="00935CE1">
        <w:rPr>
          <w:iCs/>
        </w:rPr>
        <w:t>model (used to assign costs) and reported in STARGLO</w:t>
      </w:r>
    </w:p>
    <w:tbl>
      <w:tblPr>
        <w:tblStyle w:val="TableGrid2"/>
        <w:tblW w:w="0" w:type="auto"/>
        <w:tblLayout w:type="fixed"/>
        <w:tblLook w:val="04A0" w:firstRow="1" w:lastRow="0" w:firstColumn="1" w:lastColumn="0" w:noHBand="0" w:noVBand="1"/>
        <w:tblCaption w:val="Table 10: Average treatment cycles in the submission model (used to assign costs) and reported in STARGLO"/>
      </w:tblPr>
      <w:tblGrid>
        <w:gridCol w:w="1696"/>
        <w:gridCol w:w="1174"/>
        <w:gridCol w:w="1307"/>
        <w:gridCol w:w="1140"/>
        <w:gridCol w:w="1074"/>
        <w:gridCol w:w="1344"/>
        <w:gridCol w:w="1267"/>
      </w:tblGrid>
      <w:tr w:rsidR="00176820" w:rsidRPr="00935CE1" w:rsidDel="004238AC" w14:paraId="20CF9692" w14:textId="77777777" w:rsidTr="00F00EFC">
        <w:trPr>
          <w:trHeight w:val="20"/>
          <w:tblHeader/>
        </w:trPr>
        <w:tc>
          <w:tcPr>
            <w:tcW w:w="1696" w:type="dxa"/>
            <w:vMerge w:val="restart"/>
            <w:noWrap/>
            <w:vAlign w:val="center"/>
          </w:tcPr>
          <w:p w14:paraId="1E67B0BA" w14:textId="32DC6DFD" w:rsidR="00176820" w:rsidRPr="00935CE1" w:rsidDel="004238AC" w:rsidRDefault="00176820" w:rsidP="0078273A">
            <w:pPr>
              <w:pStyle w:val="Tabletextcentre"/>
              <w:keepNext/>
              <w:rPr>
                <w:rFonts w:ascii="Arial Narrow" w:hAnsi="Arial Narrow"/>
                <w:b/>
                <w:bCs/>
                <w:iCs/>
                <w:sz w:val="20"/>
                <w:szCs w:val="20"/>
              </w:rPr>
            </w:pPr>
            <w:r w:rsidRPr="00935CE1" w:rsidDel="004238AC">
              <w:rPr>
                <w:rFonts w:ascii="Arial Narrow" w:hAnsi="Arial Narrow"/>
                <w:b/>
                <w:bCs/>
                <w:iCs/>
                <w:sz w:val="20"/>
                <w:szCs w:val="20"/>
              </w:rPr>
              <w:t>Treatment</w:t>
            </w:r>
          </w:p>
        </w:tc>
        <w:tc>
          <w:tcPr>
            <w:tcW w:w="3621" w:type="dxa"/>
            <w:gridSpan w:val="3"/>
            <w:noWrap/>
          </w:tcPr>
          <w:p w14:paraId="0AF38E83" w14:textId="77777777" w:rsidR="00176820" w:rsidRPr="00935CE1" w:rsidDel="004238AC" w:rsidRDefault="00176820" w:rsidP="00176820">
            <w:pPr>
              <w:pStyle w:val="Tabletextcentre"/>
              <w:keepNext/>
              <w:rPr>
                <w:rFonts w:ascii="Arial Narrow" w:hAnsi="Arial Narrow"/>
                <w:b/>
                <w:bCs/>
                <w:iCs/>
                <w:sz w:val="20"/>
                <w:szCs w:val="20"/>
              </w:rPr>
            </w:pPr>
            <w:r w:rsidRPr="00935CE1" w:rsidDel="004238AC">
              <w:rPr>
                <w:rFonts w:ascii="Arial Narrow" w:hAnsi="Arial Narrow"/>
                <w:b/>
                <w:bCs/>
                <w:iCs/>
                <w:sz w:val="20"/>
                <w:szCs w:val="20"/>
              </w:rPr>
              <w:t>Glofit-GemOx</w:t>
            </w:r>
          </w:p>
        </w:tc>
        <w:tc>
          <w:tcPr>
            <w:tcW w:w="3684" w:type="dxa"/>
            <w:gridSpan w:val="3"/>
          </w:tcPr>
          <w:p w14:paraId="3CAF013F" w14:textId="77777777" w:rsidR="00176820" w:rsidRPr="00935CE1" w:rsidDel="004238AC" w:rsidRDefault="00176820" w:rsidP="00176820">
            <w:pPr>
              <w:pStyle w:val="Tabletextcentre"/>
              <w:keepNext/>
              <w:rPr>
                <w:rFonts w:ascii="Arial Narrow" w:hAnsi="Arial Narrow"/>
                <w:b/>
                <w:bCs/>
                <w:iCs/>
                <w:sz w:val="20"/>
                <w:szCs w:val="20"/>
              </w:rPr>
            </w:pPr>
            <w:r w:rsidRPr="00935CE1" w:rsidDel="004238AC">
              <w:rPr>
                <w:rFonts w:ascii="Arial Narrow" w:hAnsi="Arial Narrow"/>
                <w:b/>
                <w:bCs/>
                <w:iCs/>
                <w:sz w:val="20"/>
                <w:szCs w:val="20"/>
              </w:rPr>
              <w:t>R-</w:t>
            </w:r>
            <w:proofErr w:type="spellStart"/>
            <w:r w:rsidRPr="00935CE1" w:rsidDel="004238AC">
              <w:rPr>
                <w:rFonts w:ascii="Arial Narrow" w:hAnsi="Arial Narrow"/>
                <w:b/>
                <w:bCs/>
                <w:iCs/>
                <w:sz w:val="20"/>
                <w:szCs w:val="20"/>
              </w:rPr>
              <w:t>GemOx</w:t>
            </w:r>
            <w:proofErr w:type="spellEnd"/>
          </w:p>
        </w:tc>
      </w:tr>
      <w:tr w:rsidR="00176820" w:rsidRPr="00935CE1" w:rsidDel="004238AC" w14:paraId="50B8A0B3" w14:textId="77777777" w:rsidTr="00F00EFC">
        <w:trPr>
          <w:trHeight w:val="20"/>
          <w:tblHeader/>
        </w:trPr>
        <w:tc>
          <w:tcPr>
            <w:tcW w:w="1696" w:type="dxa"/>
            <w:vMerge/>
            <w:noWrap/>
            <w:hideMark/>
          </w:tcPr>
          <w:p w14:paraId="56D019DB" w14:textId="77777777" w:rsidR="00176820" w:rsidRPr="00935CE1" w:rsidDel="004238AC" w:rsidRDefault="00176820" w:rsidP="00176820">
            <w:pPr>
              <w:pStyle w:val="Tabletextcentre"/>
              <w:keepNext/>
              <w:rPr>
                <w:rFonts w:ascii="Arial Narrow" w:hAnsi="Arial Narrow"/>
                <w:b/>
                <w:bCs/>
                <w:iCs/>
                <w:sz w:val="20"/>
                <w:szCs w:val="20"/>
              </w:rPr>
            </w:pPr>
          </w:p>
        </w:tc>
        <w:tc>
          <w:tcPr>
            <w:tcW w:w="1174" w:type="dxa"/>
            <w:noWrap/>
            <w:hideMark/>
          </w:tcPr>
          <w:p w14:paraId="087CD6F4" w14:textId="77777777" w:rsidR="00176820" w:rsidRPr="00935CE1" w:rsidDel="004238AC" w:rsidRDefault="00176820" w:rsidP="00176820">
            <w:pPr>
              <w:pStyle w:val="Tabletextcentre"/>
              <w:keepNext/>
              <w:rPr>
                <w:rFonts w:ascii="Arial Narrow" w:hAnsi="Arial Narrow"/>
                <w:b/>
                <w:bCs/>
                <w:iCs/>
                <w:sz w:val="20"/>
                <w:szCs w:val="20"/>
              </w:rPr>
            </w:pPr>
            <w:proofErr w:type="spellStart"/>
            <w:r w:rsidRPr="00935CE1" w:rsidDel="004238AC">
              <w:rPr>
                <w:rFonts w:ascii="Arial Narrow" w:hAnsi="Arial Narrow"/>
                <w:b/>
                <w:bCs/>
                <w:iCs/>
                <w:sz w:val="20"/>
                <w:szCs w:val="20"/>
              </w:rPr>
              <w:t>Glofitamab</w:t>
            </w:r>
            <w:r w:rsidRPr="00935CE1" w:rsidDel="004238AC">
              <w:rPr>
                <w:rFonts w:ascii="Arial Narrow" w:hAnsi="Arial Narrow"/>
                <w:b/>
                <w:bCs/>
                <w:iCs/>
                <w:sz w:val="20"/>
                <w:szCs w:val="20"/>
                <w:vertAlign w:val="superscript"/>
              </w:rPr>
              <w:t>a</w:t>
            </w:r>
            <w:proofErr w:type="spellEnd"/>
          </w:p>
        </w:tc>
        <w:tc>
          <w:tcPr>
            <w:tcW w:w="1307" w:type="dxa"/>
            <w:noWrap/>
            <w:hideMark/>
          </w:tcPr>
          <w:p w14:paraId="384F13CD" w14:textId="77777777" w:rsidR="00176820" w:rsidRPr="00935CE1" w:rsidDel="004238AC" w:rsidRDefault="00176820" w:rsidP="00176820">
            <w:pPr>
              <w:pStyle w:val="Tabletextcentre"/>
              <w:keepNext/>
              <w:rPr>
                <w:rFonts w:ascii="Arial Narrow" w:hAnsi="Arial Narrow"/>
                <w:b/>
                <w:bCs/>
                <w:iCs/>
                <w:sz w:val="20"/>
                <w:szCs w:val="20"/>
              </w:rPr>
            </w:pPr>
            <w:proofErr w:type="spellStart"/>
            <w:r w:rsidRPr="00935CE1" w:rsidDel="004238AC">
              <w:rPr>
                <w:rFonts w:ascii="Arial Narrow" w:hAnsi="Arial Narrow"/>
                <w:b/>
                <w:bCs/>
                <w:iCs/>
                <w:sz w:val="20"/>
                <w:szCs w:val="20"/>
              </w:rPr>
              <w:t>Gemcitabine</w:t>
            </w:r>
            <w:r w:rsidRPr="00935CE1" w:rsidDel="004238AC">
              <w:rPr>
                <w:rFonts w:ascii="Arial Narrow" w:hAnsi="Arial Narrow"/>
                <w:b/>
                <w:bCs/>
                <w:iCs/>
                <w:sz w:val="20"/>
                <w:szCs w:val="20"/>
                <w:vertAlign w:val="superscript"/>
              </w:rPr>
              <w:t>b</w:t>
            </w:r>
            <w:proofErr w:type="spellEnd"/>
          </w:p>
        </w:tc>
        <w:tc>
          <w:tcPr>
            <w:tcW w:w="1140" w:type="dxa"/>
            <w:noWrap/>
            <w:hideMark/>
          </w:tcPr>
          <w:p w14:paraId="4CB76C0D" w14:textId="77777777" w:rsidR="00176820" w:rsidRPr="00935CE1" w:rsidDel="004238AC" w:rsidRDefault="00176820" w:rsidP="00176820">
            <w:pPr>
              <w:pStyle w:val="Tabletextcentre"/>
              <w:keepNext/>
              <w:rPr>
                <w:rFonts w:ascii="Arial Narrow" w:hAnsi="Arial Narrow"/>
                <w:b/>
                <w:bCs/>
                <w:iCs/>
                <w:sz w:val="20"/>
                <w:szCs w:val="20"/>
              </w:rPr>
            </w:pPr>
            <w:proofErr w:type="spellStart"/>
            <w:r w:rsidRPr="00935CE1" w:rsidDel="004238AC">
              <w:rPr>
                <w:rFonts w:ascii="Arial Narrow" w:hAnsi="Arial Narrow"/>
                <w:b/>
                <w:bCs/>
                <w:iCs/>
                <w:sz w:val="20"/>
                <w:szCs w:val="20"/>
              </w:rPr>
              <w:t>Oxaliplatin</w:t>
            </w:r>
            <w:r w:rsidRPr="00935CE1" w:rsidDel="004238AC">
              <w:rPr>
                <w:rFonts w:ascii="Arial Narrow" w:hAnsi="Arial Narrow"/>
                <w:b/>
                <w:bCs/>
                <w:iCs/>
                <w:sz w:val="20"/>
                <w:szCs w:val="20"/>
                <w:vertAlign w:val="superscript"/>
              </w:rPr>
              <w:t>c</w:t>
            </w:r>
            <w:proofErr w:type="spellEnd"/>
          </w:p>
        </w:tc>
        <w:tc>
          <w:tcPr>
            <w:tcW w:w="1074" w:type="dxa"/>
          </w:tcPr>
          <w:p w14:paraId="33B8FAA0" w14:textId="77777777" w:rsidR="00176820" w:rsidRPr="00935CE1" w:rsidDel="004238AC" w:rsidRDefault="00176820" w:rsidP="00176820">
            <w:pPr>
              <w:pStyle w:val="Tabletextcentre"/>
              <w:keepNext/>
              <w:rPr>
                <w:rFonts w:ascii="Arial Narrow" w:hAnsi="Arial Narrow"/>
                <w:b/>
                <w:bCs/>
                <w:iCs/>
                <w:sz w:val="20"/>
                <w:szCs w:val="20"/>
              </w:rPr>
            </w:pPr>
            <w:proofErr w:type="spellStart"/>
            <w:r w:rsidRPr="00935CE1" w:rsidDel="004238AC">
              <w:rPr>
                <w:rFonts w:ascii="Arial Narrow" w:hAnsi="Arial Narrow"/>
                <w:b/>
                <w:bCs/>
                <w:iCs/>
                <w:sz w:val="20"/>
                <w:szCs w:val="20"/>
              </w:rPr>
              <w:t>Rituximab</w:t>
            </w:r>
            <w:r w:rsidRPr="00935CE1" w:rsidDel="004238AC">
              <w:rPr>
                <w:rFonts w:ascii="Arial Narrow" w:hAnsi="Arial Narrow"/>
                <w:b/>
                <w:bCs/>
                <w:iCs/>
                <w:sz w:val="20"/>
                <w:szCs w:val="20"/>
                <w:vertAlign w:val="superscript"/>
              </w:rPr>
              <w:t>d</w:t>
            </w:r>
            <w:proofErr w:type="spellEnd"/>
          </w:p>
        </w:tc>
        <w:tc>
          <w:tcPr>
            <w:tcW w:w="1344" w:type="dxa"/>
          </w:tcPr>
          <w:p w14:paraId="5A73A60A" w14:textId="77777777" w:rsidR="00176820" w:rsidRPr="00935CE1" w:rsidDel="004238AC" w:rsidRDefault="00176820" w:rsidP="00176820">
            <w:pPr>
              <w:pStyle w:val="Tabletextcentre"/>
              <w:keepNext/>
              <w:rPr>
                <w:rFonts w:ascii="Arial Narrow" w:hAnsi="Arial Narrow"/>
                <w:b/>
                <w:bCs/>
                <w:iCs/>
                <w:sz w:val="20"/>
                <w:szCs w:val="20"/>
              </w:rPr>
            </w:pPr>
            <w:proofErr w:type="spellStart"/>
            <w:r w:rsidRPr="00935CE1" w:rsidDel="004238AC">
              <w:rPr>
                <w:rFonts w:ascii="Arial Narrow" w:hAnsi="Arial Narrow"/>
                <w:b/>
                <w:bCs/>
                <w:iCs/>
                <w:sz w:val="20"/>
                <w:szCs w:val="20"/>
              </w:rPr>
              <w:t>Gemcitabine</w:t>
            </w:r>
            <w:r w:rsidRPr="00935CE1" w:rsidDel="004238AC">
              <w:rPr>
                <w:rFonts w:ascii="Arial Narrow" w:hAnsi="Arial Narrow"/>
                <w:b/>
                <w:bCs/>
                <w:iCs/>
                <w:sz w:val="20"/>
                <w:szCs w:val="20"/>
                <w:vertAlign w:val="superscript"/>
              </w:rPr>
              <w:t>b</w:t>
            </w:r>
            <w:proofErr w:type="spellEnd"/>
            <w:r w:rsidRPr="00935CE1" w:rsidDel="004238AC">
              <w:rPr>
                <w:rFonts w:ascii="Arial Narrow" w:hAnsi="Arial Narrow"/>
                <w:b/>
                <w:bCs/>
                <w:iCs/>
                <w:sz w:val="20"/>
                <w:szCs w:val="20"/>
              </w:rPr>
              <w:t xml:space="preserve"> </w:t>
            </w:r>
          </w:p>
        </w:tc>
        <w:tc>
          <w:tcPr>
            <w:tcW w:w="1266" w:type="dxa"/>
          </w:tcPr>
          <w:p w14:paraId="21B5A646" w14:textId="77777777" w:rsidR="00176820" w:rsidRPr="00935CE1" w:rsidDel="004238AC" w:rsidRDefault="00176820" w:rsidP="00176820">
            <w:pPr>
              <w:pStyle w:val="Tabletextcentre"/>
              <w:keepNext/>
              <w:rPr>
                <w:rFonts w:ascii="Arial Narrow" w:hAnsi="Arial Narrow"/>
                <w:b/>
                <w:bCs/>
                <w:iCs/>
                <w:sz w:val="20"/>
                <w:szCs w:val="20"/>
              </w:rPr>
            </w:pPr>
            <w:proofErr w:type="spellStart"/>
            <w:r w:rsidRPr="00935CE1" w:rsidDel="004238AC">
              <w:rPr>
                <w:rFonts w:ascii="Arial Narrow" w:hAnsi="Arial Narrow"/>
                <w:b/>
                <w:bCs/>
                <w:iCs/>
                <w:sz w:val="20"/>
                <w:szCs w:val="20"/>
              </w:rPr>
              <w:t>Oxaliplatin</w:t>
            </w:r>
            <w:r w:rsidRPr="00935CE1" w:rsidDel="004238AC">
              <w:rPr>
                <w:rFonts w:ascii="Arial Narrow" w:hAnsi="Arial Narrow"/>
                <w:b/>
                <w:bCs/>
                <w:iCs/>
                <w:sz w:val="20"/>
                <w:szCs w:val="20"/>
                <w:vertAlign w:val="superscript"/>
              </w:rPr>
              <w:t>c</w:t>
            </w:r>
            <w:proofErr w:type="spellEnd"/>
          </w:p>
        </w:tc>
      </w:tr>
      <w:tr w:rsidR="00176820" w:rsidRPr="00935CE1" w:rsidDel="004238AC" w14:paraId="698605B8" w14:textId="77777777" w:rsidTr="00F00EFC">
        <w:trPr>
          <w:trHeight w:val="20"/>
        </w:trPr>
        <w:tc>
          <w:tcPr>
            <w:tcW w:w="9002" w:type="dxa"/>
            <w:gridSpan w:val="7"/>
            <w:tcBorders>
              <w:top w:val="single" w:sz="4" w:space="0" w:color="auto"/>
              <w:left w:val="single" w:sz="4" w:space="0" w:color="auto"/>
              <w:bottom w:val="single" w:sz="4" w:space="0" w:color="auto"/>
              <w:right w:val="single" w:sz="4" w:space="0" w:color="auto"/>
              <w:tr2bl w:val="nil"/>
            </w:tcBorders>
            <w:noWrap/>
          </w:tcPr>
          <w:p w14:paraId="55F9C1A0" w14:textId="77777777" w:rsidR="00176820" w:rsidRPr="00960D90" w:rsidDel="004238AC" w:rsidRDefault="00176820" w:rsidP="00176820">
            <w:pPr>
              <w:pStyle w:val="Tabletextcentre"/>
              <w:keepNext/>
              <w:jc w:val="left"/>
              <w:rPr>
                <w:rFonts w:ascii="Arial Narrow" w:hAnsi="Arial Narrow" w:cs="Calibri"/>
                <w:b/>
                <w:bCs/>
                <w:iCs/>
                <w:color w:val="000000"/>
                <w:sz w:val="20"/>
                <w:szCs w:val="20"/>
              </w:rPr>
            </w:pPr>
            <w:r w:rsidRPr="00960D90">
              <w:rPr>
                <w:rFonts w:ascii="Arial Narrow" w:hAnsi="Arial Narrow" w:cs="Calibri"/>
                <w:b/>
                <w:bCs/>
                <w:iCs/>
                <w:color w:val="000000"/>
                <w:sz w:val="20"/>
                <w:szCs w:val="20"/>
              </w:rPr>
              <w:t>Number of treatment cycles in the modelled economic evaluation</w:t>
            </w:r>
          </w:p>
        </w:tc>
      </w:tr>
      <w:tr w:rsidR="00176820" w:rsidRPr="00935CE1" w:rsidDel="004238AC" w14:paraId="533784B2" w14:textId="77777777" w:rsidTr="00F00EFC">
        <w:trPr>
          <w:trHeight w:val="20"/>
        </w:trPr>
        <w:tc>
          <w:tcPr>
            <w:tcW w:w="1696" w:type="dxa"/>
            <w:tcBorders>
              <w:top w:val="single" w:sz="4" w:space="0" w:color="auto"/>
              <w:left w:val="single" w:sz="4" w:space="0" w:color="auto"/>
              <w:bottom w:val="single" w:sz="4" w:space="0" w:color="auto"/>
              <w:right w:val="single" w:sz="4" w:space="0" w:color="auto"/>
              <w:tr2bl w:val="nil"/>
            </w:tcBorders>
            <w:noWrap/>
          </w:tcPr>
          <w:p w14:paraId="55964194" w14:textId="77777777" w:rsidR="00176820" w:rsidRPr="00935CE1" w:rsidDel="004238AC" w:rsidRDefault="00176820" w:rsidP="00176820">
            <w:pPr>
              <w:pStyle w:val="Tabletextcentre"/>
              <w:keepNext/>
              <w:jc w:val="left"/>
              <w:rPr>
                <w:rFonts w:ascii="Arial Narrow" w:hAnsi="Arial Narrow"/>
                <w:iCs/>
                <w:color w:val="000000"/>
                <w:sz w:val="20"/>
                <w:szCs w:val="20"/>
              </w:rPr>
            </w:pPr>
            <w:r w:rsidRPr="00935CE1">
              <w:rPr>
                <w:rFonts w:ascii="Arial Narrow" w:hAnsi="Arial Narrow"/>
                <w:iCs/>
                <w:color w:val="000000"/>
                <w:sz w:val="20"/>
                <w:szCs w:val="20"/>
              </w:rPr>
              <w:t>Mean</w:t>
            </w:r>
          </w:p>
        </w:tc>
        <w:tc>
          <w:tcPr>
            <w:tcW w:w="1174" w:type="dxa"/>
            <w:tcBorders>
              <w:top w:val="single" w:sz="4" w:space="0" w:color="auto"/>
              <w:left w:val="single" w:sz="4" w:space="0" w:color="auto"/>
              <w:bottom w:val="single" w:sz="4" w:space="0" w:color="auto"/>
              <w:right w:val="single" w:sz="4" w:space="0" w:color="auto"/>
              <w:tr2bl w:val="nil"/>
            </w:tcBorders>
            <w:noWrap/>
          </w:tcPr>
          <w:p w14:paraId="005EAD86" w14:textId="77777777" w:rsidR="00176820" w:rsidRPr="00960D90" w:rsidDel="004238AC" w:rsidRDefault="00176820" w:rsidP="00176820">
            <w:pPr>
              <w:pStyle w:val="Tabletextcentre"/>
              <w:keepNext/>
              <w:rPr>
                <w:rFonts w:ascii="Arial Narrow" w:hAnsi="Arial Narrow" w:cs="Calibri"/>
                <w:iCs/>
                <w:color w:val="000000"/>
                <w:sz w:val="20"/>
                <w:szCs w:val="20"/>
              </w:rPr>
            </w:pPr>
            <w:r w:rsidRPr="00960D90" w:rsidDel="004238AC">
              <w:rPr>
                <w:rFonts w:ascii="Arial Narrow" w:hAnsi="Arial Narrow" w:cs="Calibri"/>
                <w:iCs/>
                <w:color w:val="000000"/>
                <w:sz w:val="20"/>
                <w:szCs w:val="20"/>
              </w:rPr>
              <w:t>8.1</w:t>
            </w:r>
          </w:p>
        </w:tc>
        <w:tc>
          <w:tcPr>
            <w:tcW w:w="1307" w:type="dxa"/>
            <w:tcBorders>
              <w:top w:val="single" w:sz="4" w:space="0" w:color="auto"/>
              <w:left w:val="single" w:sz="4" w:space="0" w:color="auto"/>
              <w:bottom w:val="single" w:sz="4" w:space="0" w:color="auto"/>
              <w:right w:val="single" w:sz="4" w:space="0" w:color="auto"/>
              <w:tr2bl w:val="nil"/>
            </w:tcBorders>
            <w:noWrap/>
          </w:tcPr>
          <w:p w14:paraId="4B33B097" w14:textId="77777777" w:rsidR="00176820" w:rsidRPr="00960D90" w:rsidDel="004238AC" w:rsidRDefault="00176820" w:rsidP="00176820">
            <w:pPr>
              <w:pStyle w:val="Tabletextcentre"/>
              <w:keepNext/>
              <w:rPr>
                <w:rFonts w:ascii="Arial Narrow" w:hAnsi="Arial Narrow" w:cs="Calibri"/>
                <w:iCs/>
                <w:color w:val="000000"/>
                <w:sz w:val="20"/>
                <w:szCs w:val="20"/>
              </w:rPr>
            </w:pPr>
            <w:r w:rsidRPr="00960D90" w:rsidDel="004238AC">
              <w:rPr>
                <w:rFonts w:ascii="Arial Narrow" w:hAnsi="Arial Narrow" w:cs="Calibri"/>
                <w:iCs/>
                <w:color w:val="000000"/>
                <w:sz w:val="20"/>
                <w:szCs w:val="20"/>
              </w:rPr>
              <w:t>5.</w:t>
            </w:r>
            <w:r w:rsidRPr="00960D90">
              <w:rPr>
                <w:rFonts w:ascii="Arial Narrow" w:hAnsi="Arial Narrow" w:cs="Calibri"/>
                <w:iCs/>
                <w:color w:val="000000"/>
                <w:sz w:val="20"/>
                <w:szCs w:val="20"/>
              </w:rPr>
              <w:t>9</w:t>
            </w:r>
          </w:p>
        </w:tc>
        <w:tc>
          <w:tcPr>
            <w:tcW w:w="1140" w:type="dxa"/>
            <w:tcBorders>
              <w:top w:val="single" w:sz="4" w:space="0" w:color="auto"/>
              <w:left w:val="single" w:sz="4" w:space="0" w:color="auto"/>
              <w:bottom w:val="single" w:sz="4" w:space="0" w:color="auto"/>
              <w:right w:val="single" w:sz="4" w:space="0" w:color="auto"/>
              <w:tr2bl w:val="nil"/>
            </w:tcBorders>
            <w:noWrap/>
          </w:tcPr>
          <w:p w14:paraId="190A7291" w14:textId="77777777" w:rsidR="00176820" w:rsidRPr="00960D90" w:rsidDel="004238AC" w:rsidRDefault="00176820" w:rsidP="00176820">
            <w:pPr>
              <w:pStyle w:val="Tabletextcentre"/>
              <w:keepNext/>
              <w:rPr>
                <w:rFonts w:ascii="Arial Narrow" w:hAnsi="Arial Narrow" w:cs="Calibri"/>
                <w:iCs/>
                <w:color w:val="000000"/>
                <w:sz w:val="20"/>
                <w:szCs w:val="20"/>
              </w:rPr>
            </w:pPr>
            <w:r w:rsidRPr="00960D90" w:rsidDel="004238AC">
              <w:rPr>
                <w:rFonts w:ascii="Arial Narrow" w:hAnsi="Arial Narrow" w:cs="Calibri"/>
                <w:iCs/>
                <w:color w:val="000000"/>
                <w:sz w:val="20"/>
                <w:szCs w:val="20"/>
              </w:rPr>
              <w:t>5.8</w:t>
            </w:r>
          </w:p>
        </w:tc>
        <w:tc>
          <w:tcPr>
            <w:tcW w:w="1074" w:type="dxa"/>
            <w:tcBorders>
              <w:top w:val="single" w:sz="4" w:space="0" w:color="auto"/>
              <w:left w:val="single" w:sz="4" w:space="0" w:color="auto"/>
              <w:bottom w:val="single" w:sz="4" w:space="0" w:color="auto"/>
              <w:right w:val="single" w:sz="4" w:space="0" w:color="auto"/>
              <w:tr2bl w:val="nil"/>
            </w:tcBorders>
          </w:tcPr>
          <w:p w14:paraId="40D9E125" w14:textId="77777777" w:rsidR="00176820" w:rsidRPr="00960D90" w:rsidDel="004238AC" w:rsidRDefault="00176820" w:rsidP="00176820">
            <w:pPr>
              <w:pStyle w:val="Tabletextcentre"/>
              <w:keepNext/>
              <w:rPr>
                <w:rFonts w:ascii="Arial Narrow" w:hAnsi="Arial Narrow" w:cs="Calibri"/>
                <w:iCs/>
                <w:color w:val="000000"/>
                <w:sz w:val="20"/>
                <w:szCs w:val="20"/>
              </w:rPr>
            </w:pPr>
            <w:r w:rsidRPr="00960D90" w:rsidDel="004238AC">
              <w:rPr>
                <w:rFonts w:ascii="Arial Narrow" w:hAnsi="Arial Narrow" w:cs="Calibri"/>
                <w:iCs/>
                <w:color w:val="000000"/>
                <w:sz w:val="20"/>
                <w:szCs w:val="20"/>
              </w:rPr>
              <w:t>4.</w:t>
            </w:r>
            <w:r w:rsidRPr="00960D90">
              <w:rPr>
                <w:rFonts w:ascii="Arial Narrow" w:hAnsi="Arial Narrow" w:cs="Calibri"/>
                <w:iCs/>
                <w:color w:val="000000"/>
                <w:sz w:val="20"/>
                <w:szCs w:val="20"/>
              </w:rPr>
              <w:t>3</w:t>
            </w:r>
          </w:p>
        </w:tc>
        <w:tc>
          <w:tcPr>
            <w:tcW w:w="1344" w:type="dxa"/>
            <w:tcBorders>
              <w:top w:val="single" w:sz="4" w:space="0" w:color="auto"/>
              <w:left w:val="single" w:sz="4" w:space="0" w:color="auto"/>
              <w:bottom w:val="single" w:sz="4" w:space="0" w:color="auto"/>
              <w:right w:val="single" w:sz="4" w:space="0" w:color="auto"/>
              <w:tr2bl w:val="nil"/>
            </w:tcBorders>
          </w:tcPr>
          <w:p w14:paraId="019F1253" w14:textId="77777777" w:rsidR="00176820" w:rsidRPr="00960D90" w:rsidDel="004238AC" w:rsidRDefault="00176820" w:rsidP="00176820">
            <w:pPr>
              <w:pStyle w:val="Tabletextcentre"/>
              <w:keepNext/>
              <w:rPr>
                <w:rFonts w:ascii="Arial Narrow" w:hAnsi="Arial Narrow" w:cs="Calibri"/>
                <w:iCs/>
                <w:color w:val="000000"/>
                <w:sz w:val="20"/>
                <w:szCs w:val="20"/>
              </w:rPr>
            </w:pPr>
            <w:r w:rsidRPr="00960D90" w:rsidDel="004238AC">
              <w:rPr>
                <w:rFonts w:ascii="Arial Narrow" w:hAnsi="Arial Narrow" w:cs="Calibri"/>
                <w:iCs/>
                <w:color w:val="000000"/>
                <w:sz w:val="20"/>
                <w:szCs w:val="20"/>
              </w:rPr>
              <w:t>3.9</w:t>
            </w:r>
          </w:p>
        </w:tc>
        <w:tc>
          <w:tcPr>
            <w:tcW w:w="1266" w:type="dxa"/>
            <w:tcBorders>
              <w:top w:val="single" w:sz="4" w:space="0" w:color="auto"/>
              <w:left w:val="single" w:sz="4" w:space="0" w:color="auto"/>
              <w:bottom w:val="single" w:sz="4" w:space="0" w:color="auto"/>
              <w:right w:val="single" w:sz="4" w:space="0" w:color="auto"/>
              <w:tr2bl w:val="nil"/>
            </w:tcBorders>
          </w:tcPr>
          <w:p w14:paraId="4E8EB160" w14:textId="77777777" w:rsidR="00176820" w:rsidRPr="00960D90" w:rsidDel="004238AC" w:rsidRDefault="00176820" w:rsidP="00176820">
            <w:pPr>
              <w:pStyle w:val="Tabletextcentre"/>
              <w:keepNext/>
              <w:rPr>
                <w:rFonts w:ascii="Arial Narrow" w:hAnsi="Arial Narrow" w:cs="Calibri"/>
                <w:iCs/>
                <w:color w:val="000000"/>
                <w:sz w:val="20"/>
                <w:szCs w:val="20"/>
              </w:rPr>
            </w:pPr>
            <w:r w:rsidRPr="00960D90" w:rsidDel="004238AC">
              <w:rPr>
                <w:rFonts w:ascii="Arial Narrow" w:hAnsi="Arial Narrow" w:cs="Calibri"/>
                <w:iCs/>
                <w:color w:val="000000"/>
                <w:sz w:val="20"/>
                <w:szCs w:val="20"/>
              </w:rPr>
              <w:t>3.</w:t>
            </w:r>
            <w:r w:rsidRPr="00960D90">
              <w:rPr>
                <w:rFonts w:ascii="Arial Narrow" w:hAnsi="Arial Narrow" w:cs="Calibri"/>
                <w:iCs/>
                <w:color w:val="000000"/>
                <w:sz w:val="20"/>
                <w:szCs w:val="20"/>
              </w:rPr>
              <w:t>6</w:t>
            </w:r>
          </w:p>
        </w:tc>
      </w:tr>
      <w:tr w:rsidR="00176820" w:rsidRPr="00935CE1" w:rsidDel="004238AC" w14:paraId="24EEDE19" w14:textId="77777777" w:rsidTr="00F00EFC">
        <w:trPr>
          <w:trHeight w:val="20"/>
        </w:trPr>
        <w:tc>
          <w:tcPr>
            <w:tcW w:w="9002" w:type="dxa"/>
            <w:gridSpan w:val="7"/>
            <w:tcBorders>
              <w:top w:val="single" w:sz="4" w:space="0" w:color="auto"/>
              <w:left w:val="single" w:sz="4" w:space="0" w:color="auto"/>
              <w:bottom w:val="single" w:sz="4" w:space="0" w:color="auto"/>
              <w:right w:val="single" w:sz="4" w:space="0" w:color="auto"/>
              <w:tr2bl w:val="nil"/>
            </w:tcBorders>
            <w:noWrap/>
          </w:tcPr>
          <w:p w14:paraId="13EA7749" w14:textId="77777777" w:rsidR="00176820" w:rsidRPr="00960D90" w:rsidDel="004238AC" w:rsidRDefault="00176820" w:rsidP="00176820">
            <w:pPr>
              <w:pStyle w:val="Tabletextcentre"/>
              <w:keepNext/>
              <w:jc w:val="left"/>
              <w:rPr>
                <w:rFonts w:ascii="Arial Narrow" w:hAnsi="Arial Narrow" w:cs="Calibri"/>
                <w:b/>
                <w:bCs/>
                <w:iCs/>
                <w:color w:val="000000"/>
                <w:sz w:val="20"/>
                <w:szCs w:val="20"/>
              </w:rPr>
            </w:pPr>
            <w:r w:rsidRPr="00960D90">
              <w:rPr>
                <w:rFonts w:ascii="Arial Narrow" w:hAnsi="Arial Narrow" w:cs="Calibri"/>
                <w:b/>
                <w:bCs/>
                <w:iCs/>
                <w:color w:val="000000"/>
                <w:sz w:val="20"/>
                <w:szCs w:val="20"/>
              </w:rPr>
              <w:t xml:space="preserve">Number of treatment cycles in </w:t>
            </w:r>
            <w:r w:rsidRPr="00960D90" w:rsidDel="004238AC">
              <w:rPr>
                <w:rFonts w:ascii="Arial Narrow" w:hAnsi="Arial Narrow" w:cs="Calibri"/>
                <w:b/>
                <w:bCs/>
                <w:iCs/>
                <w:color w:val="000000"/>
                <w:sz w:val="20"/>
                <w:szCs w:val="20"/>
              </w:rPr>
              <w:t>STARGLO (DCO: 16 February 2024)</w:t>
            </w:r>
          </w:p>
        </w:tc>
      </w:tr>
      <w:tr w:rsidR="00176820" w:rsidRPr="00935CE1" w:rsidDel="004238AC" w14:paraId="401EA821" w14:textId="77777777" w:rsidTr="00F00EFC">
        <w:trPr>
          <w:trHeight w:val="20"/>
        </w:trPr>
        <w:tc>
          <w:tcPr>
            <w:tcW w:w="1696" w:type="dxa"/>
            <w:tcBorders>
              <w:top w:val="single" w:sz="4" w:space="0" w:color="auto"/>
              <w:left w:val="single" w:sz="4" w:space="0" w:color="auto"/>
              <w:bottom w:val="single" w:sz="4" w:space="0" w:color="auto"/>
              <w:right w:val="single" w:sz="4" w:space="0" w:color="auto"/>
              <w:tr2bl w:val="nil"/>
            </w:tcBorders>
            <w:noWrap/>
          </w:tcPr>
          <w:p w14:paraId="7ACB2FDB" w14:textId="77777777" w:rsidR="00176820" w:rsidRPr="00935CE1" w:rsidDel="004238AC" w:rsidRDefault="00176820" w:rsidP="00176820">
            <w:pPr>
              <w:pStyle w:val="Tabletextcentre"/>
              <w:keepNext/>
              <w:jc w:val="left"/>
              <w:rPr>
                <w:rFonts w:ascii="Arial Narrow" w:hAnsi="Arial Narrow"/>
                <w:iCs/>
                <w:color w:val="000000"/>
                <w:sz w:val="20"/>
                <w:szCs w:val="20"/>
              </w:rPr>
            </w:pPr>
            <w:r w:rsidRPr="00935CE1" w:rsidDel="004238AC">
              <w:rPr>
                <w:rFonts w:ascii="Arial Narrow" w:hAnsi="Arial Narrow"/>
                <w:iCs/>
                <w:color w:val="000000"/>
                <w:sz w:val="20"/>
                <w:szCs w:val="20"/>
              </w:rPr>
              <w:t xml:space="preserve">Mean </w:t>
            </w:r>
          </w:p>
        </w:tc>
        <w:tc>
          <w:tcPr>
            <w:tcW w:w="1174" w:type="dxa"/>
            <w:tcBorders>
              <w:top w:val="single" w:sz="4" w:space="0" w:color="auto"/>
              <w:left w:val="single" w:sz="4" w:space="0" w:color="auto"/>
              <w:bottom w:val="single" w:sz="4" w:space="0" w:color="auto"/>
              <w:right w:val="single" w:sz="4" w:space="0" w:color="auto"/>
              <w:tr2bl w:val="nil"/>
            </w:tcBorders>
            <w:noWrap/>
          </w:tcPr>
          <w:p w14:paraId="5FF7EF66"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8.5</w:t>
            </w:r>
          </w:p>
        </w:tc>
        <w:tc>
          <w:tcPr>
            <w:tcW w:w="1307" w:type="dxa"/>
            <w:tcBorders>
              <w:top w:val="single" w:sz="4" w:space="0" w:color="auto"/>
              <w:left w:val="single" w:sz="4" w:space="0" w:color="auto"/>
              <w:bottom w:val="single" w:sz="4" w:space="0" w:color="auto"/>
              <w:right w:val="single" w:sz="4" w:space="0" w:color="auto"/>
              <w:tr2bl w:val="nil"/>
            </w:tcBorders>
            <w:noWrap/>
          </w:tcPr>
          <w:p w14:paraId="45A80C39"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6.3</w:t>
            </w:r>
          </w:p>
        </w:tc>
        <w:tc>
          <w:tcPr>
            <w:tcW w:w="1140" w:type="dxa"/>
            <w:tcBorders>
              <w:top w:val="single" w:sz="4" w:space="0" w:color="auto"/>
              <w:left w:val="single" w:sz="4" w:space="0" w:color="auto"/>
              <w:bottom w:val="single" w:sz="4" w:space="0" w:color="auto"/>
              <w:right w:val="single" w:sz="4" w:space="0" w:color="auto"/>
              <w:tr2bl w:val="nil"/>
            </w:tcBorders>
            <w:noWrap/>
          </w:tcPr>
          <w:p w14:paraId="5AE9BD53"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6.2</w:t>
            </w:r>
          </w:p>
        </w:tc>
        <w:tc>
          <w:tcPr>
            <w:tcW w:w="1074" w:type="dxa"/>
            <w:tcBorders>
              <w:top w:val="single" w:sz="4" w:space="0" w:color="auto"/>
              <w:left w:val="single" w:sz="4" w:space="0" w:color="auto"/>
              <w:bottom w:val="single" w:sz="4" w:space="0" w:color="auto"/>
              <w:right w:val="single" w:sz="4" w:space="0" w:color="auto"/>
              <w:tr2bl w:val="nil"/>
            </w:tcBorders>
          </w:tcPr>
          <w:p w14:paraId="5410F217"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4.4</w:t>
            </w:r>
          </w:p>
        </w:tc>
        <w:tc>
          <w:tcPr>
            <w:tcW w:w="1344" w:type="dxa"/>
            <w:tcBorders>
              <w:top w:val="single" w:sz="4" w:space="0" w:color="auto"/>
              <w:left w:val="single" w:sz="4" w:space="0" w:color="auto"/>
              <w:bottom w:val="single" w:sz="4" w:space="0" w:color="auto"/>
              <w:right w:val="single" w:sz="4" w:space="0" w:color="auto"/>
              <w:tr2bl w:val="nil"/>
            </w:tcBorders>
          </w:tcPr>
          <w:p w14:paraId="29244D80"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4.4</w:t>
            </w:r>
          </w:p>
        </w:tc>
        <w:tc>
          <w:tcPr>
            <w:tcW w:w="1266" w:type="dxa"/>
            <w:tcBorders>
              <w:top w:val="single" w:sz="4" w:space="0" w:color="auto"/>
              <w:left w:val="single" w:sz="4" w:space="0" w:color="auto"/>
              <w:bottom w:val="single" w:sz="4" w:space="0" w:color="auto"/>
              <w:right w:val="single" w:sz="4" w:space="0" w:color="auto"/>
              <w:tr2bl w:val="nil"/>
            </w:tcBorders>
          </w:tcPr>
          <w:p w14:paraId="70BDE59D"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4.4</w:t>
            </w:r>
          </w:p>
        </w:tc>
      </w:tr>
      <w:tr w:rsidR="00176820" w:rsidRPr="00935CE1" w:rsidDel="004238AC" w14:paraId="37CCA211" w14:textId="77777777" w:rsidTr="00F00EFC">
        <w:trPr>
          <w:trHeight w:val="20"/>
        </w:trPr>
        <w:tc>
          <w:tcPr>
            <w:tcW w:w="1696" w:type="dxa"/>
            <w:tcBorders>
              <w:top w:val="single" w:sz="4" w:space="0" w:color="auto"/>
              <w:left w:val="single" w:sz="4" w:space="0" w:color="auto"/>
              <w:bottom w:val="single" w:sz="4" w:space="0" w:color="auto"/>
              <w:right w:val="single" w:sz="4" w:space="0" w:color="auto"/>
              <w:tr2bl w:val="nil"/>
            </w:tcBorders>
            <w:noWrap/>
          </w:tcPr>
          <w:p w14:paraId="7324C9A2" w14:textId="77777777" w:rsidR="00176820" w:rsidRPr="00935CE1" w:rsidDel="004238AC" w:rsidRDefault="00176820" w:rsidP="00176820">
            <w:pPr>
              <w:pStyle w:val="Tabletextcentre"/>
              <w:keepNext/>
              <w:jc w:val="left"/>
              <w:rPr>
                <w:rFonts w:ascii="Arial Narrow" w:hAnsi="Arial Narrow"/>
                <w:iCs/>
                <w:color w:val="000000"/>
                <w:sz w:val="20"/>
                <w:szCs w:val="20"/>
              </w:rPr>
            </w:pPr>
            <w:r w:rsidRPr="00935CE1" w:rsidDel="004238AC">
              <w:rPr>
                <w:rFonts w:ascii="Arial Narrow" w:hAnsi="Arial Narrow"/>
                <w:iCs/>
                <w:color w:val="000000"/>
                <w:sz w:val="20"/>
                <w:szCs w:val="20"/>
              </w:rPr>
              <w:t>Median</w:t>
            </w:r>
          </w:p>
        </w:tc>
        <w:tc>
          <w:tcPr>
            <w:tcW w:w="1174" w:type="dxa"/>
            <w:tcBorders>
              <w:top w:val="single" w:sz="4" w:space="0" w:color="auto"/>
              <w:left w:val="single" w:sz="4" w:space="0" w:color="auto"/>
              <w:bottom w:val="single" w:sz="4" w:space="0" w:color="auto"/>
              <w:right w:val="single" w:sz="4" w:space="0" w:color="auto"/>
              <w:tr2bl w:val="nil"/>
            </w:tcBorders>
            <w:noWrap/>
          </w:tcPr>
          <w:p w14:paraId="65584F46"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11</w:t>
            </w:r>
          </w:p>
        </w:tc>
        <w:tc>
          <w:tcPr>
            <w:tcW w:w="1307" w:type="dxa"/>
            <w:tcBorders>
              <w:top w:val="single" w:sz="4" w:space="0" w:color="auto"/>
              <w:left w:val="single" w:sz="4" w:space="0" w:color="auto"/>
              <w:bottom w:val="single" w:sz="4" w:space="0" w:color="auto"/>
              <w:right w:val="single" w:sz="4" w:space="0" w:color="auto"/>
              <w:tr2bl w:val="nil"/>
            </w:tcBorders>
            <w:noWrap/>
          </w:tcPr>
          <w:p w14:paraId="07E6215A"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8.0</w:t>
            </w:r>
          </w:p>
        </w:tc>
        <w:tc>
          <w:tcPr>
            <w:tcW w:w="1140" w:type="dxa"/>
            <w:tcBorders>
              <w:top w:val="single" w:sz="4" w:space="0" w:color="auto"/>
              <w:left w:val="single" w:sz="4" w:space="0" w:color="auto"/>
              <w:bottom w:val="single" w:sz="4" w:space="0" w:color="auto"/>
              <w:right w:val="single" w:sz="4" w:space="0" w:color="auto"/>
              <w:tr2bl w:val="nil"/>
            </w:tcBorders>
            <w:noWrap/>
          </w:tcPr>
          <w:p w14:paraId="229A22E8"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8.0</w:t>
            </w:r>
          </w:p>
        </w:tc>
        <w:tc>
          <w:tcPr>
            <w:tcW w:w="1074" w:type="dxa"/>
            <w:tcBorders>
              <w:top w:val="single" w:sz="4" w:space="0" w:color="auto"/>
              <w:left w:val="single" w:sz="4" w:space="0" w:color="auto"/>
              <w:bottom w:val="single" w:sz="4" w:space="0" w:color="auto"/>
              <w:right w:val="single" w:sz="4" w:space="0" w:color="auto"/>
              <w:tr2bl w:val="nil"/>
            </w:tcBorders>
          </w:tcPr>
          <w:p w14:paraId="0E39F461"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4.0</w:t>
            </w:r>
          </w:p>
        </w:tc>
        <w:tc>
          <w:tcPr>
            <w:tcW w:w="1344" w:type="dxa"/>
            <w:tcBorders>
              <w:top w:val="single" w:sz="4" w:space="0" w:color="auto"/>
              <w:left w:val="single" w:sz="4" w:space="0" w:color="auto"/>
              <w:bottom w:val="single" w:sz="4" w:space="0" w:color="auto"/>
              <w:right w:val="single" w:sz="4" w:space="0" w:color="auto"/>
              <w:tr2bl w:val="nil"/>
            </w:tcBorders>
          </w:tcPr>
          <w:p w14:paraId="6060D566"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4.0</w:t>
            </w:r>
          </w:p>
        </w:tc>
        <w:tc>
          <w:tcPr>
            <w:tcW w:w="1266" w:type="dxa"/>
            <w:tcBorders>
              <w:top w:val="single" w:sz="4" w:space="0" w:color="auto"/>
              <w:left w:val="single" w:sz="4" w:space="0" w:color="auto"/>
              <w:bottom w:val="single" w:sz="4" w:space="0" w:color="auto"/>
              <w:right w:val="single" w:sz="4" w:space="0" w:color="auto"/>
              <w:tr2bl w:val="nil"/>
            </w:tcBorders>
          </w:tcPr>
          <w:p w14:paraId="7DE791AD" w14:textId="77777777" w:rsidR="00176820" w:rsidRPr="00935CE1" w:rsidDel="004238AC" w:rsidRDefault="00176820" w:rsidP="00176820">
            <w:pPr>
              <w:pStyle w:val="Tabletextcentre"/>
              <w:keepNext/>
              <w:rPr>
                <w:rFonts w:ascii="Arial Narrow" w:hAnsi="Arial Narrow" w:cs="Calibri"/>
                <w:iCs/>
                <w:color w:val="000000"/>
                <w:sz w:val="20"/>
                <w:szCs w:val="20"/>
              </w:rPr>
            </w:pPr>
            <w:r w:rsidRPr="00935CE1" w:rsidDel="004238AC">
              <w:rPr>
                <w:rFonts w:ascii="Arial Narrow" w:hAnsi="Arial Narrow" w:cs="Calibri"/>
                <w:iCs/>
                <w:color w:val="000000"/>
                <w:sz w:val="20"/>
                <w:szCs w:val="20"/>
              </w:rPr>
              <w:t>4.0</w:t>
            </w:r>
          </w:p>
        </w:tc>
      </w:tr>
    </w:tbl>
    <w:p w14:paraId="407248B5" w14:textId="77777777" w:rsidR="00176820" w:rsidRPr="00935CE1" w:rsidDel="004238AC" w:rsidRDefault="00176820" w:rsidP="00176820">
      <w:pPr>
        <w:pStyle w:val="TableFigureFooter"/>
        <w:rPr>
          <w:iCs/>
        </w:rPr>
      </w:pPr>
      <w:r w:rsidRPr="00935CE1" w:rsidDel="004238AC">
        <w:rPr>
          <w:iCs/>
        </w:rPr>
        <w:t>Source: Compiled during the evaluation from “Patients receiving treatment” worksheet, Economic Evaluation_glofit.xlsx and Summary of Exposure, Safety-Evaluable Patients, STARGLO Updated CSR (DCO: 16 February 2024).</w:t>
      </w:r>
    </w:p>
    <w:p w14:paraId="7B5C1C1F" w14:textId="77777777" w:rsidR="00176820" w:rsidRPr="00935CE1" w:rsidRDefault="00176820" w:rsidP="00176820">
      <w:pPr>
        <w:pStyle w:val="TableFigureFooter"/>
        <w:rPr>
          <w:iCs/>
        </w:rPr>
      </w:pPr>
      <w:proofErr w:type="spellStart"/>
      <w:r w:rsidRPr="00935CE1" w:rsidDel="004238AC">
        <w:rPr>
          <w:iCs/>
        </w:rPr>
        <w:t>GemOx</w:t>
      </w:r>
      <w:proofErr w:type="spellEnd"/>
      <w:r w:rsidRPr="00935CE1" w:rsidDel="004238AC">
        <w:rPr>
          <w:iCs/>
        </w:rPr>
        <w:t xml:space="preserve">=gemcitabine + oxaliplatin; </w:t>
      </w:r>
      <w:proofErr w:type="spellStart"/>
      <w:r w:rsidRPr="00935CE1" w:rsidDel="004238AC">
        <w:rPr>
          <w:iCs/>
        </w:rPr>
        <w:t>Glofit</w:t>
      </w:r>
      <w:proofErr w:type="spellEnd"/>
      <w:r w:rsidRPr="00935CE1" w:rsidDel="004238AC">
        <w:rPr>
          <w:iCs/>
        </w:rPr>
        <w:t>=glofitamab; R=rituximab</w:t>
      </w:r>
      <w:r w:rsidRPr="00935CE1">
        <w:rPr>
          <w:iCs/>
        </w:rPr>
        <w:t>.</w:t>
      </w:r>
    </w:p>
    <w:p w14:paraId="17AFBF56" w14:textId="3F11F303" w:rsidR="00176820" w:rsidRPr="00935CE1" w:rsidDel="004238AC" w:rsidRDefault="00176820" w:rsidP="00176820">
      <w:pPr>
        <w:pStyle w:val="TableFigureFooter"/>
        <w:rPr>
          <w:iCs/>
        </w:rPr>
      </w:pPr>
      <w:r w:rsidRPr="00935CE1" w:rsidDel="004238AC">
        <w:rPr>
          <w:iCs/>
          <w:vertAlign w:val="superscript"/>
        </w:rPr>
        <w:t>a</w:t>
      </w:r>
      <w:r w:rsidRPr="00935CE1" w:rsidDel="004238AC">
        <w:rPr>
          <w:iCs/>
        </w:rPr>
        <w:t xml:space="preserve"> Patients receive 12.5 mg of glofitamab in the first cycle (cost/cycle= $</w:t>
      </w:r>
      <w:r w:rsidR="00BD6E95" w:rsidRPr="00BD6E95">
        <w:rPr>
          <w:iCs/>
          <w:color w:val="000000"/>
          <w:spacing w:val="38"/>
          <w:shd w:val="solid" w:color="000000" w:fill="000000"/>
          <w:fitText w:val="274" w:id="-632054009"/>
          <w14:textFill>
            <w14:solidFill>
              <w14:srgbClr w14:val="000000">
                <w14:alpha w14:val="100000"/>
              </w14:srgbClr>
            </w14:solidFill>
          </w14:textFill>
        </w:rPr>
        <w:t xml:space="preserve">|  </w:t>
      </w:r>
      <w:r w:rsidR="00BD6E95" w:rsidRPr="00BD6E95">
        <w:rPr>
          <w:iCs/>
          <w:color w:val="000000"/>
          <w:spacing w:val="2"/>
          <w:shd w:val="solid" w:color="000000" w:fill="000000"/>
          <w:fitText w:val="274" w:id="-632054009"/>
          <w14:textFill>
            <w14:solidFill>
              <w14:srgbClr w14:val="000000">
                <w14:alpha w14:val="100000"/>
              </w14:srgbClr>
            </w14:solidFill>
          </w14:textFill>
        </w:rPr>
        <w:t>|</w:t>
      </w:r>
      <w:r w:rsidRPr="00935CE1" w:rsidDel="004238AC">
        <w:rPr>
          <w:iCs/>
        </w:rPr>
        <w:t>) and 30.0 mg from cycle 2-12 (cost/cycle= $</w:t>
      </w:r>
      <w:r w:rsidR="00BD6E95" w:rsidRPr="00DB2C39">
        <w:rPr>
          <w:iCs/>
          <w:color w:val="000000"/>
          <w:spacing w:val="38"/>
          <w:shd w:val="solid" w:color="000000" w:fill="000000"/>
          <w:fitText w:val="274" w:id="-632054008"/>
          <w14:textFill>
            <w14:solidFill>
              <w14:srgbClr w14:val="000000">
                <w14:alpha w14:val="100000"/>
              </w14:srgbClr>
            </w14:solidFill>
          </w14:textFill>
        </w:rPr>
        <w:t xml:space="preserve">|  </w:t>
      </w:r>
      <w:r w:rsidR="00BD6E95" w:rsidRPr="00DB2C39">
        <w:rPr>
          <w:iCs/>
          <w:color w:val="000000"/>
          <w:spacing w:val="2"/>
          <w:shd w:val="solid" w:color="000000" w:fill="000000"/>
          <w:fitText w:val="274" w:id="-632054008"/>
          <w14:textFill>
            <w14:solidFill>
              <w14:srgbClr w14:val="000000">
                <w14:alpha w14:val="100000"/>
              </w14:srgbClr>
            </w14:solidFill>
          </w14:textFill>
        </w:rPr>
        <w:t>|</w:t>
      </w:r>
      <w:r w:rsidRPr="00935CE1" w:rsidDel="004238AC">
        <w:rPr>
          <w:iCs/>
        </w:rPr>
        <w:t>).</w:t>
      </w:r>
    </w:p>
    <w:p w14:paraId="4C4BF346" w14:textId="77777777" w:rsidR="00176820" w:rsidRPr="00935CE1" w:rsidDel="004238AC" w:rsidRDefault="00176820" w:rsidP="00176820">
      <w:pPr>
        <w:pStyle w:val="TableFigureFooter"/>
        <w:rPr>
          <w:iCs/>
        </w:rPr>
      </w:pPr>
      <w:r w:rsidRPr="00935CE1" w:rsidDel="004238AC">
        <w:rPr>
          <w:iCs/>
          <w:vertAlign w:val="superscript"/>
        </w:rPr>
        <w:t>b</w:t>
      </w:r>
      <w:r w:rsidRPr="00935CE1" w:rsidDel="004238AC">
        <w:rPr>
          <w:iCs/>
        </w:rPr>
        <w:t xml:space="preserve"> Patients receive 1,783 mg of gemcitabine in cycles 1-8 (cost/cycle: $</w:t>
      </w:r>
      <w:r w:rsidRPr="00497F20" w:rsidDel="004238AC">
        <w:rPr>
          <w:iCs/>
        </w:rPr>
        <w:t>143</w:t>
      </w:r>
      <w:r w:rsidRPr="00935CE1" w:rsidDel="004238AC">
        <w:rPr>
          <w:iCs/>
        </w:rPr>
        <w:t>).</w:t>
      </w:r>
    </w:p>
    <w:p w14:paraId="18C0A4A4" w14:textId="77777777" w:rsidR="00176820" w:rsidRPr="00935CE1" w:rsidDel="004238AC" w:rsidRDefault="00176820" w:rsidP="00176820">
      <w:pPr>
        <w:pStyle w:val="TableFigureFooter"/>
        <w:rPr>
          <w:iCs/>
        </w:rPr>
      </w:pPr>
      <w:r w:rsidRPr="00935CE1" w:rsidDel="004238AC">
        <w:rPr>
          <w:iCs/>
          <w:vertAlign w:val="superscript"/>
        </w:rPr>
        <w:t>c</w:t>
      </w:r>
      <w:r w:rsidRPr="00935CE1" w:rsidDel="004238AC">
        <w:rPr>
          <w:iCs/>
        </w:rPr>
        <w:t xml:space="preserve"> Patients receive 178 mg of oxaliplatin in cycles 1-8 (cost/cycle: $</w:t>
      </w:r>
      <w:r w:rsidRPr="00497F20" w:rsidDel="004238AC">
        <w:rPr>
          <w:iCs/>
        </w:rPr>
        <w:t>149</w:t>
      </w:r>
      <w:r w:rsidRPr="00935CE1" w:rsidDel="004238AC">
        <w:rPr>
          <w:iCs/>
        </w:rPr>
        <w:t>).</w:t>
      </w:r>
    </w:p>
    <w:p w14:paraId="3178E3BF" w14:textId="77777777" w:rsidR="00176820" w:rsidRPr="00935CE1" w:rsidDel="004238AC" w:rsidRDefault="00176820" w:rsidP="00176820">
      <w:pPr>
        <w:pStyle w:val="TableFigureFooter"/>
        <w:rPr>
          <w:iCs/>
        </w:rPr>
      </w:pPr>
      <w:r w:rsidRPr="00935CE1" w:rsidDel="004238AC">
        <w:rPr>
          <w:iCs/>
          <w:vertAlign w:val="superscript"/>
        </w:rPr>
        <w:t>d</w:t>
      </w:r>
      <w:r w:rsidRPr="00935CE1" w:rsidDel="004238AC">
        <w:rPr>
          <w:iCs/>
        </w:rPr>
        <w:t xml:space="preserve"> Patients receive 669 mg of rituximab in cycles 1-8 (cost/cycle: $149).</w:t>
      </w:r>
    </w:p>
    <w:p w14:paraId="562297C4" w14:textId="6D522947" w:rsidR="00D94F1F" w:rsidRPr="00935CE1" w:rsidRDefault="00E6401B" w:rsidP="004602CD">
      <w:pPr>
        <w:numPr>
          <w:ilvl w:val="1"/>
          <w:numId w:val="1"/>
        </w:numPr>
        <w:spacing w:before="60" w:after="60"/>
        <w:rPr>
          <w:rFonts w:asciiTheme="minorHAnsi" w:hAnsiTheme="minorHAnsi"/>
          <w:iCs/>
          <w:snapToGrid w:val="0"/>
        </w:rPr>
      </w:pPr>
      <w:r w:rsidRPr="00935CE1">
        <w:rPr>
          <w:rFonts w:asciiTheme="minorHAnsi" w:hAnsiTheme="minorHAnsi"/>
          <w:iCs/>
          <w:snapToGrid w:val="0"/>
        </w:rPr>
        <w:t xml:space="preserve">The submission </w:t>
      </w:r>
      <w:r w:rsidR="00C01D59" w:rsidRPr="00935CE1">
        <w:rPr>
          <w:rFonts w:asciiTheme="minorHAnsi" w:hAnsiTheme="minorHAnsi"/>
          <w:iCs/>
          <w:snapToGrid w:val="0"/>
        </w:rPr>
        <w:t xml:space="preserve">estimated </w:t>
      </w:r>
      <w:r w:rsidRPr="00935CE1">
        <w:rPr>
          <w:rFonts w:asciiTheme="minorHAnsi" w:hAnsiTheme="minorHAnsi"/>
          <w:iCs/>
          <w:snapToGrid w:val="0"/>
        </w:rPr>
        <w:t xml:space="preserve">utility weights for the modelled health states </w:t>
      </w:r>
      <w:r w:rsidR="002A0BBB" w:rsidRPr="00935CE1">
        <w:rPr>
          <w:rFonts w:asciiTheme="minorHAnsi" w:hAnsiTheme="minorHAnsi"/>
          <w:iCs/>
          <w:snapToGrid w:val="0"/>
        </w:rPr>
        <w:t>from the EQ-</w:t>
      </w:r>
      <w:r w:rsidR="00F00EFC" w:rsidRPr="00935CE1">
        <w:rPr>
          <w:rFonts w:asciiTheme="minorHAnsi" w:hAnsiTheme="minorHAnsi"/>
          <w:iCs/>
          <w:snapToGrid w:val="0"/>
        </w:rPr>
        <w:t> </w:t>
      </w:r>
      <w:r w:rsidR="002A0BBB" w:rsidRPr="00935CE1">
        <w:rPr>
          <w:rFonts w:asciiTheme="minorHAnsi" w:hAnsiTheme="minorHAnsi"/>
          <w:iCs/>
          <w:snapToGrid w:val="0"/>
        </w:rPr>
        <w:t>5D-</w:t>
      </w:r>
      <w:r w:rsidR="00F00EFC" w:rsidRPr="00935CE1">
        <w:rPr>
          <w:rFonts w:asciiTheme="minorHAnsi" w:hAnsiTheme="minorHAnsi"/>
          <w:iCs/>
          <w:snapToGrid w:val="0"/>
        </w:rPr>
        <w:t> </w:t>
      </w:r>
      <w:r w:rsidR="002A0BBB" w:rsidRPr="00935CE1">
        <w:rPr>
          <w:rFonts w:asciiTheme="minorHAnsi" w:hAnsiTheme="minorHAnsi"/>
          <w:iCs/>
          <w:snapToGrid w:val="0"/>
        </w:rPr>
        <w:t>5L data reported in STARGLO ITT population, mapped to EQ-5D-3L index values based on Australian tariffs</w:t>
      </w:r>
      <w:r w:rsidRPr="00935CE1">
        <w:rPr>
          <w:rFonts w:asciiTheme="minorHAnsi" w:hAnsiTheme="minorHAnsi"/>
          <w:iCs/>
          <w:snapToGrid w:val="0"/>
        </w:rPr>
        <w:t xml:space="preserve">: </w:t>
      </w:r>
      <w:r w:rsidR="002A0BBB" w:rsidRPr="00935CE1">
        <w:rPr>
          <w:rFonts w:asciiTheme="minorHAnsi" w:hAnsiTheme="minorHAnsi"/>
          <w:iCs/>
          <w:snapToGrid w:val="0"/>
        </w:rPr>
        <w:t>PFS ‘on-treatment’ (0.716), PFS ‘off-treatment’ (0.713), and P</w:t>
      </w:r>
      <w:r w:rsidR="00DC210C" w:rsidRPr="00935CE1">
        <w:rPr>
          <w:rFonts w:asciiTheme="minorHAnsi" w:hAnsiTheme="minorHAnsi"/>
          <w:iCs/>
          <w:snapToGrid w:val="0"/>
        </w:rPr>
        <w:t>D</w:t>
      </w:r>
      <w:r w:rsidR="002A0BBB" w:rsidRPr="00935CE1">
        <w:rPr>
          <w:rFonts w:asciiTheme="minorHAnsi" w:hAnsiTheme="minorHAnsi"/>
          <w:iCs/>
          <w:snapToGrid w:val="0"/>
        </w:rPr>
        <w:t xml:space="preserve"> (0.630). </w:t>
      </w:r>
      <w:r w:rsidR="00E273C9" w:rsidRPr="00935CE1">
        <w:rPr>
          <w:rFonts w:asciiTheme="minorHAnsi" w:hAnsiTheme="minorHAnsi"/>
          <w:iCs/>
          <w:snapToGrid w:val="0"/>
        </w:rPr>
        <w:t xml:space="preserve">The submission did not provide the EQ-5D-5L data or any further details of this analysis. </w:t>
      </w:r>
      <w:r w:rsidRPr="00935CE1">
        <w:rPr>
          <w:rFonts w:asciiTheme="minorHAnsi" w:hAnsiTheme="minorHAnsi"/>
          <w:iCs/>
          <w:snapToGrid w:val="0"/>
        </w:rPr>
        <w:t>It was unclear why the submission did not use the Australian value set for the EQ-5D-5L</w:t>
      </w:r>
      <w:r w:rsidRPr="00935CE1">
        <w:rPr>
          <w:rFonts w:asciiTheme="minorHAnsi" w:hAnsiTheme="minorHAnsi"/>
          <w:iCs/>
          <w:snapToGrid w:val="0"/>
          <w:vertAlign w:val="superscript"/>
        </w:rPr>
        <w:footnoteReference w:id="5"/>
      </w:r>
      <w:r w:rsidRPr="00935CE1">
        <w:rPr>
          <w:rFonts w:asciiTheme="minorHAnsi" w:hAnsiTheme="minorHAnsi"/>
          <w:iCs/>
          <w:snapToGrid w:val="0"/>
        </w:rPr>
        <w:t>, noting that mapping from the EQ-5D-5L to the EQ-5D-3L can introduce a floor effect, potentially inflating utility values</w:t>
      </w:r>
      <w:r w:rsidRPr="00935CE1">
        <w:rPr>
          <w:rFonts w:asciiTheme="minorHAnsi" w:hAnsiTheme="minorHAnsi"/>
          <w:iCs/>
          <w:snapToGrid w:val="0"/>
          <w:vertAlign w:val="superscript"/>
        </w:rPr>
        <w:footnoteReference w:id="6"/>
      </w:r>
      <w:r w:rsidRPr="00935CE1">
        <w:rPr>
          <w:rFonts w:asciiTheme="minorHAnsi" w:hAnsiTheme="minorHAnsi"/>
          <w:iCs/>
          <w:snapToGrid w:val="0"/>
        </w:rPr>
        <w:t xml:space="preserve">. </w:t>
      </w:r>
      <w:r w:rsidR="00131ED7" w:rsidRPr="00935CE1">
        <w:rPr>
          <w:rFonts w:asciiTheme="minorHAnsi" w:hAnsiTheme="minorHAnsi"/>
          <w:iCs/>
          <w:snapToGrid w:val="0"/>
        </w:rPr>
        <w:t xml:space="preserve">The ESC advised that the </w:t>
      </w:r>
      <w:r w:rsidR="00745D70" w:rsidRPr="00935CE1">
        <w:rPr>
          <w:rFonts w:asciiTheme="minorHAnsi" w:hAnsiTheme="minorHAnsi"/>
          <w:iCs/>
          <w:snapToGrid w:val="0"/>
        </w:rPr>
        <w:t xml:space="preserve">EQ-5D-5L Australian value set should be applied. </w:t>
      </w:r>
      <w:r w:rsidRPr="00935CE1">
        <w:rPr>
          <w:rFonts w:asciiTheme="minorHAnsi" w:hAnsiTheme="minorHAnsi"/>
          <w:iCs/>
          <w:snapToGrid w:val="0"/>
        </w:rPr>
        <w:t>The results of the analysis also suggested no difference between quality of life for patients with PFS irrespective of treatment, contrary to expectations given the high incidence of TEAEs and likely administration-related utility decrements. This raises two questions. First, whether the findings reflect</w:t>
      </w:r>
      <w:r w:rsidR="00C84D5D" w:rsidRPr="00935CE1">
        <w:rPr>
          <w:rFonts w:asciiTheme="minorHAnsi" w:hAnsiTheme="minorHAnsi"/>
          <w:iCs/>
          <w:snapToGrid w:val="0"/>
        </w:rPr>
        <w:t>ed</w:t>
      </w:r>
      <w:r w:rsidRPr="00935CE1">
        <w:rPr>
          <w:rFonts w:asciiTheme="minorHAnsi" w:hAnsiTheme="minorHAnsi"/>
          <w:iCs/>
          <w:snapToGrid w:val="0"/>
        </w:rPr>
        <w:t xml:space="preserve"> the true impact of </w:t>
      </w:r>
      <w:r w:rsidR="00AA3E4F" w:rsidRPr="00935CE1">
        <w:rPr>
          <w:rFonts w:asciiTheme="minorHAnsi" w:hAnsiTheme="minorHAnsi"/>
          <w:iCs/>
          <w:snapToGrid w:val="0"/>
        </w:rPr>
        <w:t>immuno</w:t>
      </w:r>
      <w:r w:rsidRPr="00935CE1">
        <w:rPr>
          <w:rFonts w:asciiTheme="minorHAnsi" w:hAnsiTheme="minorHAnsi"/>
          <w:iCs/>
          <w:snapToGrid w:val="0"/>
        </w:rPr>
        <w:t>chemotherapy on quality of life or whether results were impacted by study design / other factors (e.g.</w:t>
      </w:r>
      <w:r w:rsidR="00E04BFC" w:rsidRPr="00935CE1">
        <w:rPr>
          <w:rFonts w:asciiTheme="minorHAnsi" w:hAnsiTheme="minorHAnsi"/>
          <w:iCs/>
          <w:snapToGrid w:val="0"/>
        </w:rPr>
        <w:t>,</w:t>
      </w:r>
      <w:r w:rsidRPr="00935CE1">
        <w:rPr>
          <w:rFonts w:asciiTheme="minorHAnsi" w:hAnsiTheme="minorHAnsi"/>
          <w:iCs/>
          <w:snapToGrid w:val="0"/>
        </w:rPr>
        <w:t xml:space="preserve"> sensitivity issues with the EQ-5D-5L, small sample size, timing of measurements, etc). Second, if the findings are true, then it was unclear why it was necessary to add additional complexity to the model by splitting the PFS health state by ‘on treatment’ and ‘off treatment’</w:t>
      </w:r>
      <w:r w:rsidR="00C84D5D" w:rsidRPr="00935CE1">
        <w:rPr>
          <w:rFonts w:asciiTheme="minorHAnsi" w:hAnsiTheme="minorHAnsi"/>
          <w:iCs/>
          <w:snapToGrid w:val="0"/>
        </w:rPr>
        <w:t xml:space="preserve"> when treatment costs were assigned separately.</w:t>
      </w:r>
      <w:r w:rsidR="00441D8E" w:rsidRPr="00935CE1">
        <w:rPr>
          <w:rFonts w:asciiTheme="minorHAnsi" w:hAnsiTheme="minorHAnsi"/>
          <w:iCs/>
          <w:snapToGrid w:val="0"/>
        </w:rPr>
        <w:t xml:space="preserve"> </w:t>
      </w:r>
      <w:r w:rsidR="00AA3E4F" w:rsidRPr="00935CE1">
        <w:rPr>
          <w:rFonts w:asciiTheme="minorHAnsi" w:hAnsiTheme="minorHAnsi"/>
          <w:iCs/>
          <w:snapToGrid w:val="0"/>
        </w:rPr>
        <w:t xml:space="preserve">Sensitivity analyses were conducted assuming alternative utility weights from the literature, which showed that the model was </w:t>
      </w:r>
      <w:r w:rsidR="002257D2" w:rsidRPr="00935CE1">
        <w:rPr>
          <w:rFonts w:asciiTheme="minorHAnsi" w:hAnsiTheme="minorHAnsi"/>
          <w:iCs/>
          <w:snapToGrid w:val="0"/>
        </w:rPr>
        <w:t>sensitive to the utility weights assumed</w:t>
      </w:r>
      <w:r w:rsidR="00AA3E4F" w:rsidRPr="00935CE1">
        <w:rPr>
          <w:rFonts w:asciiTheme="minorHAnsi" w:hAnsiTheme="minorHAnsi"/>
          <w:iCs/>
          <w:snapToGrid w:val="0"/>
        </w:rPr>
        <w:t xml:space="preserve"> </w:t>
      </w:r>
      <w:r w:rsidR="00441D8E" w:rsidRPr="00935CE1">
        <w:rPr>
          <w:rFonts w:asciiTheme="minorHAnsi" w:hAnsiTheme="minorHAnsi"/>
          <w:iCs/>
          <w:snapToGrid w:val="0"/>
        </w:rPr>
        <w:t xml:space="preserve">(see </w:t>
      </w:r>
      <w:r w:rsidR="00441D8E" w:rsidRPr="00935CE1">
        <w:rPr>
          <w:rFonts w:asciiTheme="minorHAnsi" w:hAnsiTheme="minorHAnsi"/>
          <w:iCs/>
          <w:snapToGrid w:val="0"/>
        </w:rPr>
        <w:fldChar w:fldCharType="begin" w:fldLock="1"/>
      </w:r>
      <w:r w:rsidR="00441D8E" w:rsidRPr="00935CE1">
        <w:rPr>
          <w:rFonts w:asciiTheme="minorHAnsi" w:hAnsiTheme="minorHAnsi"/>
          <w:iCs/>
          <w:snapToGrid w:val="0"/>
        </w:rPr>
        <w:instrText xml:space="preserve"> REF _Ref111485636 \h </w:instrText>
      </w:r>
      <w:r w:rsidR="002257D2" w:rsidRPr="00935CE1">
        <w:rPr>
          <w:rFonts w:asciiTheme="minorHAnsi" w:hAnsiTheme="minorHAnsi"/>
          <w:iCs/>
          <w:snapToGrid w:val="0"/>
        </w:rPr>
        <w:instrText xml:space="preserve"> \* MERGEFORMAT </w:instrText>
      </w:r>
      <w:r w:rsidR="00441D8E" w:rsidRPr="00935CE1">
        <w:rPr>
          <w:rFonts w:asciiTheme="minorHAnsi" w:hAnsiTheme="minorHAnsi"/>
          <w:iCs/>
          <w:snapToGrid w:val="0"/>
        </w:rPr>
      </w:r>
      <w:r w:rsidR="00441D8E" w:rsidRPr="00935CE1">
        <w:rPr>
          <w:rFonts w:asciiTheme="minorHAnsi" w:hAnsiTheme="minorHAnsi"/>
          <w:iCs/>
          <w:snapToGrid w:val="0"/>
        </w:rPr>
        <w:fldChar w:fldCharType="separate"/>
      </w:r>
      <w:r w:rsidR="003C21E7" w:rsidRPr="003C21E7">
        <w:rPr>
          <w:rFonts w:asciiTheme="minorHAnsi" w:hAnsiTheme="minorHAnsi"/>
          <w:iCs/>
          <w:snapToGrid w:val="0"/>
        </w:rPr>
        <w:t>Table 13</w:t>
      </w:r>
      <w:r w:rsidR="00441D8E" w:rsidRPr="00935CE1">
        <w:rPr>
          <w:rFonts w:asciiTheme="minorHAnsi" w:hAnsiTheme="minorHAnsi"/>
          <w:iCs/>
          <w:snapToGrid w:val="0"/>
        </w:rPr>
        <w:fldChar w:fldCharType="end"/>
      </w:r>
      <w:r w:rsidR="00441D8E" w:rsidRPr="00935CE1">
        <w:rPr>
          <w:rFonts w:asciiTheme="minorHAnsi" w:hAnsiTheme="minorHAnsi"/>
          <w:iCs/>
          <w:snapToGrid w:val="0"/>
        </w:rPr>
        <w:t>).</w:t>
      </w:r>
      <w:r w:rsidR="00C46985" w:rsidRPr="00935CE1">
        <w:rPr>
          <w:rFonts w:asciiTheme="minorHAnsi" w:hAnsiTheme="minorHAnsi"/>
          <w:iCs/>
          <w:snapToGrid w:val="0"/>
        </w:rPr>
        <w:t xml:space="preserve"> </w:t>
      </w:r>
      <w:r w:rsidR="00612F21" w:rsidRPr="00935CE1">
        <w:rPr>
          <w:rFonts w:asciiTheme="minorHAnsi" w:hAnsiTheme="minorHAnsi"/>
          <w:iCs/>
          <w:snapToGrid w:val="0"/>
        </w:rPr>
        <w:t>G</w:t>
      </w:r>
      <w:r w:rsidR="003D202F" w:rsidRPr="00935CE1">
        <w:rPr>
          <w:rFonts w:asciiTheme="minorHAnsi" w:hAnsiTheme="minorHAnsi"/>
          <w:iCs/>
          <w:snapToGrid w:val="0"/>
        </w:rPr>
        <w:t>iven the uncertainty around treatment-related quality of life benefit</w:t>
      </w:r>
      <w:r w:rsidR="00556EA0" w:rsidRPr="00935CE1">
        <w:rPr>
          <w:rFonts w:asciiTheme="minorHAnsi" w:hAnsiTheme="minorHAnsi"/>
          <w:iCs/>
          <w:snapToGrid w:val="0"/>
        </w:rPr>
        <w:t>s, and the relatively minor difference between treatment arms</w:t>
      </w:r>
      <w:r w:rsidR="00612F21" w:rsidRPr="00935CE1">
        <w:rPr>
          <w:rFonts w:asciiTheme="minorHAnsi" w:hAnsiTheme="minorHAnsi"/>
          <w:iCs/>
          <w:snapToGrid w:val="0"/>
        </w:rPr>
        <w:t xml:space="preserve">, the ESC advised that adoption of a combined PFS health state in the model, with </w:t>
      </w:r>
      <w:r w:rsidR="005224AD" w:rsidRPr="00935CE1">
        <w:rPr>
          <w:rFonts w:asciiTheme="minorHAnsi" w:hAnsiTheme="minorHAnsi"/>
          <w:iCs/>
          <w:snapToGrid w:val="0"/>
        </w:rPr>
        <w:t xml:space="preserve">pooled utility values, would be more appropriate. </w:t>
      </w:r>
      <w:r w:rsidR="00556EA0" w:rsidRPr="00935CE1">
        <w:rPr>
          <w:rFonts w:asciiTheme="minorHAnsi" w:hAnsiTheme="minorHAnsi"/>
          <w:iCs/>
          <w:snapToGrid w:val="0"/>
        </w:rPr>
        <w:t xml:space="preserve"> </w:t>
      </w:r>
    </w:p>
    <w:p w14:paraId="5F8AFE7C" w14:textId="71F5490C" w:rsidR="00E11A36" w:rsidRPr="00935CE1" w:rsidRDefault="00E11A36" w:rsidP="004602CD">
      <w:pPr>
        <w:numPr>
          <w:ilvl w:val="1"/>
          <w:numId w:val="1"/>
        </w:numPr>
        <w:spacing w:before="60" w:after="60"/>
        <w:rPr>
          <w:rFonts w:asciiTheme="minorHAnsi" w:hAnsiTheme="minorHAnsi"/>
          <w:iCs/>
          <w:snapToGrid w:val="0"/>
        </w:rPr>
      </w:pPr>
      <w:bookmarkStart w:id="75" w:name="_Ref201083071"/>
      <w:r w:rsidRPr="00935CE1">
        <w:rPr>
          <w:rFonts w:asciiTheme="minorHAnsi" w:hAnsiTheme="minorHAnsi"/>
          <w:iCs/>
          <w:snapToGrid w:val="0"/>
        </w:rPr>
        <w:t>The economic model included costs for (i) drug costs for the index treatment (Glofit-GemOx and R-</w:t>
      </w:r>
      <w:proofErr w:type="spellStart"/>
      <w:r w:rsidRPr="00935CE1">
        <w:rPr>
          <w:rFonts w:asciiTheme="minorHAnsi" w:hAnsiTheme="minorHAnsi"/>
          <w:iCs/>
          <w:snapToGrid w:val="0"/>
        </w:rPr>
        <w:t>GemOx</w:t>
      </w:r>
      <w:proofErr w:type="spellEnd"/>
      <w:r w:rsidRPr="00935CE1">
        <w:rPr>
          <w:rFonts w:asciiTheme="minorHAnsi" w:hAnsiTheme="minorHAnsi"/>
          <w:iCs/>
          <w:snapToGrid w:val="0"/>
        </w:rPr>
        <w:t>); (ii) associated premedication costs</w:t>
      </w:r>
      <w:r w:rsidR="00F7382E" w:rsidRPr="00935CE1">
        <w:rPr>
          <w:rFonts w:asciiTheme="minorHAnsi" w:hAnsiTheme="minorHAnsi"/>
          <w:iCs/>
          <w:snapToGrid w:val="0"/>
        </w:rPr>
        <w:t xml:space="preserve"> (including obinutuzumab costs)</w:t>
      </w:r>
      <w:r w:rsidRPr="00935CE1">
        <w:rPr>
          <w:rFonts w:asciiTheme="minorHAnsi" w:hAnsiTheme="minorHAnsi"/>
          <w:iCs/>
          <w:snapToGrid w:val="0"/>
        </w:rPr>
        <w:t xml:space="preserve">; (iii) management of adverse events (including CRS and ICANS with Glofit-GemOx); (iv) monitoring while on treatment (CT scans, specialist visits, hematology and serum chemistry, blood chemistry and urinary test); (v) subsequent therapy costs (including </w:t>
      </w:r>
      <w:r w:rsidR="000940C3">
        <w:rPr>
          <w:rFonts w:asciiTheme="minorHAnsi" w:hAnsiTheme="minorHAnsi"/>
          <w:iCs/>
          <w:snapToGrid w:val="0"/>
        </w:rPr>
        <w:t>CAR-T cell therapy</w:t>
      </w:r>
      <w:r w:rsidRPr="00935CE1">
        <w:rPr>
          <w:rFonts w:asciiTheme="minorHAnsi" w:hAnsiTheme="minorHAnsi"/>
          <w:iCs/>
          <w:snapToGrid w:val="0"/>
        </w:rPr>
        <w:t xml:space="preserve">, ASCT, radiotherapy, other systemic therapy, and bispecific </w:t>
      </w:r>
      <w:r w:rsidR="00DD0E75">
        <w:rPr>
          <w:rFonts w:asciiTheme="minorHAnsi" w:hAnsiTheme="minorHAnsi"/>
          <w:iCs/>
          <w:snapToGrid w:val="0"/>
        </w:rPr>
        <w:t xml:space="preserve">monoclonal antibody </w:t>
      </w:r>
      <w:r w:rsidRPr="00935CE1">
        <w:rPr>
          <w:rFonts w:asciiTheme="minorHAnsi" w:hAnsiTheme="minorHAnsi"/>
          <w:iCs/>
          <w:snapToGrid w:val="0"/>
        </w:rPr>
        <w:t>therapy); and (vi) terminal care costs. The derivation of unit costs and average resource use was generally reasonable with the following exceptions:</w:t>
      </w:r>
      <w:bookmarkEnd w:id="75"/>
    </w:p>
    <w:p w14:paraId="7251B6C2" w14:textId="0E598273" w:rsidR="00E11A36" w:rsidRDefault="00E11A36" w:rsidP="007368C9">
      <w:pPr>
        <w:pStyle w:val="3-BodyText"/>
        <w:numPr>
          <w:ilvl w:val="0"/>
          <w:numId w:val="16"/>
        </w:numPr>
        <w:spacing w:before="0" w:after="120"/>
        <w:ind w:left="1134" w:hanging="425"/>
        <w:rPr>
          <w:iCs/>
        </w:rPr>
      </w:pPr>
      <w:r w:rsidRPr="00935CE1">
        <w:rPr>
          <w:iCs/>
        </w:rPr>
        <w:t xml:space="preserve">As described above, the submission’s approach to assigning drug costs for the index treatments based on TTOT data every 21-days underestimated the average </w:t>
      </w:r>
      <w:r w:rsidR="00F7382E" w:rsidRPr="00935CE1">
        <w:rPr>
          <w:iCs/>
        </w:rPr>
        <w:t xml:space="preserve">cycles and hence </w:t>
      </w:r>
      <w:r w:rsidRPr="00935CE1">
        <w:rPr>
          <w:iCs/>
        </w:rPr>
        <w:t>treatment costs</w:t>
      </w:r>
      <w:r w:rsidR="00407656" w:rsidRPr="00935CE1">
        <w:rPr>
          <w:iCs/>
        </w:rPr>
        <w:t>,</w:t>
      </w:r>
      <w:r w:rsidRPr="00935CE1">
        <w:rPr>
          <w:iCs/>
        </w:rPr>
        <w:t xml:space="preserve"> in the model compared to the STARGLO trial (refer to </w:t>
      </w:r>
      <w:r w:rsidR="00A91747" w:rsidRPr="00935CE1">
        <w:rPr>
          <w:iCs/>
        </w:rPr>
        <w:fldChar w:fldCharType="begin" w:fldLock="1"/>
      </w:r>
      <w:r w:rsidR="00A91747" w:rsidRPr="00935CE1">
        <w:rPr>
          <w:iCs/>
        </w:rPr>
        <w:instrText xml:space="preserve"> REF _Ref196647344 \h  \* MERGEFORMAT </w:instrText>
      </w:r>
      <w:r w:rsidR="00A91747" w:rsidRPr="00935CE1">
        <w:rPr>
          <w:iCs/>
        </w:rPr>
      </w:r>
      <w:r w:rsidR="00A91747" w:rsidRPr="00935CE1">
        <w:rPr>
          <w:iCs/>
        </w:rPr>
        <w:fldChar w:fldCharType="separate"/>
      </w:r>
      <w:r w:rsidR="003C21E7" w:rsidRPr="00935CE1">
        <w:rPr>
          <w:iCs/>
        </w:rPr>
        <w:t xml:space="preserve">Table </w:t>
      </w:r>
      <w:r w:rsidR="003C21E7">
        <w:rPr>
          <w:iCs/>
          <w:noProof/>
        </w:rPr>
        <w:t>10</w:t>
      </w:r>
      <w:r w:rsidR="00A91747" w:rsidRPr="00935CE1">
        <w:rPr>
          <w:iCs/>
        </w:rPr>
        <w:fldChar w:fldCharType="end"/>
      </w:r>
      <w:r w:rsidRPr="00935CE1">
        <w:rPr>
          <w:iCs/>
        </w:rPr>
        <w:t>).</w:t>
      </w:r>
      <w:r w:rsidR="00522C8A" w:rsidRPr="00935CE1">
        <w:rPr>
          <w:iCs/>
        </w:rPr>
        <w:t xml:space="preserve"> </w:t>
      </w:r>
      <w:r w:rsidR="009D48C3" w:rsidRPr="00935CE1">
        <w:rPr>
          <w:iCs/>
        </w:rPr>
        <w:t xml:space="preserve">The ESC considered the STARGLO-reported mean </w:t>
      </w:r>
      <w:r w:rsidR="00D00582" w:rsidRPr="00935CE1">
        <w:rPr>
          <w:iCs/>
        </w:rPr>
        <w:t>T</w:t>
      </w:r>
      <w:r w:rsidR="008710D0" w:rsidRPr="00935CE1">
        <w:rPr>
          <w:iCs/>
        </w:rPr>
        <w:t>T</w:t>
      </w:r>
      <w:r w:rsidR="00D00582" w:rsidRPr="00935CE1">
        <w:rPr>
          <w:iCs/>
        </w:rPr>
        <w:t>OT (treatment cycles) should be used to calculate treatment costs for all components of both arms</w:t>
      </w:r>
      <w:r w:rsidR="009B3C1D" w:rsidRPr="00935CE1">
        <w:rPr>
          <w:iCs/>
        </w:rPr>
        <w:t xml:space="preserve">. </w:t>
      </w:r>
    </w:p>
    <w:p w14:paraId="2698625F" w14:textId="20608E7E" w:rsidR="00615486" w:rsidRPr="00615486" w:rsidRDefault="00615486" w:rsidP="00615486">
      <w:pPr>
        <w:pStyle w:val="3-BodyText"/>
        <w:numPr>
          <w:ilvl w:val="0"/>
          <w:numId w:val="16"/>
        </w:numPr>
        <w:spacing w:before="0" w:after="120"/>
        <w:ind w:left="1134" w:hanging="425"/>
        <w:rPr>
          <w:iCs/>
        </w:rPr>
      </w:pPr>
      <w:r w:rsidRPr="00615486">
        <w:rPr>
          <w:iCs/>
        </w:rPr>
        <w:t xml:space="preserve">The submission assumed (i) no G-CSF costs and (ii) no hospitalisation/monitoring for patients treated with Glofit-GemOx on the first infusion or for patients who experienced CRS from the previous treatment cycle at their next treatment administration. This differed from the STARGLO protocol (Protocol G041944, Version 4, Investigational Medicinal Products). The PBAC noted </w:t>
      </w:r>
      <w:r w:rsidR="00BD6E95" w:rsidRPr="00DB2C39">
        <w:rPr>
          <w:iCs/>
          <w:color w:val="000000"/>
          <w:w w:val="61"/>
          <w:shd w:val="solid" w:color="000000" w:fill="000000"/>
          <w:fitText w:val="472" w:id="-632054007"/>
          <w14:textFill>
            <w14:solidFill>
              <w14:srgbClr w14:val="000000">
                <w14:alpha w14:val="100000"/>
              </w14:srgbClr>
            </w14:solidFill>
          </w14:textFill>
        </w:rPr>
        <w:t>|||  ||</w:t>
      </w:r>
      <w:r w:rsidR="00BD6E95" w:rsidRPr="00DB2C39">
        <w:rPr>
          <w:iCs/>
          <w:color w:val="000000"/>
          <w:spacing w:val="2"/>
          <w:w w:val="61"/>
          <w:shd w:val="solid" w:color="000000" w:fill="000000"/>
          <w:fitText w:val="472" w:id="-632054007"/>
          <w14:textFill>
            <w14:solidFill>
              <w14:srgbClr w14:val="000000">
                <w14:alpha w14:val="100000"/>
              </w14:srgbClr>
            </w14:solidFill>
          </w14:textFill>
        </w:rPr>
        <w:t>|</w:t>
      </w:r>
      <w:r w:rsidRPr="00615486">
        <w:rPr>
          <w:iCs/>
        </w:rPr>
        <w:t>.</w:t>
      </w:r>
    </w:p>
    <w:p w14:paraId="54D27C73" w14:textId="77777777" w:rsidR="00615486" w:rsidRPr="00935CE1" w:rsidRDefault="00615486" w:rsidP="007368C9">
      <w:pPr>
        <w:pStyle w:val="3-BodyText"/>
        <w:numPr>
          <w:ilvl w:val="0"/>
          <w:numId w:val="16"/>
        </w:numPr>
        <w:spacing w:before="0" w:after="120"/>
        <w:ind w:left="1134" w:hanging="425"/>
        <w:rPr>
          <w:iCs/>
        </w:rPr>
      </w:pPr>
    </w:p>
    <w:p w14:paraId="1C69D474" w14:textId="6C26B760" w:rsidR="00056B06" w:rsidRPr="00935CE1" w:rsidRDefault="00E11A36" w:rsidP="007368C9">
      <w:pPr>
        <w:pStyle w:val="3-BodyText"/>
        <w:numPr>
          <w:ilvl w:val="0"/>
          <w:numId w:val="16"/>
        </w:numPr>
        <w:spacing w:before="0" w:after="120"/>
        <w:ind w:left="1134" w:hanging="425"/>
        <w:rPr>
          <w:iCs/>
        </w:rPr>
      </w:pPr>
      <w:r w:rsidRPr="00935CE1">
        <w:rPr>
          <w:iCs/>
        </w:rPr>
        <w:t>The submission costed subsequent treatments based on the proportional use in each treatment arm reported in STARGLO</w:t>
      </w:r>
      <w:r w:rsidR="002C6253" w:rsidRPr="00935CE1">
        <w:rPr>
          <w:iCs/>
        </w:rPr>
        <w:t xml:space="preserve">. This </w:t>
      </w:r>
      <w:r w:rsidRPr="00935CE1">
        <w:rPr>
          <w:iCs/>
        </w:rPr>
        <w:t>resulted in a considerable cost</w:t>
      </w:r>
      <w:r w:rsidR="00F83094" w:rsidRPr="00935CE1">
        <w:rPr>
          <w:iCs/>
        </w:rPr>
        <w:t xml:space="preserve"> </w:t>
      </w:r>
      <w:r w:rsidRPr="00935CE1">
        <w:rPr>
          <w:iCs/>
        </w:rPr>
        <w:t xml:space="preserve">offset associated with reduced CAR-T therapies in the Glofit-GemOx arm. </w:t>
      </w:r>
      <w:r w:rsidR="0077774E" w:rsidRPr="00935CE1">
        <w:rPr>
          <w:iCs/>
        </w:rPr>
        <w:t>T</w:t>
      </w:r>
      <w:r w:rsidRPr="00935CE1">
        <w:rPr>
          <w:iCs/>
        </w:rPr>
        <w:t>he</w:t>
      </w:r>
      <w:r w:rsidR="00DE7A0C" w:rsidRPr="00935CE1">
        <w:rPr>
          <w:iCs/>
        </w:rPr>
        <w:t xml:space="preserve"> evaluation considered the</w:t>
      </w:r>
      <w:r w:rsidRPr="00935CE1">
        <w:rPr>
          <w:iCs/>
        </w:rPr>
        <w:t xml:space="preserve"> use of subsequent CAR-T reported in STARGLO may not translate to practice given the proposed place in therapy was for patients who are ineligible for ASCT and CAR-T. The </w:t>
      </w:r>
      <w:r w:rsidR="002F21AD" w:rsidRPr="00935CE1">
        <w:rPr>
          <w:iCs/>
        </w:rPr>
        <w:t xml:space="preserve">evaluation noted the </w:t>
      </w:r>
      <w:r w:rsidRPr="00935CE1">
        <w:rPr>
          <w:iCs/>
        </w:rPr>
        <w:t>STARGLO trial did not exclude patient</w:t>
      </w:r>
      <w:r w:rsidR="002C6253" w:rsidRPr="00935CE1">
        <w:rPr>
          <w:iCs/>
        </w:rPr>
        <w:t>s</w:t>
      </w:r>
      <w:r w:rsidR="00D83CD7" w:rsidRPr="00935CE1">
        <w:rPr>
          <w:iCs/>
        </w:rPr>
        <w:t xml:space="preserve"> who were</w:t>
      </w:r>
      <w:r w:rsidRPr="00935CE1">
        <w:rPr>
          <w:iCs/>
        </w:rPr>
        <w:t xml:space="preserve"> ineligible for </w:t>
      </w:r>
      <w:r w:rsidR="000940C3">
        <w:rPr>
          <w:iCs/>
        </w:rPr>
        <w:t>CAR-T cell therapy</w:t>
      </w:r>
      <w:r w:rsidRPr="00935CE1">
        <w:rPr>
          <w:iCs/>
        </w:rPr>
        <w:t xml:space="preserve"> and was conducted prior to recent changes to the clinical management algorithm related to the use of second-line </w:t>
      </w:r>
      <w:r w:rsidR="000940C3">
        <w:rPr>
          <w:iCs/>
        </w:rPr>
        <w:t>CAR-T cell therapy</w:t>
      </w:r>
      <w:r w:rsidRPr="00935CE1">
        <w:rPr>
          <w:iCs/>
        </w:rPr>
        <w:t xml:space="preserve">. </w:t>
      </w:r>
      <w:r w:rsidR="00460DD6" w:rsidRPr="00935CE1">
        <w:rPr>
          <w:iCs/>
        </w:rPr>
        <w:t xml:space="preserve">The ESC considered that if Glofit-GemOx was listed in the second-line setting in a ASCT and </w:t>
      </w:r>
      <w:r w:rsidR="000940C3">
        <w:rPr>
          <w:iCs/>
        </w:rPr>
        <w:t>CAR-T cell therapy</w:t>
      </w:r>
      <w:r w:rsidR="00FB608D" w:rsidRPr="00935CE1">
        <w:rPr>
          <w:iCs/>
        </w:rPr>
        <w:t xml:space="preserve"> </w:t>
      </w:r>
      <w:r w:rsidR="00460DD6" w:rsidRPr="00935CE1">
        <w:rPr>
          <w:iCs/>
        </w:rPr>
        <w:t xml:space="preserve">ineligible population it was foreseeable that some patients would still use </w:t>
      </w:r>
      <w:r w:rsidR="000940C3">
        <w:rPr>
          <w:iCs/>
        </w:rPr>
        <w:t>CAR-T cell therapy</w:t>
      </w:r>
      <w:r w:rsidR="00FB608D" w:rsidRPr="00935CE1">
        <w:rPr>
          <w:iCs/>
        </w:rPr>
        <w:t xml:space="preserve"> </w:t>
      </w:r>
      <w:r w:rsidR="00460DD6" w:rsidRPr="00935CE1">
        <w:rPr>
          <w:iCs/>
        </w:rPr>
        <w:t xml:space="preserve">in the third-line setting due to differences in </w:t>
      </w:r>
      <w:r w:rsidR="000940C3">
        <w:rPr>
          <w:iCs/>
        </w:rPr>
        <w:t>CAR-T cell therapy</w:t>
      </w:r>
      <w:r w:rsidR="00FB608D" w:rsidRPr="00935CE1">
        <w:rPr>
          <w:iCs/>
        </w:rPr>
        <w:t xml:space="preserve"> </w:t>
      </w:r>
      <w:r w:rsidR="00460DD6" w:rsidRPr="00935CE1">
        <w:rPr>
          <w:iCs/>
        </w:rPr>
        <w:t>eligibility in each treatment line.</w:t>
      </w:r>
      <w:r w:rsidR="004D0736" w:rsidRPr="00935CE1">
        <w:rPr>
          <w:iCs/>
        </w:rPr>
        <w:t xml:space="preserve"> </w:t>
      </w:r>
      <w:r w:rsidR="002F21AD" w:rsidRPr="00935CE1">
        <w:rPr>
          <w:iCs/>
        </w:rPr>
        <w:t>However, t</w:t>
      </w:r>
      <w:r w:rsidR="00CF5C0B" w:rsidRPr="00935CE1">
        <w:rPr>
          <w:iCs/>
        </w:rPr>
        <w:t>he ESC noted that t</w:t>
      </w:r>
      <w:r w:rsidRPr="00935CE1">
        <w:rPr>
          <w:iCs/>
        </w:rPr>
        <w:t xml:space="preserve">here were uncertainties related to the cost of </w:t>
      </w:r>
      <w:r w:rsidR="000940C3">
        <w:rPr>
          <w:iCs/>
        </w:rPr>
        <w:t>CAR-T cell therapy</w:t>
      </w:r>
      <w:r w:rsidRPr="00935CE1">
        <w:rPr>
          <w:iCs/>
        </w:rPr>
        <w:t xml:space="preserve"> (assumed to equal $500,000 per patient)</w:t>
      </w:r>
      <w:r w:rsidR="00A23F01" w:rsidRPr="00935CE1">
        <w:rPr>
          <w:iCs/>
        </w:rPr>
        <w:t xml:space="preserve">. </w:t>
      </w:r>
      <w:r w:rsidR="002D5EE9" w:rsidRPr="00935CE1">
        <w:rPr>
          <w:iCs/>
        </w:rPr>
        <w:t xml:space="preserve">In addition, there are uncertainties </w:t>
      </w:r>
      <w:r w:rsidR="00A34520" w:rsidRPr="00935CE1">
        <w:rPr>
          <w:iCs/>
        </w:rPr>
        <w:t xml:space="preserve">regarding </w:t>
      </w:r>
      <w:r w:rsidRPr="00935CE1">
        <w:rPr>
          <w:iCs/>
        </w:rPr>
        <w:t>the assignment of subsequent treatment costs given the cohort model cannot accurately track when patients progress (the model costs were assigned based on a positive change in the proportion of patients in the PD health state, which is imprecise</w:t>
      </w:r>
      <w:r w:rsidR="00C01D59" w:rsidRPr="00935CE1">
        <w:rPr>
          <w:iCs/>
        </w:rPr>
        <w:t xml:space="preserve"> and may not provide a reliable estimate of the proportion of newly progressed patients</w:t>
      </w:r>
      <w:r w:rsidR="00D41C4F" w:rsidRPr="00935CE1">
        <w:rPr>
          <w:iCs/>
        </w:rPr>
        <w:t xml:space="preserve"> in that interval</w:t>
      </w:r>
      <w:r w:rsidRPr="00935CE1">
        <w:rPr>
          <w:iCs/>
        </w:rPr>
        <w:t>). The</w:t>
      </w:r>
      <w:r w:rsidR="00CF5C0B" w:rsidRPr="00935CE1">
        <w:rPr>
          <w:iCs/>
        </w:rPr>
        <w:t xml:space="preserve"> ESC noted the</w:t>
      </w:r>
      <w:r w:rsidRPr="00935CE1">
        <w:rPr>
          <w:iCs/>
        </w:rPr>
        <w:t xml:space="preserve"> model was highly sensitive to this assumption.</w:t>
      </w:r>
    </w:p>
    <w:p w14:paraId="305DB080" w14:textId="24438094" w:rsidR="0076211B" w:rsidRPr="00935CE1" w:rsidRDefault="0076211B" w:rsidP="004602CD">
      <w:pPr>
        <w:numPr>
          <w:ilvl w:val="1"/>
          <w:numId w:val="1"/>
        </w:numPr>
        <w:spacing w:before="60" w:after="60"/>
        <w:rPr>
          <w:rFonts w:asciiTheme="minorHAnsi" w:hAnsiTheme="minorHAnsi"/>
          <w:iCs/>
          <w:snapToGrid w:val="0"/>
        </w:rPr>
      </w:pPr>
      <w:r w:rsidRPr="00935CE1">
        <w:rPr>
          <w:rFonts w:asciiTheme="minorHAnsi" w:hAnsiTheme="minorHAnsi"/>
          <w:iCs/>
          <w:snapToGrid w:val="0"/>
        </w:rPr>
        <w:t xml:space="preserve">The submission did not provide any external validation of the model. </w:t>
      </w:r>
      <w:r w:rsidR="00432C87" w:rsidRPr="00935CE1">
        <w:rPr>
          <w:rFonts w:asciiTheme="minorHAnsi" w:hAnsiTheme="minorHAnsi"/>
          <w:iCs/>
          <w:snapToGrid w:val="0"/>
        </w:rPr>
        <w:fldChar w:fldCharType="begin" w:fldLock="1"/>
      </w:r>
      <w:r w:rsidR="00432C87" w:rsidRPr="00935CE1">
        <w:rPr>
          <w:rFonts w:asciiTheme="minorHAnsi" w:hAnsiTheme="minorHAnsi"/>
          <w:iCs/>
          <w:snapToGrid w:val="0"/>
        </w:rPr>
        <w:instrText xml:space="preserve"> REF _Ref196740186 \h </w:instrText>
      </w:r>
      <w:r w:rsidR="004602CD" w:rsidRPr="00935CE1">
        <w:rPr>
          <w:rFonts w:asciiTheme="minorHAnsi" w:hAnsiTheme="minorHAnsi"/>
          <w:iCs/>
          <w:snapToGrid w:val="0"/>
        </w:rPr>
        <w:instrText xml:space="preserve"> \* MERGEFORMAT </w:instrText>
      </w:r>
      <w:r w:rsidR="00432C87" w:rsidRPr="00935CE1">
        <w:rPr>
          <w:rFonts w:asciiTheme="minorHAnsi" w:hAnsiTheme="minorHAnsi"/>
          <w:iCs/>
          <w:snapToGrid w:val="0"/>
        </w:rPr>
      </w:r>
      <w:r w:rsidR="00432C87" w:rsidRPr="00935CE1">
        <w:rPr>
          <w:rFonts w:asciiTheme="minorHAnsi" w:hAnsiTheme="minorHAnsi"/>
          <w:iCs/>
          <w:snapToGrid w:val="0"/>
        </w:rPr>
        <w:fldChar w:fldCharType="separate"/>
      </w:r>
      <w:r w:rsidR="003C21E7" w:rsidRPr="003C21E7">
        <w:rPr>
          <w:rFonts w:asciiTheme="minorHAnsi" w:hAnsiTheme="minorHAnsi"/>
          <w:iCs/>
          <w:snapToGrid w:val="0"/>
        </w:rPr>
        <w:t>Figure 6</w:t>
      </w:r>
      <w:r w:rsidR="00432C87" w:rsidRPr="00935CE1">
        <w:rPr>
          <w:rFonts w:asciiTheme="minorHAnsi" w:hAnsiTheme="minorHAnsi"/>
          <w:iCs/>
          <w:snapToGrid w:val="0"/>
        </w:rPr>
        <w:fldChar w:fldCharType="end"/>
      </w:r>
      <w:r w:rsidR="00432C87" w:rsidRPr="00935CE1">
        <w:rPr>
          <w:rFonts w:asciiTheme="minorHAnsi" w:hAnsiTheme="minorHAnsi"/>
          <w:iCs/>
          <w:snapToGrid w:val="0"/>
        </w:rPr>
        <w:t xml:space="preserve"> </w:t>
      </w:r>
      <w:r w:rsidRPr="00935CE1">
        <w:rPr>
          <w:rFonts w:asciiTheme="minorHAnsi" w:hAnsiTheme="minorHAnsi"/>
          <w:iCs/>
          <w:snapToGrid w:val="0"/>
        </w:rPr>
        <w:t xml:space="preserve">was constructed during the evaluation, </w:t>
      </w:r>
      <w:r w:rsidR="00A73FF4" w:rsidRPr="00935CE1">
        <w:rPr>
          <w:rFonts w:asciiTheme="minorHAnsi" w:hAnsiTheme="minorHAnsi"/>
          <w:iCs/>
          <w:snapToGrid w:val="0"/>
        </w:rPr>
        <w:t xml:space="preserve">providing a comparison between </w:t>
      </w:r>
      <w:r w:rsidRPr="00935CE1">
        <w:rPr>
          <w:rFonts w:asciiTheme="minorHAnsi" w:hAnsiTheme="minorHAnsi"/>
          <w:iCs/>
          <w:snapToGrid w:val="0"/>
        </w:rPr>
        <w:t>OS and PFS in the R-</w:t>
      </w:r>
      <w:proofErr w:type="spellStart"/>
      <w:r w:rsidRPr="00935CE1">
        <w:rPr>
          <w:rFonts w:asciiTheme="minorHAnsi" w:hAnsiTheme="minorHAnsi"/>
          <w:iCs/>
          <w:snapToGrid w:val="0"/>
        </w:rPr>
        <w:t>GemOx</w:t>
      </w:r>
      <w:proofErr w:type="spellEnd"/>
      <w:r w:rsidRPr="00935CE1">
        <w:rPr>
          <w:rFonts w:asciiTheme="minorHAnsi" w:hAnsiTheme="minorHAnsi"/>
          <w:iCs/>
          <w:snapToGrid w:val="0"/>
        </w:rPr>
        <w:t xml:space="preserve"> treatment arm of the model with comparable </w:t>
      </w:r>
      <w:r w:rsidR="00A73FF4" w:rsidRPr="00935CE1">
        <w:rPr>
          <w:rFonts w:asciiTheme="minorHAnsi" w:hAnsiTheme="minorHAnsi"/>
          <w:iCs/>
          <w:snapToGrid w:val="0"/>
        </w:rPr>
        <w:t>patients with R/R DLBCL</w:t>
      </w:r>
      <w:r w:rsidRPr="00935CE1">
        <w:rPr>
          <w:rFonts w:asciiTheme="minorHAnsi" w:hAnsiTheme="minorHAnsi"/>
          <w:iCs/>
          <w:snapToGrid w:val="0"/>
        </w:rPr>
        <w:t xml:space="preserve"> </w:t>
      </w:r>
      <w:r w:rsidR="00B4405E" w:rsidRPr="00935CE1">
        <w:rPr>
          <w:rFonts w:asciiTheme="minorHAnsi" w:hAnsiTheme="minorHAnsi"/>
          <w:iCs/>
          <w:snapToGrid w:val="0"/>
        </w:rPr>
        <w:t xml:space="preserve">therapy in the Australia Lymphoma and Related Diseases Registry </w:t>
      </w:r>
      <w:r w:rsidR="00A73FF4" w:rsidRPr="00935CE1">
        <w:rPr>
          <w:rFonts w:asciiTheme="minorHAnsi" w:hAnsiTheme="minorHAnsi"/>
          <w:iCs/>
          <w:snapToGrid w:val="0"/>
        </w:rPr>
        <w:t xml:space="preserve">who initiated a second-line therapy </w:t>
      </w:r>
      <w:r w:rsidR="00B4405E" w:rsidRPr="00935CE1">
        <w:rPr>
          <w:rFonts w:asciiTheme="minorHAnsi" w:hAnsiTheme="minorHAnsi"/>
          <w:iCs/>
          <w:snapToGrid w:val="0"/>
        </w:rPr>
        <w:t>(</w:t>
      </w:r>
      <w:proofErr w:type="spellStart"/>
      <w:r w:rsidR="00B4405E" w:rsidRPr="00935CE1">
        <w:rPr>
          <w:rFonts w:asciiTheme="minorHAnsi" w:hAnsiTheme="minorHAnsi"/>
          <w:iCs/>
          <w:snapToGrid w:val="0"/>
        </w:rPr>
        <w:t>LaRDR</w:t>
      </w:r>
      <w:proofErr w:type="spellEnd"/>
      <w:r w:rsidR="00B4405E" w:rsidRPr="00935CE1">
        <w:rPr>
          <w:rFonts w:asciiTheme="minorHAnsi" w:hAnsiTheme="minorHAnsi"/>
          <w:iCs/>
          <w:snapToGrid w:val="0"/>
        </w:rPr>
        <w:t>, 2022 report</w:t>
      </w:r>
      <w:r w:rsidR="00B4405E" w:rsidRPr="00935CE1">
        <w:rPr>
          <w:rFonts w:asciiTheme="minorHAnsi" w:hAnsiTheme="minorHAnsi"/>
          <w:iCs/>
          <w:snapToGrid w:val="0"/>
        </w:rPr>
        <w:footnoteReference w:id="7"/>
      </w:r>
      <w:r w:rsidR="00B4405E" w:rsidRPr="00935CE1">
        <w:rPr>
          <w:rFonts w:asciiTheme="minorHAnsi" w:hAnsiTheme="minorHAnsi"/>
          <w:iCs/>
          <w:snapToGrid w:val="0"/>
        </w:rPr>
        <w:t>)</w:t>
      </w:r>
      <w:r w:rsidR="00C95898" w:rsidRPr="00935CE1">
        <w:rPr>
          <w:rFonts w:asciiTheme="minorHAnsi" w:hAnsiTheme="minorHAnsi"/>
          <w:iCs/>
          <w:snapToGrid w:val="0"/>
        </w:rPr>
        <w:t xml:space="preserve"> </w:t>
      </w:r>
      <w:r w:rsidR="00A73FF4" w:rsidRPr="00935CE1">
        <w:rPr>
          <w:rFonts w:asciiTheme="minorHAnsi" w:hAnsiTheme="minorHAnsi"/>
          <w:iCs/>
          <w:snapToGrid w:val="0"/>
        </w:rPr>
        <w:t xml:space="preserve">and those who initiated a third-line </w:t>
      </w:r>
      <w:r w:rsidR="00B4405E" w:rsidRPr="00935CE1">
        <w:rPr>
          <w:rFonts w:asciiTheme="minorHAnsi" w:hAnsiTheme="minorHAnsi"/>
          <w:iCs/>
          <w:snapToGrid w:val="0"/>
        </w:rPr>
        <w:t>(</w:t>
      </w:r>
      <w:r w:rsidR="00363932" w:rsidRPr="00935CE1">
        <w:rPr>
          <w:rFonts w:asciiTheme="minorHAnsi" w:hAnsiTheme="minorHAnsi"/>
          <w:iCs/>
          <w:snapToGrid w:val="0"/>
        </w:rPr>
        <w:t>para</w:t>
      </w:r>
      <w:r w:rsidR="00CC5E5E" w:rsidRPr="00935CE1">
        <w:rPr>
          <w:rFonts w:asciiTheme="minorHAnsi" w:hAnsiTheme="minorHAnsi"/>
          <w:iCs/>
          <w:snapToGrid w:val="0"/>
        </w:rPr>
        <w:t>graph</w:t>
      </w:r>
      <w:r w:rsidR="00363932" w:rsidRPr="00935CE1">
        <w:rPr>
          <w:rFonts w:asciiTheme="minorHAnsi" w:hAnsiTheme="minorHAnsi"/>
          <w:iCs/>
          <w:snapToGrid w:val="0"/>
        </w:rPr>
        <w:t xml:space="preserve"> 6.67, epcoritamab PSD, November 2024</w:t>
      </w:r>
      <w:r w:rsidR="00373293" w:rsidRPr="00935CE1">
        <w:rPr>
          <w:rFonts w:asciiTheme="minorHAnsi" w:hAnsiTheme="minorHAnsi"/>
          <w:iCs/>
          <w:snapToGrid w:val="0"/>
        </w:rPr>
        <w:t xml:space="preserve"> PBAC Meeting</w:t>
      </w:r>
      <w:r w:rsidR="00B4405E" w:rsidRPr="00935CE1">
        <w:rPr>
          <w:rFonts w:asciiTheme="minorHAnsi" w:hAnsiTheme="minorHAnsi"/>
          <w:iCs/>
          <w:snapToGrid w:val="0"/>
        </w:rPr>
        <w:t>)</w:t>
      </w:r>
      <w:r w:rsidR="00A73FF4" w:rsidRPr="00935CE1">
        <w:rPr>
          <w:rFonts w:asciiTheme="minorHAnsi" w:hAnsiTheme="minorHAnsi"/>
          <w:iCs/>
          <w:snapToGrid w:val="0"/>
        </w:rPr>
        <w:t>.</w:t>
      </w:r>
    </w:p>
    <w:p w14:paraId="1548EDDA" w14:textId="20955C66" w:rsidR="0076211B" w:rsidRPr="00935CE1" w:rsidRDefault="0076211B" w:rsidP="0076211B">
      <w:pPr>
        <w:pStyle w:val="Caption"/>
        <w:rPr>
          <w:iCs/>
        </w:rPr>
      </w:pPr>
      <w:bookmarkStart w:id="76" w:name="_Ref196740186"/>
      <w:r w:rsidRPr="00935CE1">
        <w:rPr>
          <w:iCs/>
        </w:rPr>
        <w:t xml:space="preserve">Figure </w:t>
      </w:r>
      <w:r w:rsidRPr="00935CE1">
        <w:rPr>
          <w:iCs/>
        </w:rPr>
        <w:fldChar w:fldCharType="begin" w:fldLock="1"/>
      </w:r>
      <w:r w:rsidRPr="00935CE1">
        <w:rPr>
          <w:iCs/>
        </w:rPr>
        <w:instrText xml:space="preserve"> SEQ Figure \* ARABIC </w:instrText>
      </w:r>
      <w:r w:rsidRPr="00935CE1">
        <w:rPr>
          <w:iCs/>
        </w:rPr>
        <w:fldChar w:fldCharType="separate"/>
      </w:r>
      <w:r w:rsidR="003C21E7">
        <w:rPr>
          <w:iCs/>
          <w:noProof/>
        </w:rPr>
        <w:t>6</w:t>
      </w:r>
      <w:r w:rsidRPr="00935CE1">
        <w:rPr>
          <w:iCs/>
        </w:rPr>
        <w:fldChar w:fldCharType="end"/>
      </w:r>
      <w:bookmarkEnd w:id="76"/>
      <w:r w:rsidRPr="00935CE1">
        <w:rPr>
          <w:iCs/>
        </w:rPr>
        <w:t>: R-</w:t>
      </w:r>
      <w:proofErr w:type="spellStart"/>
      <w:r w:rsidRPr="00935CE1">
        <w:rPr>
          <w:iCs/>
        </w:rPr>
        <w:t>GemOx</w:t>
      </w:r>
      <w:proofErr w:type="spellEnd"/>
      <w:r w:rsidRPr="00935CE1">
        <w:rPr>
          <w:iCs/>
        </w:rPr>
        <w:t xml:space="preserve"> survival curves (modelled</w:t>
      </w:r>
      <w:r w:rsidR="001F5105" w:rsidRPr="00935CE1">
        <w:rPr>
          <w:iCs/>
        </w:rPr>
        <w:t xml:space="preserve"> in the submission base case</w:t>
      </w:r>
      <w:r w:rsidRPr="00935CE1">
        <w:rPr>
          <w:iCs/>
        </w:rPr>
        <w:t>) compared with observational data (</w:t>
      </w:r>
      <w:proofErr w:type="spellStart"/>
      <w:r w:rsidRPr="00935CE1">
        <w:rPr>
          <w:iCs/>
        </w:rPr>
        <w:t>LaRDR</w:t>
      </w:r>
      <w:proofErr w:type="spellEnd"/>
      <w:r w:rsidRPr="00935CE1">
        <w:rPr>
          <w:iCs/>
        </w:rPr>
        <w:t>, 2022)</w:t>
      </w:r>
    </w:p>
    <w:p w14:paraId="727F2AA5" w14:textId="68AB529A" w:rsidR="0076211B" w:rsidRPr="00935CE1" w:rsidRDefault="00A91747" w:rsidP="0076211B">
      <w:pPr>
        <w:pStyle w:val="TableFigureFooter"/>
        <w:rPr>
          <w:iCs/>
        </w:rPr>
      </w:pPr>
      <w:r w:rsidRPr="00935CE1">
        <w:rPr>
          <w:iCs/>
          <w:noProof/>
        </w:rPr>
        <w:drawing>
          <wp:inline distT="0" distB="0" distL="0" distR="0" wp14:anchorId="7C48313B" wp14:editId="2E96EC19">
            <wp:extent cx="6037334" cy="3810000"/>
            <wp:effectExtent l="0" t="0" r="1905" b="0"/>
            <wp:docPr id="19" name="Picture 19" descr="Figure 6: R-GemOx survival curves (modelled in the submission base case) compared with observational data (LaRD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6: R-GemOx survival curves (modelled in the submission base case) compared with observational data (LaRDR, 20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46577" cy="3815833"/>
                    </a:xfrm>
                    <a:prstGeom prst="rect">
                      <a:avLst/>
                    </a:prstGeom>
                    <a:noFill/>
                  </pic:spPr>
                </pic:pic>
              </a:graphicData>
            </a:graphic>
          </wp:inline>
        </w:drawing>
      </w:r>
      <w:r w:rsidRPr="00935CE1">
        <w:rPr>
          <w:iCs/>
        </w:rPr>
        <w:t xml:space="preserve"> </w:t>
      </w:r>
      <w:r w:rsidR="0076211B" w:rsidRPr="00935CE1">
        <w:rPr>
          <w:iCs/>
        </w:rPr>
        <w:t>Source: Constructed during the evaluation from “Glofit-GemOx” and “R-</w:t>
      </w:r>
      <w:proofErr w:type="spellStart"/>
      <w:r w:rsidR="0076211B" w:rsidRPr="00935CE1">
        <w:rPr>
          <w:iCs/>
        </w:rPr>
        <w:t>GemOx</w:t>
      </w:r>
      <w:proofErr w:type="spellEnd"/>
      <w:r w:rsidR="0076211B" w:rsidRPr="00935CE1">
        <w:rPr>
          <w:iCs/>
        </w:rPr>
        <w:t>” worksheets of the Economic Evaluation_glofit.xlsx and Australian Observational Study of the Management of Diffuse Large B-Cell Lymphoma Patients in First and Later Lines – 2 (ASTOUND-2)15th August 2022 for 2L, and data points reported in para</w:t>
      </w:r>
      <w:r w:rsidR="00CC5E5E" w:rsidRPr="00935CE1">
        <w:rPr>
          <w:iCs/>
        </w:rPr>
        <w:t>graph</w:t>
      </w:r>
      <w:r w:rsidR="0076211B" w:rsidRPr="00935CE1">
        <w:rPr>
          <w:iCs/>
        </w:rPr>
        <w:t xml:space="preserve"> 6.67, epcoritamab</w:t>
      </w:r>
      <w:r w:rsidR="008E52E6" w:rsidRPr="00935CE1">
        <w:rPr>
          <w:iCs/>
        </w:rPr>
        <w:t xml:space="preserve"> </w:t>
      </w:r>
      <w:r w:rsidR="0076211B" w:rsidRPr="00935CE1">
        <w:rPr>
          <w:iCs/>
        </w:rPr>
        <w:t>PSD, November 2024</w:t>
      </w:r>
      <w:r w:rsidR="008E52E6" w:rsidRPr="00935CE1">
        <w:rPr>
          <w:iCs/>
        </w:rPr>
        <w:t xml:space="preserve"> PBAC Meeting</w:t>
      </w:r>
      <w:r w:rsidR="0076211B" w:rsidRPr="00935CE1">
        <w:rPr>
          <w:iCs/>
        </w:rPr>
        <w:t>, for 3L.</w:t>
      </w:r>
    </w:p>
    <w:p w14:paraId="1393E31F" w14:textId="77777777" w:rsidR="0076211B" w:rsidRPr="00935CE1" w:rsidRDefault="0076211B" w:rsidP="0076211B">
      <w:pPr>
        <w:pStyle w:val="TableFigureFooter"/>
        <w:rPr>
          <w:iCs/>
        </w:rPr>
      </w:pPr>
      <w:r w:rsidRPr="00935CE1">
        <w:rPr>
          <w:iCs/>
        </w:rPr>
        <w:t xml:space="preserve">2L=second line; 3L=third line; </w:t>
      </w:r>
      <w:proofErr w:type="spellStart"/>
      <w:r w:rsidRPr="00935CE1">
        <w:rPr>
          <w:iCs/>
        </w:rPr>
        <w:t>GemOx</w:t>
      </w:r>
      <w:proofErr w:type="spellEnd"/>
      <w:r w:rsidRPr="00935CE1">
        <w:rPr>
          <w:iCs/>
        </w:rPr>
        <w:t xml:space="preserve">=gemcitabine + oxaliplatin; </w:t>
      </w:r>
      <w:proofErr w:type="spellStart"/>
      <w:r w:rsidRPr="00935CE1">
        <w:rPr>
          <w:iCs/>
        </w:rPr>
        <w:t>Glofit</w:t>
      </w:r>
      <w:proofErr w:type="spellEnd"/>
      <w:r w:rsidRPr="00935CE1">
        <w:rPr>
          <w:iCs/>
        </w:rPr>
        <w:t>=glofitamab; R=rituximab; OS=overall survival; PFS=progression-free survival; R/R DLBCL=Relapse/Refractory Diffuse large B-cell lymphoma.</w:t>
      </w:r>
    </w:p>
    <w:p w14:paraId="2B7CD462" w14:textId="77777777" w:rsidR="0076211B" w:rsidRPr="00935CE1" w:rsidRDefault="0076211B" w:rsidP="0076211B">
      <w:pPr>
        <w:pStyle w:val="TableFigureFooter"/>
        <w:rPr>
          <w:iCs/>
        </w:rPr>
      </w:pPr>
      <w:r w:rsidRPr="00935CE1">
        <w:rPr>
          <w:iCs/>
        </w:rPr>
        <w:t>Note: 3L survival curves were generated using the data points reported in epcoritamab PSD: “Data provided by the Australian Lymphoma and Related Diseases Registry (Wellard et al., 2024) on progression-free survival from the commencement of third-line therapy indicated that approximately 15% of patients remain progression-free at 1 year and 12.5% at 2 years; with overall survival from the commencement of third-line therapy of 37.5% at 1 year and 25% at 2 years”.</w:t>
      </w:r>
    </w:p>
    <w:p w14:paraId="6EEC8F50" w14:textId="3237FEE7" w:rsidR="0076211B" w:rsidRPr="00935CE1" w:rsidRDefault="00A73FF4" w:rsidP="004602CD">
      <w:pPr>
        <w:numPr>
          <w:ilvl w:val="1"/>
          <w:numId w:val="1"/>
        </w:numPr>
        <w:spacing w:before="60" w:after="60"/>
        <w:rPr>
          <w:rFonts w:asciiTheme="minorHAnsi" w:hAnsiTheme="minorHAnsi"/>
          <w:iCs/>
          <w:snapToGrid w:val="0"/>
        </w:rPr>
      </w:pPr>
      <w:r w:rsidRPr="00935CE1">
        <w:rPr>
          <w:rFonts w:asciiTheme="minorHAnsi" w:hAnsiTheme="minorHAnsi"/>
          <w:iCs/>
          <w:snapToGrid w:val="0"/>
        </w:rPr>
        <w:t xml:space="preserve">Based on this comparison, </w:t>
      </w:r>
      <w:r w:rsidR="0076211B" w:rsidRPr="00935CE1">
        <w:rPr>
          <w:rFonts w:asciiTheme="minorHAnsi" w:hAnsiTheme="minorHAnsi"/>
          <w:iCs/>
          <w:snapToGrid w:val="0"/>
        </w:rPr>
        <w:t xml:space="preserve">both OS and PFS were longer in the model / STARGLO trial compared to similar patients in the Australia Lymphoma and Related Diseases Registry. </w:t>
      </w:r>
      <w:r w:rsidRPr="00935CE1">
        <w:rPr>
          <w:rFonts w:asciiTheme="minorHAnsi" w:hAnsiTheme="minorHAnsi"/>
          <w:iCs/>
          <w:snapToGrid w:val="0"/>
        </w:rPr>
        <w:t>However, t</w:t>
      </w:r>
      <w:r w:rsidR="0076211B" w:rsidRPr="00935CE1">
        <w:rPr>
          <w:rFonts w:asciiTheme="minorHAnsi" w:hAnsiTheme="minorHAnsi"/>
          <w:iCs/>
          <w:snapToGrid w:val="0"/>
        </w:rPr>
        <w:t xml:space="preserve">hese differences may be due to several factors, such as slight differences in the time-zero, the second-line therapies received, the patients included (e.g., characteristics) and the use of subsequent treatments. For example, the baseline in the model was the start of ‘second-line </w:t>
      </w:r>
      <w:proofErr w:type="spellStart"/>
      <w:r w:rsidR="0076211B" w:rsidRPr="00935CE1">
        <w:rPr>
          <w:rFonts w:asciiTheme="minorHAnsi" w:hAnsiTheme="minorHAnsi"/>
          <w:iCs/>
          <w:snapToGrid w:val="0"/>
        </w:rPr>
        <w:t>plus’</w:t>
      </w:r>
      <w:proofErr w:type="spellEnd"/>
      <w:r w:rsidR="0076211B" w:rsidRPr="00935CE1">
        <w:rPr>
          <w:rFonts w:asciiTheme="minorHAnsi" w:hAnsiTheme="minorHAnsi"/>
          <w:iCs/>
          <w:snapToGrid w:val="0"/>
        </w:rPr>
        <w:t xml:space="preserve"> treatment in the STARGLO trial, compared to the start of second-line treatment </w:t>
      </w:r>
      <w:r w:rsidRPr="00935CE1">
        <w:rPr>
          <w:rFonts w:asciiTheme="minorHAnsi" w:hAnsiTheme="minorHAnsi"/>
          <w:iCs/>
          <w:snapToGrid w:val="0"/>
        </w:rPr>
        <w:t xml:space="preserve">or start of third-line treatment </w:t>
      </w:r>
      <w:r w:rsidR="0076211B" w:rsidRPr="00935CE1">
        <w:rPr>
          <w:rFonts w:asciiTheme="minorHAnsi" w:hAnsiTheme="minorHAnsi"/>
          <w:iCs/>
          <w:snapToGrid w:val="0"/>
        </w:rPr>
        <w:t>in the Australian registry. Similarly, all patients in the R-</w:t>
      </w:r>
      <w:proofErr w:type="spellStart"/>
      <w:r w:rsidR="0076211B" w:rsidRPr="00935CE1">
        <w:rPr>
          <w:rFonts w:asciiTheme="minorHAnsi" w:hAnsiTheme="minorHAnsi"/>
          <w:iCs/>
          <w:snapToGrid w:val="0"/>
        </w:rPr>
        <w:t>GemOx</w:t>
      </w:r>
      <w:proofErr w:type="spellEnd"/>
      <w:r w:rsidR="0076211B" w:rsidRPr="00935CE1">
        <w:rPr>
          <w:rFonts w:asciiTheme="minorHAnsi" w:hAnsiTheme="minorHAnsi"/>
          <w:iCs/>
          <w:snapToGrid w:val="0"/>
        </w:rPr>
        <w:t xml:space="preserve"> arm of the model received R-</w:t>
      </w:r>
      <w:r w:rsidR="002C6253" w:rsidRPr="00935CE1">
        <w:rPr>
          <w:rFonts w:asciiTheme="minorHAnsi" w:hAnsiTheme="minorHAnsi"/>
          <w:iCs/>
          <w:snapToGrid w:val="0"/>
        </w:rPr>
        <w:t> </w:t>
      </w:r>
      <w:proofErr w:type="spellStart"/>
      <w:r w:rsidR="0076211B" w:rsidRPr="00935CE1">
        <w:rPr>
          <w:rFonts w:asciiTheme="minorHAnsi" w:hAnsiTheme="minorHAnsi"/>
          <w:iCs/>
          <w:snapToGrid w:val="0"/>
        </w:rPr>
        <w:t>GemOx</w:t>
      </w:r>
      <w:proofErr w:type="spellEnd"/>
      <w:r w:rsidR="0076211B" w:rsidRPr="00935CE1">
        <w:rPr>
          <w:rFonts w:asciiTheme="minorHAnsi" w:hAnsiTheme="minorHAnsi"/>
          <w:iCs/>
          <w:snapToGrid w:val="0"/>
        </w:rPr>
        <w:t>, whereas second-line treatments in the registry data included a mix of treatment (22% R-</w:t>
      </w:r>
      <w:proofErr w:type="spellStart"/>
      <w:r w:rsidR="0076211B" w:rsidRPr="00935CE1">
        <w:rPr>
          <w:rFonts w:asciiTheme="minorHAnsi" w:hAnsiTheme="minorHAnsi"/>
          <w:iCs/>
          <w:snapToGrid w:val="0"/>
        </w:rPr>
        <w:t>GemOx</w:t>
      </w:r>
      <w:proofErr w:type="spellEnd"/>
      <w:r w:rsidR="0076211B" w:rsidRPr="00935CE1">
        <w:rPr>
          <w:rFonts w:asciiTheme="minorHAnsi" w:hAnsiTheme="minorHAnsi"/>
          <w:iCs/>
          <w:snapToGrid w:val="0"/>
        </w:rPr>
        <w:t xml:space="preserve">, 20% R-ICE, 8% R-CHOP21, 8% R-GDP, </w:t>
      </w:r>
      <w:r w:rsidR="00407656" w:rsidRPr="00935CE1">
        <w:rPr>
          <w:rFonts w:asciiTheme="minorHAnsi" w:hAnsiTheme="minorHAnsi"/>
          <w:iCs/>
          <w:snapToGrid w:val="0"/>
        </w:rPr>
        <w:t>4</w:t>
      </w:r>
      <w:r w:rsidR="008E1C9F" w:rsidRPr="00935CE1">
        <w:rPr>
          <w:rFonts w:asciiTheme="minorHAnsi" w:hAnsiTheme="minorHAnsi"/>
          <w:iCs/>
          <w:snapToGrid w:val="0"/>
        </w:rPr>
        <w:t>2</w:t>
      </w:r>
      <w:r w:rsidR="0076211B" w:rsidRPr="00935CE1">
        <w:rPr>
          <w:rFonts w:asciiTheme="minorHAnsi" w:hAnsiTheme="minorHAnsi"/>
          <w:iCs/>
          <w:snapToGrid w:val="0"/>
        </w:rPr>
        <w:t>% other). There were also likely differences in terms of patients recruited into the STARGLO trial and patients treated in practice due to the se</w:t>
      </w:r>
      <w:r w:rsidRPr="00935CE1">
        <w:rPr>
          <w:rFonts w:asciiTheme="minorHAnsi" w:hAnsiTheme="minorHAnsi"/>
          <w:iCs/>
          <w:snapToGrid w:val="0"/>
        </w:rPr>
        <w:t>le</w:t>
      </w:r>
      <w:r w:rsidR="0076211B" w:rsidRPr="00935CE1">
        <w:rPr>
          <w:rFonts w:asciiTheme="minorHAnsi" w:hAnsiTheme="minorHAnsi"/>
          <w:iCs/>
          <w:snapToGrid w:val="0"/>
        </w:rPr>
        <w:t xml:space="preserve">ction criteria </w:t>
      </w:r>
      <w:r w:rsidRPr="00935CE1">
        <w:rPr>
          <w:rFonts w:asciiTheme="minorHAnsi" w:hAnsiTheme="minorHAnsi"/>
          <w:iCs/>
          <w:snapToGrid w:val="0"/>
        </w:rPr>
        <w:t>of the trial</w:t>
      </w:r>
      <w:r w:rsidR="0076211B" w:rsidRPr="00935CE1">
        <w:rPr>
          <w:rFonts w:asciiTheme="minorHAnsi" w:hAnsiTheme="minorHAnsi"/>
          <w:iCs/>
          <w:snapToGrid w:val="0"/>
        </w:rPr>
        <w:t xml:space="preserve"> as well as potential differences in access to subsequent treatment. There w</w:t>
      </w:r>
      <w:r w:rsidR="00A706D2" w:rsidRPr="00935CE1">
        <w:rPr>
          <w:rFonts w:asciiTheme="minorHAnsi" w:hAnsiTheme="minorHAnsi"/>
          <w:iCs/>
          <w:snapToGrid w:val="0"/>
        </w:rPr>
        <w:t>ere</w:t>
      </w:r>
      <w:r w:rsidR="0076211B" w:rsidRPr="00935CE1">
        <w:rPr>
          <w:rFonts w:asciiTheme="minorHAnsi" w:hAnsiTheme="minorHAnsi"/>
          <w:iCs/>
          <w:snapToGrid w:val="0"/>
        </w:rPr>
        <w:t xml:space="preserve"> limited baseline data for comparison, but mean age was higher in the </w:t>
      </w:r>
      <w:proofErr w:type="spellStart"/>
      <w:r w:rsidR="003D04BF" w:rsidRPr="00935CE1">
        <w:rPr>
          <w:rFonts w:asciiTheme="minorHAnsi" w:hAnsiTheme="minorHAnsi"/>
          <w:iCs/>
          <w:snapToGrid w:val="0"/>
        </w:rPr>
        <w:t>LaRDR</w:t>
      </w:r>
      <w:proofErr w:type="spellEnd"/>
      <w:r w:rsidR="003D04BF" w:rsidRPr="00935CE1">
        <w:rPr>
          <w:rFonts w:asciiTheme="minorHAnsi" w:hAnsiTheme="minorHAnsi"/>
          <w:iCs/>
          <w:snapToGrid w:val="0"/>
        </w:rPr>
        <w:t xml:space="preserve"> </w:t>
      </w:r>
      <w:r w:rsidR="0076211B" w:rsidRPr="00935CE1">
        <w:rPr>
          <w:rFonts w:asciiTheme="minorHAnsi" w:hAnsiTheme="minorHAnsi"/>
          <w:iCs/>
          <w:snapToGrid w:val="0"/>
        </w:rPr>
        <w:t>registry data (68 years) compared to the STARGLO trial (65 years) and hence we might expect higher mortality rates in practice.</w:t>
      </w:r>
    </w:p>
    <w:p w14:paraId="25B84EB7" w14:textId="752D8BE8" w:rsidR="002A0BBB" w:rsidRPr="00935CE1" w:rsidRDefault="002A0BBB" w:rsidP="004602CD">
      <w:pPr>
        <w:numPr>
          <w:ilvl w:val="1"/>
          <w:numId w:val="1"/>
        </w:numPr>
        <w:spacing w:before="60" w:after="60"/>
        <w:rPr>
          <w:rFonts w:asciiTheme="minorHAnsi" w:hAnsiTheme="minorHAnsi"/>
          <w:iCs/>
          <w:snapToGrid w:val="0"/>
        </w:rPr>
      </w:pPr>
      <w:r w:rsidRPr="00935CE1">
        <w:rPr>
          <w:rFonts w:asciiTheme="minorHAnsi" w:hAnsiTheme="minorHAnsi"/>
          <w:iCs/>
          <w:snapToGrid w:val="0"/>
        </w:rPr>
        <w:t xml:space="preserve">The key drivers of the model are reported in </w:t>
      </w:r>
      <w:r w:rsidR="003F2E79" w:rsidRPr="00935CE1">
        <w:rPr>
          <w:rFonts w:asciiTheme="minorHAnsi" w:hAnsiTheme="minorHAnsi"/>
          <w:iCs/>
          <w:snapToGrid w:val="0"/>
        </w:rPr>
        <w:fldChar w:fldCharType="begin" w:fldLock="1"/>
      </w:r>
      <w:r w:rsidR="003F2E79" w:rsidRPr="00935CE1">
        <w:rPr>
          <w:rFonts w:asciiTheme="minorHAnsi" w:hAnsiTheme="minorHAnsi"/>
          <w:iCs/>
          <w:snapToGrid w:val="0"/>
        </w:rPr>
        <w:instrText xml:space="preserve"> REF _Ref104805122  \* MERGEFORMAT </w:instrText>
      </w:r>
      <w:r w:rsidR="003F2E79" w:rsidRPr="00935CE1">
        <w:rPr>
          <w:rFonts w:asciiTheme="minorHAnsi" w:hAnsiTheme="minorHAnsi"/>
          <w:iCs/>
          <w:snapToGrid w:val="0"/>
        </w:rPr>
        <w:fldChar w:fldCharType="separate"/>
      </w:r>
      <w:r w:rsidR="003C21E7" w:rsidRPr="003C21E7">
        <w:rPr>
          <w:rFonts w:asciiTheme="minorHAnsi" w:hAnsiTheme="minorHAnsi"/>
          <w:iCs/>
          <w:snapToGrid w:val="0"/>
        </w:rPr>
        <w:t>Table 11</w:t>
      </w:r>
      <w:r w:rsidR="003F2E79" w:rsidRPr="00935CE1">
        <w:rPr>
          <w:rFonts w:asciiTheme="minorHAnsi" w:hAnsiTheme="minorHAnsi"/>
          <w:iCs/>
          <w:snapToGrid w:val="0"/>
        </w:rPr>
        <w:fldChar w:fldCharType="end"/>
      </w:r>
      <w:r w:rsidRPr="00935CE1">
        <w:rPr>
          <w:rFonts w:asciiTheme="minorHAnsi" w:hAnsiTheme="minorHAnsi"/>
          <w:iCs/>
          <w:snapToGrid w:val="0"/>
        </w:rPr>
        <w:t>.</w:t>
      </w:r>
    </w:p>
    <w:p w14:paraId="2AB09A99" w14:textId="5364F675" w:rsidR="002A0BBB" w:rsidRPr="00935CE1" w:rsidRDefault="002A0BBB" w:rsidP="00E14D47">
      <w:pPr>
        <w:pStyle w:val="Caption"/>
        <w:keepNext w:val="0"/>
        <w:keepLines w:val="0"/>
        <w:jc w:val="left"/>
        <w:rPr>
          <w:rStyle w:val="CommentReference"/>
          <w:b/>
          <w:iCs/>
          <w:szCs w:val="24"/>
        </w:rPr>
      </w:pPr>
      <w:bookmarkStart w:id="77" w:name="_Ref104805122"/>
      <w:r w:rsidRPr="00935CE1">
        <w:rPr>
          <w:iCs/>
        </w:rPr>
        <w:t xml:space="preserve">Table </w:t>
      </w:r>
      <w:r w:rsidR="00A53E6E" w:rsidRPr="00935CE1">
        <w:rPr>
          <w:iCs/>
        </w:rPr>
        <w:fldChar w:fldCharType="begin" w:fldLock="1"/>
      </w:r>
      <w:r w:rsidR="00A53E6E" w:rsidRPr="00935CE1">
        <w:rPr>
          <w:iCs/>
        </w:rPr>
        <w:instrText xml:space="preserve"> SEQ Table \* ARABIC </w:instrText>
      </w:r>
      <w:r w:rsidR="00A53E6E" w:rsidRPr="00935CE1">
        <w:rPr>
          <w:iCs/>
        </w:rPr>
        <w:fldChar w:fldCharType="separate"/>
      </w:r>
      <w:r w:rsidR="003C21E7">
        <w:rPr>
          <w:iCs/>
          <w:noProof/>
        </w:rPr>
        <w:t>11</w:t>
      </w:r>
      <w:r w:rsidR="00A53E6E" w:rsidRPr="00935CE1">
        <w:rPr>
          <w:iCs/>
          <w:noProof/>
        </w:rPr>
        <w:fldChar w:fldCharType="end"/>
      </w:r>
      <w:bookmarkEnd w:id="77"/>
      <w:r w:rsidRPr="00935CE1">
        <w:rPr>
          <w:iCs/>
        </w:rPr>
        <w:t>:</w:t>
      </w:r>
      <w:r w:rsidRPr="00935CE1">
        <w:rPr>
          <w:rStyle w:val="CommentReference"/>
          <w:b/>
          <w:iCs/>
          <w:szCs w:val="24"/>
        </w:rPr>
        <w:t xml:space="preserve"> Key drivers of the </w:t>
      </w:r>
      <w:r w:rsidR="00A706D2" w:rsidRPr="00935CE1">
        <w:rPr>
          <w:rStyle w:val="CommentReference"/>
          <w:b/>
          <w:iCs/>
          <w:szCs w:val="24"/>
        </w:rPr>
        <w:t xml:space="preserve">submission </w:t>
      </w:r>
      <w:r w:rsidRPr="00935CE1">
        <w:rPr>
          <w:rStyle w:val="CommentReference"/>
          <w:b/>
          <w:iCs/>
          <w:szCs w:val="24"/>
        </w:rPr>
        <w:t>model</w:t>
      </w:r>
      <w:r w:rsidR="00A6232E" w:rsidRPr="00935CE1">
        <w:rPr>
          <w:rStyle w:val="CommentReference"/>
          <w:b/>
          <w:iCs/>
          <w:szCs w:val="24"/>
        </w:rPr>
        <w:t xml:space="preserve">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submission model base case"/>
      </w:tblPr>
      <w:tblGrid>
        <w:gridCol w:w="1129"/>
        <w:gridCol w:w="5104"/>
        <w:gridCol w:w="2784"/>
      </w:tblGrid>
      <w:tr w:rsidR="002A0BBB" w:rsidRPr="00935CE1" w14:paraId="2634E213" w14:textId="77777777" w:rsidTr="00DD6C77">
        <w:tc>
          <w:tcPr>
            <w:tcW w:w="626" w:type="pct"/>
            <w:vAlign w:val="center"/>
          </w:tcPr>
          <w:p w14:paraId="5427AA6F" w14:textId="77777777" w:rsidR="002A0BBB" w:rsidRPr="00935CE1" w:rsidRDefault="002A0BBB" w:rsidP="00E14D47">
            <w:pPr>
              <w:pStyle w:val="In-tableHeading"/>
              <w:keepNext w:val="0"/>
              <w:jc w:val="center"/>
              <w:rPr>
                <w:iCs/>
                <w:lang w:val="en-AU"/>
              </w:rPr>
            </w:pPr>
            <w:r w:rsidRPr="00935CE1">
              <w:rPr>
                <w:iCs/>
                <w:lang w:val="en-AU"/>
              </w:rPr>
              <w:t>Description</w:t>
            </w:r>
          </w:p>
        </w:tc>
        <w:tc>
          <w:tcPr>
            <w:tcW w:w="2830" w:type="pct"/>
            <w:vAlign w:val="center"/>
          </w:tcPr>
          <w:p w14:paraId="10C24FC6" w14:textId="77777777" w:rsidR="002A0BBB" w:rsidRPr="00935CE1" w:rsidRDefault="002A0BBB" w:rsidP="00E14D47">
            <w:pPr>
              <w:pStyle w:val="In-tableHeading"/>
              <w:keepNext w:val="0"/>
              <w:jc w:val="center"/>
              <w:rPr>
                <w:iCs/>
                <w:lang w:val="en-AU"/>
              </w:rPr>
            </w:pPr>
            <w:r w:rsidRPr="00935CE1">
              <w:rPr>
                <w:iCs/>
                <w:lang w:val="en-AU"/>
              </w:rPr>
              <w:t>Method/Value</w:t>
            </w:r>
          </w:p>
        </w:tc>
        <w:tc>
          <w:tcPr>
            <w:tcW w:w="1544" w:type="pct"/>
            <w:vAlign w:val="center"/>
          </w:tcPr>
          <w:p w14:paraId="097B248B" w14:textId="77777777" w:rsidR="002A0BBB" w:rsidRPr="00935CE1" w:rsidRDefault="002A0BBB" w:rsidP="00E14D47">
            <w:pPr>
              <w:pStyle w:val="In-tableHeading"/>
              <w:keepNext w:val="0"/>
              <w:jc w:val="center"/>
              <w:rPr>
                <w:iCs/>
                <w:lang w:val="en-AU"/>
              </w:rPr>
            </w:pPr>
            <w:r w:rsidRPr="00935CE1">
              <w:rPr>
                <w:iCs/>
                <w:lang w:val="en-AU"/>
              </w:rPr>
              <w:t>Impact</w:t>
            </w:r>
          </w:p>
          <w:p w14:paraId="54359228" w14:textId="757A791B" w:rsidR="002A0BBB" w:rsidRPr="00935CE1" w:rsidRDefault="002A0BBB" w:rsidP="00E14D47">
            <w:pPr>
              <w:pStyle w:val="In-tableHeading"/>
              <w:keepNext w:val="0"/>
              <w:jc w:val="center"/>
              <w:rPr>
                <w:iCs/>
                <w:lang w:val="en-AU"/>
              </w:rPr>
            </w:pPr>
            <w:r w:rsidRPr="00935CE1">
              <w:rPr>
                <w:rFonts w:cs="Arial"/>
                <w:iCs/>
                <w:szCs w:val="20"/>
                <w:lang w:val="en-AU"/>
              </w:rPr>
              <w:t xml:space="preserve"> Base case: $</w:t>
            </w:r>
            <w:r w:rsidR="00BD6E95" w:rsidRPr="00BD6E95">
              <w:rPr>
                <w:rFonts w:cs="Arial"/>
                <w:iCs/>
                <w:color w:val="000000"/>
                <w:spacing w:val="56"/>
                <w:szCs w:val="20"/>
                <w:shd w:val="solid" w:color="000000" w:fill="000000"/>
                <w:fitText w:val="354" w:id="-632054006"/>
                <w:lang w:val="en-AU"/>
                <w14:textFill>
                  <w14:solidFill>
                    <w14:srgbClr w14:val="000000">
                      <w14:alpha w14:val="100000"/>
                    </w14:srgbClr>
                  </w14:solidFill>
                </w14:textFill>
              </w:rPr>
              <w:t>|||</w:t>
            </w:r>
            <w:r w:rsidR="00BD6E95" w:rsidRPr="00BD6E95">
              <w:rPr>
                <w:rFonts w:cs="Arial"/>
                <w:iCs/>
                <w:color w:val="000000"/>
                <w:spacing w:val="3"/>
                <w:szCs w:val="20"/>
                <w:shd w:val="solid" w:color="000000" w:fill="000000"/>
                <w:fitText w:val="354" w:id="-632054006"/>
                <w:lang w:val="en-AU"/>
                <w14:textFill>
                  <w14:solidFill>
                    <w14:srgbClr w14:val="000000">
                      <w14:alpha w14:val="100000"/>
                    </w14:srgbClr>
                  </w14:solidFill>
                </w14:textFill>
              </w:rPr>
              <w:t>|</w:t>
            </w:r>
            <w:r w:rsidR="004776AB" w:rsidRPr="004776AB">
              <w:rPr>
                <w:rFonts w:cs="Arial"/>
                <w:iCs/>
                <w:szCs w:val="20"/>
                <w:vertAlign w:val="superscript"/>
                <w:lang w:val="en-AU"/>
              </w:rPr>
              <w:t>1</w:t>
            </w:r>
            <w:r w:rsidRPr="00935CE1">
              <w:rPr>
                <w:rFonts w:cs="Arial"/>
                <w:iCs/>
                <w:szCs w:val="20"/>
                <w:lang w:val="en-AU"/>
              </w:rPr>
              <w:t>/QALY gained</w:t>
            </w:r>
          </w:p>
        </w:tc>
      </w:tr>
      <w:tr w:rsidR="002A0BBB" w:rsidRPr="00935CE1" w14:paraId="6171F9C7" w14:textId="77777777" w:rsidTr="006A0611">
        <w:trPr>
          <w:tblHeader/>
        </w:trPr>
        <w:tc>
          <w:tcPr>
            <w:tcW w:w="626" w:type="pct"/>
            <w:vAlign w:val="center"/>
          </w:tcPr>
          <w:p w14:paraId="55D1A8B3" w14:textId="77777777" w:rsidR="002A0BBB" w:rsidRPr="00935CE1" w:rsidRDefault="002A0BBB" w:rsidP="00E14D47">
            <w:pPr>
              <w:pStyle w:val="TableText0"/>
              <w:keepNext w:val="0"/>
              <w:rPr>
                <w:iCs/>
              </w:rPr>
            </w:pPr>
            <w:r w:rsidRPr="00935CE1">
              <w:rPr>
                <w:iCs/>
              </w:rPr>
              <w:t>Time horizon</w:t>
            </w:r>
          </w:p>
        </w:tc>
        <w:tc>
          <w:tcPr>
            <w:tcW w:w="2830" w:type="pct"/>
            <w:vAlign w:val="center"/>
          </w:tcPr>
          <w:p w14:paraId="6741C4E6" w14:textId="37E02170" w:rsidR="002A0BBB" w:rsidRPr="00935CE1" w:rsidRDefault="002A0BBB" w:rsidP="00E14D47">
            <w:pPr>
              <w:pStyle w:val="TableText0"/>
              <w:keepNext w:val="0"/>
              <w:rPr>
                <w:iCs/>
              </w:rPr>
            </w:pPr>
            <w:r w:rsidRPr="00935CE1">
              <w:rPr>
                <w:iCs/>
              </w:rPr>
              <w:t xml:space="preserve">The time horizon was 20 years extrapolated from the maximum PFS and OS follow-up in STARGLO. </w:t>
            </w:r>
            <w:r w:rsidR="009E1562" w:rsidRPr="00935CE1">
              <w:rPr>
                <w:iCs/>
              </w:rPr>
              <w:t xml:space="preserve">The proposed 20-year time horizon was generally reasonable based on the mean age of STARGLO (65 years); however, the mean age of patients with R/R DLBCL in the Australian </w:t>
            </w:r>
            <w:proofErr w:type="spellStart"/>
            <w:r w:rsidR="009E1562" w:rsidRPr="00935CE1">
              <w:rPr>
                <w:iCs/>
              </w:rPr>
              <w:t>LaRDR</w:t>
            </w:r>
            <w:proofErr w:type="spellEnd"/>
            <w:r w:rsidR="009E1562" w:rsidRPr="00935CE1">
              <w:rPr>
                <w:iCs/>
              </w:rPr>
              <w:t xml:space="preserve"> was slightly older at the start of second-line treatment (68 years). All else equal, this would suggest a shorter time horizon may be more reasonable for an Australian population.</w:t>
            </w:r>
            <w:r w:rsidR="00EB35F3" w:rsidRPr="00935CE1">
              <w:rPr>
                <w:iCs/>
              </w:rPr>
              <w:t xml:space="preserve"> </w:t>
            </w:r>
            <w:r w:rsidR="00EB35F3" w:rsidRPr="00935CE1">
              <w:rPr>
                <w:iCs/>
                <w:snapToGrid w:val="0"/>
              </w:rPr>
              <w:t xml:space="preserve">The ESC </w:t>
            </w:r>
            <w:r w:rsidR="007B0E50" w:rsidRPr="00935CE1">
              <w:rPr>
                <w:iCs/>
                <w:snapToGrid w:val="0"/>
              </w:rPr>
              <w:t>considered</w:t>
            </w:r>
            <w:r w:rsidR="00EB35F3" w:rsidRPr="00935CE1">
              <w:rPr>
                <w:iCs/>
                <w:snapToGrid w:val="0"/>
              </w:rPr>
              <w:t xml:space="preserve"> a 15-year time horizon would be more reasonable given the expected mean age of eligible patients.</w:t>
            </w:r>
          </w:p>
        </w:tc>
        <w:tc>
          <w:tcPr>
            <w:tcW w:w="1544" w:type="pct"/>
            <w:vAlign w:val="center"/>
          </w:tcPr>
          <w:p w14:paraId="612B9EA5" w14:textId="44E7D67E" w:rsidR="002A0BBB" w:rsidRPr="00935CE1" w:rsidRDefault="002A0BBB" w:rsidP="00E14D47">
            <w:pPr>
              <w:pStyle w:val="TableText0"/>
              <w:keepNext w:val="0"/>
              <w:rPr>
                <w:iCs/>
              </w:rPr>
            </w:pPr>
            <w:r w:rsidRPr="00935CE1">
              <w:rPr>
                <w:iCs/>
              </w:rPr>
              <w:t xml:space="preserve">High, favoured Glofit-GemOx. </w:t>
            </w:r>
            <w:r w:rsidR="00B11642" w:rsidRPr="00935CE1">
              <w:rPr>
                <w:iCs/>
              </w:rPr>
              <w:t xml:space="preserve">Applying a 15-year time horizon increased the </w:t>
            </w:r>
            <w:r w:rsidRPr="00935CE1">
              <w:rPr>
                <w:iCs/>
              </w:rPr>
              <w:t xml:space="preserve">ICER </w:t>
            </w:r>
            <w:r w:rsidR="00B11642" w:rsidRPr="00935CE1">
              <w:rPr>
                <w:iCs/>
              </w:rPr>
              <w:t>to</w:t>
            </w:r>
            <w:r w:rsidRPr="00935CE1">
              <w:rPr>
                <w:iCs/>
              </w:rPr>
              <w:t xml:space="preserve"> $</w:t>
            </w:r>
            <w:r w:rsidR="00BD6E95" w:rsidRPr="00BD6E95">
              <w:rPr>
                <w:b/>
                <w:bCs w:val="0"/>
                <w:iCs/>
                <w:color w:val="000000"/>
                <w:spacing w:val="56"/>
                <w:shd w:val="solid" w:color="000000" w:fill="000000"/>
                <w:fitText w:val="354" w:id="-632054005"/>
                <w14:textFill>
                  <w14:solidFill>
                    <w14:srgbClr w14:val="000000">
                      <w14:alpha w14:val="100000"/>
                    </w14:srgbClr>
                  </w14:solidFill>
                </w14:textFill>
              </w:rPr>
              <w:t>|||</w:t>
            </w:r>
            <w:r w:rsidR="00BD6E95" w:rsidRPr="00BD6E95">
              <w:rPr>
                <w:b/>
                <w:bCs w:val="0"/>
                <w:iCs/>
                <w:color w:val="000000"/>
                <w:spacing w:val="3"/>
                <w:shd w:val="solid" w:color="000000" w:fill="000000"/>
                <w:fitText w:val="354" w:id="-632054005"/>
                <w14:textFill>
                  <w14:solidFill>
                    <w14:srgbClr w14:val="000000">
                      <w14:alpha w14:val="100000"/>
                    </w14:srgbClr>
                  </w14:solidFill>
                </w14:textFill>
              </w:rPr>
              <w:t>|</w:t>
            </w:r>
            <w:r w:rsidR="00D9335D" w:rsidRPr="00D9335D">
              <w:rPr>
                <w:iCs/>
                <w:vertAlign w:val="superscript"/>
              </w:rPr>
              <w:t>2</w:t>
            </w:r>
            <w:r w:rsidR="00C66800" w:rsidRPr="00935CE1">
              <w:rPr>
                <w:iCs/>
              </w:rPr>
              <w:t xml:space="preserve">per QALY </w:t>
            </w:r>
            <w:r w:rsidR="009F4F68" w:rsidRPr="00935CE1">
              <w:rPr>
                <w:iCs/>
              </w:rPr>
              <w:t>(</w:t>
            </w:r>
            <w:r w:rsidR="00BD6E95" w:rsidRPr="00BD6E95">
              <w:rPr>
                <w:iCs/>
                <w:color w:val="000000"/>
                <w:spacing w:val="53"/>
                <w:shd w:val="solid" w:color="000000" w:fill="000000"/>
                <w:fitText w:val="330" w:id="-632054004"/>
                <w14:textFill>
                  <w14:solidFill>
                    <w14:srgbClr w14:val="000000">
                      <w14:alpha w14:val="100000"/>
                    </w14:srgbClr>
                  </w14:solidFill>
                </w14:textFill>
              </w:rPr>
              <w:t>|||</w:t>
            </w:r>
            <w:r w:rsidR="00BD6E95" w:rsidRPr="00BD6E95">
              <w:rPr>
                <w:iCs/>
                <w:color w:val="000000"/>
                <w:spacing w:val="1"/>
                <w:shd w:val="solid" w:color="000000" w:fill="000000"/>
                <w:fitText w:val="330" w:id="-632054004"/>
                <w14:textFill>
                  <w14:solidFill>
                    <w14:srgbClr w14:val="000000">
                      <w14:alpha w14:val="100000"/>
                    </w14:srgbClr>
                  </w14:solidFill>
                </w14:textFill>
              </w:rPr>
              <w:t>|</w:t>
            </w:r>
            <w:r w:rsidR="009F4F68" w:rsidRPr="00935CE1">
              <w:rPr>
                <w:iCs/>
              </w:rPr>
              <w:t>% increase)</w:t>
            </w:r>
            <w:r w:rsidRPr="00935CE1">
              <w:rPr>
                <w:iCs/>
              </w:rPr>
              <w:t>.</w:t>
            </w:r>
          </w:p>
        </w:tc>
      </w:tr>
      <w:tr w:rsidR="002A0BBB" w:rsidRPr="00935CE1" w14:paraId="66E392D9" w14:textId="77777777" w:rsidTr="006A0611">
        <w:tc>
          <w:tcPr>
            <w:tcW w:w="626" w:type="pct"/>
            <w:vAlign w:val="center"/>
          </w:tcPr>
          <w:p w14:paraId="6C883F53" w14:textId="77777777" w:rsidR="002A0BBB" w:rsidRPr="00935CE1" w:rsidRDefault="002A0BBB" w:rsidP="00E14D47">
            <w:pPr>
              <w:pStyle w:val="TableText0"/>
              <w:keepNext w:val="0"/>
              <w:rPr>
                <w:iCs/>
              </w:rPr>
            </w:pPr>
            <w:r w:rsidRPr="00935CE1">
              <w:rPr>
                <w:iCs/>
              </w:rPr>
              <w:t>Extrapolation approach</w:t>
            </w:r>
          </w:p>
        </w:tc>
        <w:tc>
          <w:tcPr>
            <w:tcW w:w="2830" w:type="pct"/>
            <w:vAlign w:val="center"/>
          </w:tcPr>
          <w:p w14:paraId="41F252E8" w14:textId="09F6D9EC" w:rsidR="002A0BBB" w:rsidRPr="00935CE1" w:rsidRDefault="009E1562" w:rsidP="00E14D47">
            <w:pPr>
              <w:pStyle w:val="TableText0"/>
              <w:keepNext w:val="0"/>
              <w:rPr>
                <w:iCs/>
              </w:rPr>
            </w:pPr>
            <w:r w:rsidRPr="00935CE1">
              <w:rPr>
                <w:iCs/>
              </w:rPr>
              <w:t xml:space="preserve">The analysis initially used KM data up to the shortest available KM curve, corresponding to 27.2 months for PFS and 34.3 months for OS. The </w:t>
            </w:r>
            <w:r w:rsidR="00E32610" w:rsidRPr="00935CE1">
              <w:rPr>
                <w:iCs/>
              </w:rPr>
              <w:t xml:space="preserve">ESC agreed with the evaluation that </w:t>
            </w:r>
            <w:r w:rsidRPr="00935CE1">
              <w:rPr>
                <w:iCs/>
              </w:rPr>
              <w:t>submission’s approach for defining the KM data truncation point, based on the maximum follow-up in the trial evidence for the treatment arm with the shortest follow-up period, was poorly justified and produced unrealistic survival functions.</w:t>
            </w:r>
            <w:r w:rsidR="00FC5F7C" w:rsidRPr="00935CE1">
              <w:rPr>
                <w:iCs/>
              </w:rPr>
              <w:t xml:space="preserve"> </w:t>
            </w:r>
          </w:p>
        </w:tc>
        <w:tc>
          <w:tcPr>
            <w:tcW w:w="1544" w:type="pct"/>
            <w:vAlign w:val="center"/>
          </w:tcPr>
          <w:p w14:paraId="08635C96" w14:textId="616FB872" w:rsidR="002A0BBB" w:rsidRPr="00935CE1" w:rsidRDefault="002A0BBB" w:rsidP="00E14D47">
            <w:pPr>
              <w:pStyle w:val="TableText0"/>
              <w:keepNext w:val="0"/>
              <w:rPr>
                <w:iCs/>
              </w:rPr>
            </w:pPr>
            <w:r w:rsidRPr="00935CE1">
              <w:rPr>
                <w:iCs/>
              </w:rPr>
              <w:t xml:space="preserve">High, favoured Glofit-GemOx. </w:t>
            </w:r>
            <w:r w:rsidR="009E1562" w:rsidRPr="00935CE1">
              <w:rPr>
                <w:iCs/>
              </w:rPr>
              <w:t>Applying treatment-specific mean follow-up times for PFS and OS as the truncation points increased the ICER to $</w:t>
            </w:r>
            <w:r w:rsidR="00BD6E95" w:rsidRPr="00BD6E95">
              <w:rPr>
                <w:iCs/>
                <w:color w:val="000000"/>
                <w:spacing w:val="51"/>
                <w:shd w:val="solid" w:color="000000" w:fill="000000"/>
                <w:fitText w:val="324" w:id="-632054003"/>
                <w14:textFill>
                  <w14:solidFill>
                    <w14:srgbClr w14:val="000000">
                      <w14:alpha w14:val="100000"/>
                    </w14:srgbClr>
                  </w14:solidFill>
                </w14:textFill>
              </w:rPr>
              <w:t>|||</w:t>
            </w:r>
            <w:r w:rsidR="00BD6E95" w:rsidRPr="00BD6E95">
              <w:rPr>
                <w:iCs/>
                <w:color w:val="000000"/>
                <w:spacing w:val="1"/>
                <w:shd w:val="solid" w:color="000000" w:fill="000000"/>
                <w:fitText w:val="324" w:id="-632054003"/>
                <w14:textFill>
                  <w14:solidFill>
                    <w14:srgbClr w14:val="000000">
                      <w14:alpha w14:val="100000"/>
                    </w14:srgbClr>
                  </w14:solidFill>
                </w14:textFill>
              </w:rPr>
              <w:t>|</w:t>
            </w:r>
            <w:r w:rsidR="00D9335D" w:rsidRPr="00D9335D">
              <w:rPr>
                <w:iCs/>
                <w:vertAlign w:val="superscript"/>
              </w:rPr>
              <w:t>2</w:t>
            </w:r>
            <w:r w:rsidR="009E1562" w:rsidRPr="00935CE1">
              <w:rPr>
                <w:iCs/>
              </w:rPr>
              <w:t>/QALY</w:t>
            </w:r>
            <w:r w:rsidR="009F4F68" w:rsidRPr="00935CE1">
              <w:rPr>
                <w:iCs/>
              </w:rPr>
              <w:t xml:space="preserve"> (</w:t>
            </w:r>
            <w:r w:rsidR="00BD6E95" w:rsidRPr="00BD6E95">
              <w:rPr>
                <w:iCs/>
                <w:color w:val="000000"/>
                <w:spacing w:val="53"/>
                <w:shd w:val="solid" w:color="000000" w:fill="000000"/>
                <w:fitText w:val="330" w:id="-632054002"/>
                <w14:textFill>
                  <w14:solidFill>
                    <w14:srgbClr w14:val="000000">
                      <w14:alpha w14:val="100000"/>
                    </w14:srgbClr>
                  </w14:solidFill>
                </w14:textFill>
              </w:rPr>
              <w:t>|||</w:t>
            </w:r>
            <w:r w:rsidR="00BD6E95" w:rsidRPr="00BD6E95">
              <w:rPr>
                <w:iCs/>
                <w:color w:val="000000"/>
                <w:spacing w:val="1"/>
                <w:shd w:val="solid" w:color="000000" w:fill="000000"/>
                <w:fitText w:val="330" w:id="-632054002"/>
                <w14:textFill>
                  <w14:solidFill>
                    <w14:srgbClr w14:val="000000">
                      <w14:alpha w14:val="100000"/>
                    </w14:srgbClr>
                  </w14:solidFill>
                </w14:textFill>
              </w:rPr>
              <w:t>|</w:t>
            </w:r>
            <w:r w:rsidR="009F4F68" w:rsidRPr="00935CE1">
              <w:rPr>
                <w:iCs/>
              </w:rPr>
              <w:t>% increase)</w:t>
            </w:r>
            <w:r w:rsidR="009E1562" w:rsidRPr="00935CE1">
              <w:rPr>
                <w:iCs/>
              </w:rPr>
              <w:t>.</w:t>
            </w:r>
          </w:p>
        </w:tc>
      </w:tr>
      <w:tr w:rsidR="002A0BBB" w:rsidRPr="00935CE1" w14:paraId="3867DE30" w14:textId="77777777" w:rsidTr="006A0611">
        <w:tc>
          <w:tcPr>
            <w:tcW w:w="626" w:type="pct"/>
            <w:vAlign w:val="center"/>
          </w:tcPr>
          <w:p w14:paraId="43857D0D" w14:textId="3890D8B5" w:rsidR="002A0BBB" w:rsidRPr="00935CE1" w:rsidRDefault="009E1562" w:rsidP="00E14D47">
            <w:pPr>
              <w:pStyle w:val="TableText0"/>
              <w:keepNext w:val="0"/>
              <w:rPr>
                <w:iCs/>
              </w:rPr>
            </w:pPr>
            <w:r w:rsidRPr="00935CE1">
              <w:rPr>
                <w:iCs/>
              </w:rPr>
              <w:t>Treatment acquisition costs</w:t>
            </w:r>
          </w:p>
        </w:tc>
        <w:tc>
          <w:tcPr>
            <w:tcW w:w="2830" w:type="pct"/>
            <w:vAlign w:val="center"/>
          </w:tcPr>
          <w:p w14:paraId="731B3CFA" w14:textId="4AE6EAE7" w:rsidR="002A0BBB" w:rsidRPr="00935CE1" w:rsidRDefault="009E1562" w:rsidP="00E14D47">
            <w:pPr>
              <w:pStyle w:val="TableText0"/>
              <w:keepNext w:val="0"/>
              <w:rPr>
                <w:iCs/>
              </w:rPr>
            </w:pPr>
            <w:r w:rsidRPr="00935CE1">
              <w:rPr>
                <w:iCs/>
              </w:rPr>
              <w:t xml:space="preserve">Drug acquisition costs were calculated based on the proportion of use in each treatment cycle based on TTOT survival estimates from STARGLO. The model did not account for patients who may have received treatment between cycles, which could lead to an underestimation of the proportion of patients receiving treatment and consequently treatment costs. The average number of treatment cycles per patient in the glofitamab arm used in the submission was </w:t>
            </w:r>
            <w:r w:rsidRPr="00E57E70">
              <w:rPr>
                <w:iCs/>
              </w:rPr>
              <w:t>8.1, compared</w:t>
            </w:r>
            <w:r w:rsidRPr="00935CE1">
              <w:rPr>
                <w:iCs/>
              </w:rPr>
              <w:t xml:space="preserve"> to the mean and median treatment cycles of 8.5 and 11.0, respectively, reported in STARGLO.</w:t>
            </w:r>
            <w:r w:rsidR="000E0317" w:rsidRPr="00935CE1">
              <w:rPr>
                <w:iCs/>
              </w:rPr>
              <w:t xml:space="preserve"> </w:t>
            </w:r>
          </w:p>
        </w:tc>
        <w:tc>
          <w:tcPr>
            <w:tcW w:w="1544" w:type="pct"/>
            <w:vAlign w:val="center"/>
          </w:tcPr>
          <w:p w14:paraId="76FF3A2E" w14:textId="10BA87E2" w:rsidR="002A0BBB" w:rsidRPr="00935CE1" w:rsidRDefault="00B11642" w:rsidP="00E14D47">
            <w:pPr>
              <w:pStyle w:val="TableText0"/>
              <w:keepNext w:val="0"/>
              <w:rPr>
                <w:iCs/>
              </w:rPr>
            </w:pPr>
            <w:r w:rsidRPr="00935CE1">
              <w:rPr>
                <w:iCs/>
              </w:rPr>
              <w:t>High</w:t>
            </w:r>
            <w:r w:rsidR="002A0BBB" w:rsidRPr="00935CE1">
              <w:rPr>
                <w:iCs/>
              </w:rPr>
              <w:t xml:space="preserve">, favoured </w:t>
            </w:r>
            <w:r w:rsidRPr="00935CE1">
              <w:rPr>
                <w:iCs/>
              </w:rPr>
              <w:t>Glofit-GemOx</w:t>
            </w:r>
            <w:r w:rsidR="002A0BBB" w:rsidRPr="00935CE1">
              <w:rPr>
                <w:iCs/>
              </w:rPr>
              <w:t xml:space="preserve">. </w:t>
            </w:r>
            <w:r w:rsidRPr="00935CE1">
              <w:rPr>
                <w:iCs/>
              </w:rPr>
              <w:t xml:space="preserve">When </w:t>
            </w:r>
            <w:r w:rsidR="00B4405E" w:rsidRPr="00935CE1">
              <w:rPr>
                <w:iCs/>
              </w:rPr>
              <w:t>assuming</w:t>
            </w:r>
            <w:r w:rsidRPr="00935CE1">
              <w:rPr>
                <w:iCs/>
              </w:rPr>
              <w:t xml:space="preserve"> the mean and median treatment cycles reported in STARGLO </w:t>
            </w:r>
            <w:r w:rsidR="00B4405E" w:rsidRPr="00935CE1">
              <w:rPr>
                <w:iCs/>
              </w:rPr>
              <w:t>(</w:t>
            </w:r>
            <w:r w:rsidRPr="00935CE1">
              <w:rPr>
                <w:iCs/>
              </w:rPr>
              <w:t xml:space="preserve">for </w:t>
            </w:r>
            <w:r w:rsidR="00217914" w:rsidRPr="00935CE1">
              <w:rPr>
                <w:iCs/>
              </w:rPr>
              <w:t xml:space="preserve">all components </w:t>
            </w:r>
            <w:r w:rsidR="00B4405E" w:rsidRPr="00935CE1">
              <w:rPr>
                <w:iCs/>
              </w:rPr>
              <w:t xml:space="preserve">of </w:t>
            </w:r>
            <w:r w:rsidR="0049132B" w:rsidRPr="00935CE1">
              <w:rPr>
                <w:iCs/>
              </w:rPr>
              <w:t>Glofit-GemOx</w:t>
            </w:r>
            <w:r w:rsidR="00217914" w:rsidRPr="00935CE1">
              <w:rPr>
                <w:iCs/>
              </w:rPr>
              <w:t xml:space="preserve"> and R-</w:t>
            </w:r>
            <w:proofErr w:type="spellStart"/>
            <w:r w:rsidR="00217914" w:rsidRPr="00935CE1">
              <w:rPr>
                <w:iCs/>
              </w:rPr>
              <w:t>GemOx</w:t>
            </w:r>
            <w:proofErr w:type="spellEnd"/>
            <w:r w:rsidR="00B4405E" w:rsidRPr="00935CE1">
              <w:rPr>
                <w:iCs/>
              </w:rPr>
              <w:t>)</w:t>
            </w:r>
            <w:r w:rsidRPr="00935CE1">
              <w:rPr>
                <w:iCs/>
              </w:rPr>
              <w:t>, the ICER to $</w:t>
            </w:r>
            <w:r w:rsidR="00BD6E95" w:rsidRPr="00BD6E95">
              <w:rPr>
                <w:iCs/>
                <w:color w:val="000000"/>
                <w:spacing w:val="51"/>
                <w:shd w:val="solid" w:color="000000" w:fill="000000"/>
                <w:fitText w:val="324" w:id="-632054001"/>
                <w14:textFill>
                  <w14:solidFill>
                    <w14:srgbClr w14:val="000000">
                      <w14:alpha w14:val="100000"/>
                    </w14:srgbClr>
                  </w14:solidFill>
                </w14:textFill>
              </w:rPr>
              <w:t>|||</w:t>
            </w:r>
            <w:r w:rsidR="00BD6E95" w:rsidRPr="00BD6E95">
              <w:rPr>
                <w:iCs/>
                <w:color w:val="000000"/>
                <w:spacing w:val="1"/>
                <w:shd w:val="solid" w:color="000000" w:fill="000000"/>
                <w:fitText w:val="324" w:id="-632054001"/>
                <w14:textFill>
                  <w14:solidFill>
                    <w14:srgbClr w14:val="000000">
                      <w14:alpha w14:val="100000"/>
                    </w14:srgbClr>
                  </w14:solidFill>
                </w14:textFill>
              </w:rPr>
              <w:t>|</w:t>
            </w:r>
            <w:r w:rsidR="00B061B7" w:rsidRPr="00D9335D">
              <w:rPr>
                <w:iCs/>
                <w:vertAlign w:val="superscript"/>
              </w:rPr>
              <w:t>2</w:t>
            </w:r>
            <w:r w:rsidRPr="00935CE1">
              <w:rPr>
                <w:iCs/>
              </w:rPr>
              <w:t xml:space="preserve"> </w:t>
            </w:r>
            <w:r w:rsidR="00254F5A" w:rsidRPr="00935CE1">
              <w:rPr>
                <w:iCs/>
              </w:rPr>
              <w:t>per QALY (</w:t>
            </w:r>
            <w:r w:rsidR="00BD6E95" w:rsidRPr="00BD6E95">
              <w:rPr>
                <w:iCs/>
                <w:color w:val="000000"/>
                <w:spacing w:val="53"/>
                <w:shd w:val="solid" w:color="000000" w:fill="000000"/>
                <w:fitText w:val="330" w:id="-632054000"/>
                <w14:textFill>
                  <w14:solidFill>
                    <w14:srgbClr w14:val="000000">
                      <w14:alpha w14:val="100000"/>
                    </w14:srgbClr>
                  </w14:solidFill>
                </w14:textFill>
              </w:rPr>
              <w:t>|||</w:t>
            </w:r>
            <w:r w:rsidR="00BD6E95" w:rsidRPr="00BD6E95">
              <w:rPr>
                <w:iCs/>
                <w:color w:val="000000"/>
                <w:spacing w:val="1"/>
                <w:shd w:val="solid" w:color="000000" w:fill="000000"/>
                <w:fitText w:val="330" w:id="-632054000"/>
                <w14:textFill>
                  <w14:solidFill>
                    <w14:srgbClr w14:val="000000">
                      <w14:alpha w14:val="100000"/>
                    </w14:srgbClr>
                  </w14:solidFill>
                </w14:textFill>
              </w:rPr>
              <w:t>|</w:t>
            </w:r>
            <w:r w:rsidR="00254F5A" w:rsidRPr="00935CE1">
              <w:rPr>
                <w:iCs/>
              </w:rPr>
              <w:t xml:space="preserve">% increase) </w:t>
            </w:r>
            <w:r w:rsidRPr="00935CE1">
              <w:rPr>
                <w:iCs/>
              </w:rPr>
              <w:t>and $</w:t>
            </w:r>
            <w:r w:rsidR="00BD6E95" w:rsidRPr="00BD6E95">
              <w:rPr>
                <w:iCs/>
                <w:color w:val="000000"/>
                <w:spacing w:val="51"/>
                <w:shd w:val="solid" w:color="000000" w:fill="000000"/>
                <w:fitText w:val="324" w:id="-632054016"/>
                <w14:textFill>
                  <w14:solidFill>
                    <w14:srgbClr w14:val="000000">
                      <w14:alpha w14:val="100000"/>
                    </w14:srgbClr>
                  </w14:solidFill>
                </w14:textFill>
              </w:rPr>
              <w:t>|||</w:t>
            </w:r>
            <w:r w:rsidR="00BD6E95" w:rsidRPr="00BD6E95">
              <w:rPr>
                <w:iCs/>
                <w:color w:val="000000"/>
                <w:spacing w:val="1"/>
                <w:shd w:val="solid" w:color="000000" w:fill="000000"/>
                <w:fitText w:val="324" w:id="-632054016"/>
                <w14:textFill>
                  <w14:solidFill>
                    <w14:srgbClr w14:val="000000">
                      <w14:alpha w14:val="100000"/>
                    </w14:srgbClr>
                  </w14:solidFill>
                </w14:textFill>
              </w:rPr>
              <w:t>|</w:t>
            </w:r>
            <w:r w:rsidR="00290FDD">
              <w:rPr>
                <w:iCs/>
                <w:vertAlign w:val="superscript"/>
              </w:rPr>
              <w:t>3</w:t>
            </w:r>
            <w:r w:rsidRPr="00935CE1">
              <w:rPr>
                <w:iCs/>
              </w:rPr>
              <w:t xml:space="preserve"> per QALY</w:t>
            </w:r>
            <w:r w:rsidR="00254F5A" w:rsidRPr="00935CE1">
              <w:rPr>
                <w:iCs/>
              </w:rPr>
              <w:t xml:space="preserve"> (</w:t>
            </w:r>
            <w:r w:rsidR="00BD6E95" w:rsidRPr="00BD6E95">
              <w:rPr>
                <w:iCs/>
                <w:color w:val="000000"/>
                <w:spacing w:val="53"/>
                <w:shd w:val="solid" w:color="000000" w:fill="000000"/>
                <w:fitText w:val="330" w:id="-632054015"/>
                <w14:textFill>
                  <w14:solidFill>
                    <w14:srgbClr w14:val="000000">
                      <w14:alpha w14:val="100000"/>
                    </w14:srgbClr>
                  </w14:solidFill>
                </w14:textFill>
              </w:rPr>
              <w:t>|||</w:t>
            </w:r>
            <w:r w:rsidR="00BD6E95" w:rsidRPr="00BD6E95">
              <w:rPr>
                <w:iCs/>
                <w:color w:val="000000"/>
                <w:spacing w:val="1"/>
                <w:shd w:val="solid" w:color="000000" w:fill="000000"/>
                <w:fitText w:val="330" w:id="-632054015"/>
                <w14:textFill>
                  <w14:solidFill>
                    <w14:srgbClr w14:val="000000">
                      <w14:alpha w14:val="100000"/>
                    </w14:srgbClr>
                  </w14:solidFill>
                </w14:textFill>
              </w:rPr>
              <w:t>|</w:t>
            </w:r>
            <w:r w:rsidR="00254F5A" w:rsidRPr="00935CE1">
              <w:rPr>
                <w:iCs/>
              </w:rPr>
              <w:t>% increase)</w:t>
            </w:r>
            <w:r w:rsidRPr="00935CE1">
              <w:rPr>
                <w:iCs/>
              </w:rPr>
              <w:t>, respectively.</w:t>
            </w:r>
          </w:p>
        </w:tc>
      </w:tr>
      <w:tr w:rsidR="002A0BBB" w:rsidRPr="00935CE1" w14:paraId="3BC3BA2C" w14:textId="77777777" w:rsidTr="006A0611">
        <w:tc>
          <w:tcPr>
            <w:tcW w:w="626" w:type="pct"/>
            <w:vAlign w:val="center"/>
          </w:tcPr>
          <w:p w14:paraId="03C3AB70" w14:textId="77777777" w:rsidR="002A0BBB" w:rsidRPr="00935CE1" w:rsidRDefault="002A0BBB" w:rsidP="00E14D47">
            <w:pPr>
              <w:pStyle w:val="TableText0"/>
              <w:keepNext w:val="0"/>
              <w:rPr>
                <w:iCs/>
              </w:rPr>
            </w:pPr>
            <w:r w:rsidRPr="00935CE1">
              <w:rPr>
                <w:iCs/>
              </w:rPr>
              <w:t>Subsequent therapies</w:t>
            </w:r>
          </w:p>
        </w:tc>
        <w:tc>
          <w:tcPr>
            <w:tcW w:w="2830" w:type="pct"/>
            <w:vAlign w:val="center"/>
          </w:tcPr>
          <w:p w14:paraId="04948C8E" w14:textId="0687C813" w:rsidR="002A0BBB" w:rsidRPr="00935CE1" w:rsidRDefault="00B11642" w:rsidP="00E14D47">
            <w:pPr>
              <w:pStyle w:val="TableText0"/>
              <w:keepNext w:val="0"/>
              <w:rPr>
                <w:iCs/>
              </w:rPr>
            </w:pPr>
            <w:r w:rsidRPr="00935CE1">
              <w:rPr>
                <w:iCs/>
              </w:rPr>
              <w:t xml:space="preserve">The ICER was highly sensitive to the cost of subsequent treatments, particularly </w:t>
            </w:r>
            <w:r w:rsidR="000940C3">
              <w:rPr>
                <w:iCs/>
              </w:rPr>
              <w:t>CAR-T cell therapy</w:t>
            </w:r>
            <w:r w:rsidRPr="00935CE1">
              <w:rPr>
                <w:iCs/>
              </w:rPr>
              <w:t xml:space="preserve">, which was used by 13.2% of patients in the </w:t>
            </w:r>
            <w:r w:rsidR="0049132B" w:rsidRPr="00935CE1">
              <w:rPr>
                <w:iCs/>
              </w:rPr>
              <w:t>Glofit-GemOx</w:t>
            </w:r>
            <w:r w:rsidRPr="00935CE1">
              <w:rPr>
                <w:iCs/>
              </w:rPr>
              <w:t xml:space="preserve"> arm and 4.4% in the R-</w:t>
            </w:r>
            <w:proofErr w:type="spellStart"/>
            <w:r w:rsidRPr="00935CE1">
              <w:rPr>
                <w:iCs/>
              </w:rPr>
              <w:t>GemOx</w:t>
            </w:r>
            <w:proofErr w:type="spellEnd"/>
            <w:r w:rsidRPr="00935CE1">
              <w:rPr>
                <w:iCs/>
              </w:rPr>
              <w:t xml:space="preserve"> arm. This was subjected to considerable uncertainty given (i) uncertainty about whether trial data on subsequent therapy use reflect current Australian practice, (ii) the lack of a verifiable CAR-T cost, (iii) the inclusion of subsequent treatment costs without corresponding benefit estimates, and (iv) the </w:t>
            </w:r>
            <w:r w:rsidR="004D6A0E" w:rsidRPr="00935CE1">
              <w:rPr>
                <w:iCs/>
              </w:rPr>
              <w:t xml:space="preserve">uncertainties regarding the </w:t>
            </w:r>
            <w:r w:rsidRPr="00935CE1">
              <w:rPr>
                <w:iCs/>
              </w:rPr>
              <w:t>methodolog</w:t>
            </w:r>
            <w:r w:rsidR="004D6A0E" w:rsidRPr="00935CE1">
              <w:rPr>
                <w:iCs/>
              </w:rPr>
              <w:t>y</w:t>
            </w:r>
            <w:r w:rsidRPr="00935CE1">
              <w:rPr>
                <w:iCs/>
              </w:rPr>
              <w:t xml:space="preserve"> </w:t>
            </w:r>
            <w:r w:rsidR="004D6A0E" w:rsidRPr="00935CE1">
              <w:rPr>
                <w:iCs/>
              </w:rPr>
              <w:t xml:space="preserve">used </w:t>
            </w:r>
            <w:r w:rsidRPr="00935CE1">
              <w:rPr>
                <w:iCs/>
              </w:rPr>
              <w:t>in applying subsequent therapy costs as a positive increment to PD patient population in each cycle</w:t>
            </w:r>
            <w:r w:rsidR="004D6A0E" w:rsidRPr="00935CE1">
              <w:rPr>
                <w:iCs/>
              </w:rPr>
              <w:t>, which may not provide a reliable estimate of the newly progressed patients</w:t>
            </w:r>
            <w:r w:rsidRPr="00935CE1">
              <w:rPr>
                <w:iCs/>
              </w:rPr>
              <w:t>.</w:t>
            </w:r>
            <w:r w:rsidR="001543AF" w:rsidRPr="00935CE1">
              <w:rPr>
                <w:iCs/>
              </w:rPr>
              <w:t xml:space="preserve"> </w:t>
            </w:r>
            <w:r w:rsidR="00BF21C1" w:rsidRPr="00935CE1">
              <w:rPr>
                <w:iCs/>
              </w:rPr>
              <w:t xml:space="preserve">As outlined in paragraph </w:t>
            </w:r>
            <w:r w:rsidR="00BF21C1" w:rsidRPr="00935CE1">
              <w:rPr>
                <w:iCs/>
              </w:rPr>
              <w:fldChar w:fldCharType="begin" w:fldLock="1"/>
            </w:r>
            <w:r w:rsidR="00BF21C1" w:rsidRPr="00935CE1">
              <w:rPr>
                <w:iCs/>
              </w:rPr>
              <w:instrText xml:space="preserve"> REF _Ref201083071 \r \h  \* MERGEFORMAT </w:instrText>
            </w:r>
            <w:r w:rsidR="00BF21C1" w:rsidRPr="00935CE1">
              <w:rPr>
                <w:iCs/>
              </w:rPr>
            </w:r>
            <w:r w:rsidR="00BF21C1" w:rsidRPr="00935CE1">
              <w:rPr>
                <w:iCs/>
              </w:rPr>
              <w:fldChar w:fldCharType="separate"/>
            </w:r>
            <w:r w:rsidR="003C21E7">
              <w:rPr>
                <w:iCs/>
              </w:rPr>
              <w:t>6.43</w:t>
            </w:r>
            <w:r w:rsidR="00BF21C1" w:rsidRPr="00935CE1">
              <w:rPr>
                <w:iCs/>
              </w:rPr>
              <w:fldChar w:fldCharType="end"/>
            </w:r>
            <w:r w:rsidR="00BF21C1" w:rsidRPr="00935CE1">
              <w:rPr>
                <w:iCs/>
              </w:rPr>
              <w:t>, the</w:t>
            </w:r>
            <w:r w:rsidR="001543AF" w:rsidRPr="00935CE1">
              <w:rPr>
                <w:iCs/>
              </w:rPr>
              <w:t xml:space="preserve"> ESC advised it w</w:t>
            </w:r>
            <w:r w:rsidR="00FB608D" w:rsidRPr="00935CE1">
              <w:rPr>
                <w:iCs/>
              </w:rPr>
              <w:t xml:space="preserve">as foreseeable that some patients </w:t>
            </w:r>
            <w:r w:rsidR="00BF21C1" w:rsidRPr="00935CE1">
              <w:rPr>
                <w:iCs/>
              </w:rPr>
              <w:t>who may have been</w:t>
            </w:r>
            <w:r w:rsidR="00FB608D" w:rsidRPr="00935CE1">
              <w:rPr>
                <w:iCs/>
              </w:rPr>
              <w:t xml:space="preserve"> </w:t>
            </w:r>
            <w:r w:rsidR="000940C3">
              <w:rPr>
                <w:iCs/>
              </w:rPr>
              <w:t>CAR-T cell therapy</w:t>
            </w:r>
            <w:r w:rsidR="008A5588" w:rsidRPr="00935CE1">
              <w:rPr>
                <w:iCs/>
              </w:rPr>
              <w:t xml:space="preserve"> ineligible in the second-line setting may </w:t>
            </w:r>
            <w:r w:rsidR="001E2929" w:rsidRPr="00935CE1">
              <w:rPr>
                <w:iCs/>
              </w:rPr>
              <w:t xml:space="preserve">receive it in </w:t>
            </w:r>
            <w:r w:rsidR="00FB608D" w:rsidRPr="00935CE1">
              <w:rPr>
                <w:iCs/>
              </w:rPr>
              <w:t>the third-line setting due to differences in</w:t>
            </w:r>
            <w:r w:rsidR="008F7785" w:rsidRPr="00935CE1">
              <w:rPr>
                <w:iCs/>
              </w:rPr>
              <w:t xml:space="preserve"> </w:t>
            </w:r>
            <w:r w:rsidR="00FB608D" w:rsidRPr="00935CE1">
              <w:rPr>
                <w:iCs/>
              </w:rPr>
              <w:t>eligibility</w:t>
            </w:r>
            <w:r w:rsidR="008F7785" w:rsidRPr="00935CE1">
              <w:rPr>
                <w:iCs/>
              </w:rPr>
              <w:t xml:space="preserve"> at different treatment stages</w:t>
            </w:r>
            <w:r w:rsidR="008A5588" w:rsidRPr="00935CE1">
              <w:rPr>
                <w:iCs/>
              </w:rPr>
              <w:t>.</w:t>
            </w:r>
            <w:r w:rsidR="00F27CCB" w:rsidRPr="00935CE1">
              <w:rPr>
                <w:iCs/>
              </w:rPr>
              <w:t xml:space="preserve"> The ESC </w:t>
            </w:r>
            <w:r w:rsidR="008C019B" w:rsidRPr="00935CE1">
              <w:rPr>
                <w:iCs/>
              </w:rPr>
              <w:t xml:space="preserve">noted that the PSCR argued that the </w:t>
            </w:r>
            <w:r w:rsidR="00FD74F2" w:rsidRPr="00935CE1">
              <w:rPr>
                <w:iCs/>
              </w:rPr>
              <w:t xml:space="preserve">proportions </w:t>
            </w:r>
            <w:r w:rsidR="00F27CCB" w:rsidRPr="00935CE1">
              <w:rPr>
                <w:iCs/>
              </w:rPr>
              <w:t xml:space="preserve">of 3L </w:t>
            </w:r>
            <w:r w:rsidR="000940C3">
              <w:rPr>
                <w:iCs/>
              </w:rPr>
              <w:t>CAR-T cell therapy</w:t>
            </w:r>
            <w:r w:rsidR="00F27CCB" w:rsidRPr="00935CE1">
              <w:rPr>
                <w:iCs/>
              </w:rPr>
              <w:t xml:space="preserve"> use in the STARGLO trial </w:t>
            </w:r>
            <w:r w:rsidR="00681834" w:rsidRPr="00935CE1">
              <w:rPr>
                <w:iCs/>
              </w:rPr>
              <w:t>were appropriate estimates of likely Australian practice</w:t>
            </w:r>
            <w:r w:rsidR="00FD74F2" w:rsidRPr="00935CE1">
              <w:rPr>
                <w:iCs/>
              </w:rPr>
              <w:t xml:space="preserve"> but considered that this remained a source of uncertainty</w:t>
            </w:r>
            <w:r w:rsidR="00681834" w:rsidRPr="00935CE1">
              <w:rPr>
                <w:iCs/>
              </w:rPr>
              <w:t xml:space="preserve">. </w:t>
            </w:r>
            <w:r w:rsidR="008A5588" w:rsidRPr="00935CE1">
              <w:rPr>
                <w:iCs/>
              </w:rPr>
              <w:t xml:space="preserve"> </w:t>
            </w:r>
          </w:p>
        </w:tc>
        <w:tc>
          <w:tcPr>
            <w:tcW w:w="1544" w:type="pct"/>
            <w:vAlign w:val="center"/>
          </w:tcPr>
          <w:p w14:paraId="51E0E526" w14:textId="000B839A" w:rsidR="002A0BBB" w:rsidRPr="00935CE1" w:rsidRDefault="00B11642" w:rsidP="00E14D47">
            <w:pPr>
              <w:pStyle w:val="TableText0"/>
              <w:keepNext w:val="0"/>
              <w:rPr>
                <w:iCs/>
              </w:rPr>
            </w:pPr>
            <w:bookmarkStart w:id="78" w:name="_Hlk113284113"/>
            <w:r w:rsidRPr="00935CE1">
              <w:rPr>
                <w:iCs/>
              </w:rPr>
              <w:t>High</w:t>
            </w:r>
            <w:r w:rsidR="002A0BBB" w:rsidRPr="00935CE1">
              <w:rPr>
                <w:iCs/>
              </w:rPr>
              <w:t xml:space="preserve">, favoured </w:t>
            </w:r>
            <w:r w:rsidRPr="00935CE1">
              <w:rPr>
                <w:iCs/>
              </w:rPr>
              <w:t>Glofit-GemOx</w:t>
            </w:r>
            <w:r w:rsidR="002A0BBB" w:rsidRPr="00935CE1">
              <w:rPr>
                <w:iCs/>
              </w:rPr>
              <w:t xml:space="preserve">. </w:t>
            </w:r>
            <w:bookmarkEnd w:id="78"/>
            <w:r w:rsidRPr="00935CE1">
              <w:rPr>
                <w:iCs/>
              </w:rPr>
              <w:t>Excluding CAR-T costs increased the ICER to $</w:t>
            </w:r>
            <w:r w:rsidR="00BD6E95" w:rsidRPr="00BD6E95">
              <w:rPr>
                <w:iCs/>
                <w:color w:val="000000"/>
                <w:spacing w:val="51"/>
                <w:shd w:val="solid" w:color="000000" w:fill="000000"/>
                <w:fitText w:val="324" w:id="-632054014"/>
                <w14:textFill>
                  <w14:solidFill>
                    <w14:srgbClr w14:val="000000">
                      <w14:alpha w14:val="100000"/>
                    </w14:srgbClr>
                  </w14:solidFill>
                </w14:textFill>
              </w:rPr>
              <w:t>|||</w:t>
            </w:r>
            <w:r w:rsidR="00BD6E95" w:rsidRPr="00BD6E95">
              <w:rPr>
                <w:iCs/>
                <w:color w:val="000000"/>
                <w:spacing w:val="1"/>
                <w:shd w:val="solid" w:color="000000" w:fill="000000"/>
                <w:fitText w:val="324" w:id="-632054014"/>
                <w14:textFill>
                  <w14:solidFill>
                    <w14:srgbClr w14:val="000000">
                      <w14:alpha w14:val="100000"/>
                    </w14:srgbClr>
                  </w14:solidFill>
                </w14:textFill>
              </w:rPr>
              <w:t>|</w:t>
            </w:r>
            <w:r w:rsidR="00B061B7" w:rsidRPr="00B061B7">
              <w:rPr>
                <w:iCs/>
                <w:vertAlign w:val="superscript"/>
              </w:rPr>
              <w:t>3</w:t>
            </w:r>
            <w:r w:rsidR="00B061B7">
              <w:rPr>
                <w:iCs/>
              </w:rPr>
              <w:t xml:space="preserve"> </w:t>
            </w:r>
            <w:r w:rsidR="00C66800" w:rsidRPr="00935CE1">
              <w:rPr>
                <w:iCs/>
              </w:rPr>
              <w:t>per QALY (</w:t>
            </w:r>
            <w:r w:rsidR="00BD6E95">
              <w:rPr>
                <w:iCs/>
                <w:color w:val="000000"/>
                <w:spacing w:val="52"/>
                <w:shd w:val="solid" w:color="000000" w:fill="000000"/>
                <w:fitText w:val="330" w:id="-632054013"/>
                <w14:textFill>
                  <w14:solidFill>
                    <w14:srgbClr w14:val="000000">
                      <w14:alpha w14:val="100000"/>
                    </w14:srgbClr>
                  </w14:solidFill>
                </w14:textFill>
              </w:rPr>
              <w:t>|||</w:t>
            </w:r>
            <w:r w:rsidR="00BD6E95">
              <w:rPr>
                <w:iCs/>
                <w:color w:val="000000"/>
                <w:spacing w:val="2"/>
                <w:shd w:val="solid" w:color="000000" w:fill="000000"/>
                <w:fitText w:val="330" w:id="-632054013"/>
                <w14:textFill>
                  <w14:solidFill>
                    <w14:srgbClr w14:val="000000">
                      <w14:alpha w14:val="100000"/>
                    </w14:srgbClr>
                  </w14:solidFill>
                </w14:textFill>
              </w:rPr>
              <w:t>|</w:t>
            </w:r>
            <w:r w:rsidR="00C66800" w:rsidRPr="00935CE1">
              <w:rPr>
                <w:iCs/>
              </w:rPr>
              <w:t>% increase)</w:t>
            </w:r>
            <w:r w:rsidRPr="00935CE1">
              <w:rPr>
                <w:iCs/>
              </w:rPr>
              <w:t>.</w:t>
            </w:r>
          </w:p>
        </w:tc>
      </w:tr>
    </w:tbl>
    <w:p w14:paraId="5EC9FBE1" w14:textId="4577F5F3" w:rsidR="002A0BBB" w:rsidRPr="00935CE1" w:rsidRDefault="002A0BBB" w:rsidP="009A13CD">
      <w:pPr>
        <w:pStyle w:val="FooterTableFigure"/>
        <w:keepNext/>
        <w:keepLines/>
        <w:rPr>
          <w:iCs/>
        </w:rPr>
      </w:pPr>
      <w:r w:rsidRPr="00935CE1">
        <w:rPr>
          <w:iCs/>
        </w:rPr>
        <w:t xml:space="preserve">Source: </w:t>
      </w:r>
      <w:bookmarkStart w:id="79" w:name="_Hlk111532320"/>
      <w:r w:rsidR="00B11642" w:rsidRPr="00935CE1">
        <w:rPr>
          <w:iCs/>
        </w:rPr>
        <w:t>C</w:t>
      </w:r>
      <w:r w:rsidRPr="00935CE1">
        <w:rPr>
          <w:iCs/>
        </w:rPr>
        <w:t>ompiled during the evaluation</w:t>
      </w:r>
      <w:bookmarkEnd w:id="79"/>
      <w:r w:rsidR="00B11642" w:rsidRPr="00935CE1">
        <w:rPr>
          <w:iCs/>
        </w:rPr>
        <w:t>.</w:t>
      </w:r>
    </w:p>
    <w:p w14:paraId="30F80BB9" w14:textId="77777777" w:rsidR="007653A8" w:rsidRDefault="00B11642" w:rsidP="009A13CD">
      <w:pPr>
        <w:pStyle w:val="FooterTableFigure"/>
        <w:keepNext/>
        <w:keepLines/>
        <w:rPr>
          <w:iCs/>
        </w:rPr>
      </w:pPr>
      <w:r w:rsidRPr="00935CE1">
        <w:rPr>
          <w:iCs/>
        </w:rPr>
        <w:t xml:space="preserve">CAR-T=Chimeric antigen receptor T-cell; </w:t>
      </w:r>
      <w:proofErr w:type="spellStart"/>
      <w:r w:rsidRPr="00935CE1">
        <w:rPr>
          <w:iCs/>
        </w:rPr>
        <w:t>GemOx</w:t>
      </w:r>
      <w:proofErr w:type="spellEnd"/>
      <w:r w:rsidRPr="00935CE1">
        <w:rPr>
          <w:iCs/>
        </w:rPr>
        <w:t>=</w:t>
      </w:r>
      <w:proofErr w:type="spellStart"/>
      <w:r w:rsidRPr="00935CE1">
        <w:rPr>
          <w:iCs/>
        </w:rPr>
        <w:t>gemcitabine+oxaliplatin</w:t>
      </w:r>
      <w:proofErr w:type="spellEnd"/>
      <w:r w:rsidRPr="00935CE1">
        <w:rPr>
          <w:iCs/>
        </w:rPr>
        <w:t xml:space="preserve">; </w:t>
      </w:r>
      <w:proofErr w:type="spellStart"/>
      <w:r w:rsidRPr="00935CE1">
        <w:rPr>
          <w:iCs/>
        </w:rPr>
        <w:t>Glofit</w:t>
      </w:r>
      <w:proofErr w:type="spellEnd"/>
      <w:r w:rsidRPr="00935CE1">
        <w:rPr>
          <w:iCs/>
        </w:rPr>
        <w:t xml:space="preserve">=glofitamab; </w:t>
      </w:r>
      <w:r w:rsidR="009E1562" w:rsidRPr="00935CE1">
        <w:rPr>
          <w:iCs/>
        </w:rPr>
        <w:t>ICER=incremental cost-</w:t>
      </w:r>
      <w:r w:rsidRPr="00935CE1">
        <w:rPr>
          <w:iCs/>
        </w:rPr>
        <w:t>effectiveness</w:t>
      </w:r>
      <w:r w:rsidR="009E1562" w:rsidRPr="00935CE1">
        <w:rPr>
          <w:iCs/>
        </w:rPr>
        <w:t xml:space="preserve"> ratio;</w:t>
      </w:r>
      <w:r w:rsidR="00CB3056" w:rsidRPr="00935CE1">
        <w:rPr>
          <w:iCs/>
        </w:rPr>
        <w:t xml:space="preserve"> KM=Kaplan-Meier; </w:t>
      </w:r>
      <w:r w:rsidR="009E1562" w:rsidRPr="00935CE1">
        <w:rPr>
          <w:iCs/>
        </w:rPr>
        <w:t xml:space="preserve">QALY=quality adjusted life years; </w:t>
      </w:r>
      <w:proofErr w:type="spellStart"/>
      <w:r w:rsidR="009E1562" w:rsidRPr="00935CE1">
        <w:rPr>
          <w:iCs/>
        </w:rPr>
        <w:t>LaRDR</w:t>
      </w:r>
      <w:proofErr w:type="spellEnd"/>
      <w:r w:rsidR="009E1562" w:rsidRPr="00935CE1">
        <w:rPr>
          <w:iCs/>
        </w:rPr>
        <w:t xml:space="preserve">=Lymphoma and Related Diseases Registry; </w:t>
      </w:r>
      <w:r w:rsidRPr="00935CE1">
        <w:rPr>
          <w:iCs/>
        </w:rPr>
        <w:t xml:space="preserve">OS=overall survival; PFS=progression-free survival; R=rituximab; </w:t>
      </w:r>
      <w:r w:rsidR="00CB3056" w:rsidRPr="00935CE1">
        <w:rPr>
          <w:iCs/>
        </w:rPr>
        <w:t xml:space="preserve">R/R DLBCL=Relapse/Refractory Diffuse large B-cell lymphoma; </w:t>
      </w:r>
      <w:r w:rsidR="009E1562" w:rsidRPr="00935CE1">
        <w:rPr>
          <w:iCs/>
        </w:rPr>
        <w:t>TTOT=total time on treatment</w:t>
      </w:r>
      <w:r w:rsidRPr="00935CE1">
        <w:rPr>
          <w:iCs/>
        </w:rPr>
        <w:t>.</w:t>
      </w:r>
    </w:p>
    <w:p w14:paraId="0291D340" w14:textId="607D0293" w:rsidR="007653A8" w:rsidRPr="00F049C3" w:rsidRDefault="007653A8" w:rsidP="007653A8">
      <w:pPr>
        <w:pStyle w:val="FooterTableFigure"/>
        <w:keepNext/>
        <w:keepLines/>
        <w:rPr>
          <w:bCs/>
          <w:i/>
          <w:iCs/>
        </w:rPr>
      </w:pPr>
      <w:bookmarkStart w:id="80" w:name="_Hlk207712662"/>
      <w:r w:rsidRPr="00F049C3">
        <w:rPr>
          <w:bCs/>
          <w:i/>
          <w:iCs/>
        </w:rPr>
        <w:t>The redacted values correspond to the following ranges:</w:t>
      </w:r>
    </w:p>
    <w:p w14:paraId="5102F4AD" w14:textId="77777777" w:rsidR="004776AB" w:rsidRPr="00F049C3" w:rsidRDefault="007653A8" w:rsidP="004776AB">
      <w:pPr>
        <w:pStyle w:val="FooterTableFigure"/>
        <w:keepNext/>
        <w:rPr>
          <w:bCs/>
          <w:i/>
          <w:iCs/>
        </w:rPr>
      </w:pPr>
      <w:r w:rsidRPr="00F049C3">
        <w:rPr>
          <w:bCs/>
          <w:i/>
          <w:iCs/>
          <w:vertAlign w:val="superscript"/>
        </w:rPr>
        <w:t>1</w:t>
      </w:r>
      <w:r w:rsidRPr="00F049C3">
        <w:rPr>
          <w:bCs/>
          <w:i/>
          <w:iCs/>
        </w:rPr>
        <w:t xml:space="preserve"> </w:t>
      </w:r>
      <w:r w:rsidR="004776AB" w:rsidRPr="00F049C3">
        <w:rPr>
          <w:bCs/>
          <w:i/>
          <w:iCs/>
        </w:rPr>
        <w:t>$35,000 to &lt; $45,000</w:t>
      </w:r>
    </w:p>
    <w:p w14:paraId="79716F54" w14:textId="05DBFB40" w:rsidR="004776AB" w:rsidRPr="00F049C3" w:rsidRDefault="00D20F13" w:rsidP="004776AB">
      <w:pPr>
        <w:pStyle w:val="FooterTableFigure"/>
        <w:keepNext/>
        <w:rPr>
          <w:bCs/>
          <w:i/>
          <w:iCs/>
        </w:rPr>
      </w:pPr>
      <w:r w:rsidRPr="00F049C3">
        <w:rPr>
          <w:bCs/>
          <w:i/>
          <w:iCs/>
          <w:vertAlign w:val="superscript"/>
        </w:rPr>
        <w:t>2</w:t>
      </w:r>
      <w:r w:rsidR="001274F7" w:rsidRPr="00F049C3">
        <w:rPr>
          <w:bCs/>
          <w:i/>
          <w:iCs/>
        </w:rPr>
        <w:t xml:space="preserve"> </w:t>
      </w:r>
      <w:r w:rsidR="004776AB" w:rsidRPr="00F049C3">
        <w:rPr>
          <w:bCs/>
          <w:i/>
          <w:iCs/>
        </w:rPr>
        <w:t>$45,000 to &lt; $55,000</w:t>
      </w:r>
    </w:p>
    <w:p w14:paraId="0FC8EB98" w14:textId="424B5039" w:rsidR="004776AB" w:rsidRPr="00F049C3" w:rsidRDefault="001274F7" w:rsidP="004776AB">
      <w:pPr>
        <w:pStyle w:val="FooterTableFigure"/>
        <w:keepNext/>
        <w:rPr>
          <w:bCs/>
          <w:i/>
          <w:iCs/>
        </w:rPr>
      </w:pPr>
      <w:r w:rsidRPr="00F049C3">
        <w:rPr>
          <w:bCs/>
          <w:i/>
          <w:iCs/>
          <w:vertAlign w:val="superscript"/>
        </w:rPr>
        <w:t>3</w:t>
      </w:r>
      <w:r w:rsidR="00AF183C" w:rsidRPr="00F049C3">
        <w:rPr>
          <w:bCs/>
          <w:i/>
          <w:iCs/>
          <w:vertAlign w:val="superscript"/>
        </w:rPr>
        <w:t xml:space="preserve"> </w:t>
      </w:r>
      <w:r w:rsidRPr="00F049C3">
        <w:rPr>
          <w:bCs/>
          <w:i/>
          <w:iCs/>
          <w:vertAlign w:val="superscript"/>
        </w:rPr>
        <w:t xml:space="preserve"> </w:t>
      </w:r>
      <w:r w:rsidR="004776AB" w:rsidRPr="00F049C3">
        <w:rPr>
          <w:bCs/>
          <w:i/>
          <w:iCs/>
        </w:rPr>
        <w:t xml:space="preserve">$55,000 to &lt; $75,000 </w:t>
      </w:r>
    </w:p>
    <w:bookmarkEnd w:id="80"/>
    <w:p w14:paraId="05D0D509" w14:textId="02323051" w:rsidR="002A0BBB" w:rsidRPr="00935CE1" w:rsidRDefault="004727A1" w:rsidP="004602CD">
      <w:pPr>
        <w:numPr>
          <w:ilvl w:val="1"/>
          <w:numId w:val="1"/>
        </w:numPr>
        <w:spacing w:before="60" w:after="60"/>
        <w:rPr>
          <w:rFonts w:asciiTheme="minorHAnsi" w:hAnsiTheme="minorHAnsi"/>
          <w:iCs/>
          <w:snapToGrid w:val="0"/>
        </w:rPr>
      </w:pPr>
      <w:r w:rsidRPr="00935CE1">
        <w:rPr>
          <w:rFonts w:asciiTheme="minorHAnsi" w:hAnsiTheme="minorHAnsi"/>
          <w:iCs/>
          <w:snapToGrid w:val="0"/>
        </w:rPr>
        <w:t>The b</w:t>
      </w:r>
      <w:r w:rsidR="002A0BBB" w:rsidRPr="00935CE1">
        <w:rPr>
          <w:rFonts w:asciiTheme="minorHAnsi" w:hAnsiTheme="minorHAnsi"/>
          <w:iCs/>
          <w:snapToGrid w:val="0"/>
        </w:rPr>
        <w:t xml:space="preserve">ase case results </w:t>
      </w:r>
      <w:r w:rsidR="009B2EE8" w:rsidRPr="00935CE1">
        <w:rPr>
          <w:rFonts w:asciiTheme="minorHAnsi" w:hAnsiTheme="minorHAnsi"/>
          <w:iCs/>
          <w:snapToGrid w:val="0"/>
        </w:rPr>
        <w:t xml:space="preserve">of the stepped economic evaluation </w:t>
      </w:r>
      <w:r w:rsidR="002A0BBB" w:rsidRPr="00935CE1">
        <w:rPr>
          <w:rFonts w:asciiTheme="minorHAnsi" w:hAnsiTheme="minorHAnsi"/>
          <w:iCs/>
          <w:snapToGrid w:val="0"/>
        </w:rPr>
        <w:t xml:space="preserve">are presented in </w:t>
      </w:r>
      <w:r w:rsidR="003F2E79" w:rsidRPr="00935CE1">
        <w:rPr>
          <w:rFonts w:asciiTheme="minorHAnsi" w:hAnsiTheme="minorHAnsi"/>
          <w:iCs/>
          <w:snapToGrid w:val="0"/>
        </w:rPr>
        <w:fldChar w:fldCharType="begin" w:fldLock="1"/>
      </w:r>
      <w:r w:rsidR="003F2E79" w:rsidRPr="00935CE1">
        <w:rPr>
          <w:rFonts w:asciiTheme="minorHAnsi" w:hAnsiTheme="minorHAnsi"/>
          <w:iCs/>
          <w:snapToGrid w:val="0"/>
        </w:rPr>
        <w:instrText xml:space="preserve"> REF _Ref111485416  \* MERGEFORMAT </w:instrText>
      </w:r>
      <w:r w:rsidR="003F2E79" w:rsidRPr="00935CE1">
        <w:rPr>
          <w:rFonts w:asciiTheme="minorHAnsi" w:hAnsiTheme="minorHAnsi"/>
          <w:iCs/>
          <w:snapToGrid w:val="0"/>
        </w:rPr>
        <w:fldChar w:fldCharType="separate"/>
      </w:r>
      <w:r w:rsidR="003C21E7" w:rsidRPr="003C21E7">
        <w:rPr>
          <w:rFonts w:asciiTheme="minorHAnsi" w:hAnsiTheme="minorHAnsi"/>
          <w:snapToGrid w:val="0"/>
        </w:rPr>
        <w:t xml:space="preserve">Table </w:t>
      </w:r>
      <w:r w:rsidR="003C21E7" w:rsidRPr="003C21E7">
        <w:rPr>
          <w:rFonts w:asciiTheme="minorHAnsi" w:hAnsiTheme="minorHAnsi"/>
          <w:iCs/>
          <w:snapToGrid w:val="0"/>
        </w:rPr>
        <w:t>12</w:t>
      </w:r>
      <w:r w:rsidR="003F2E79" w:rsidRPr="00935CE1">
        <w:rPr>
          <w:rFonts w:asciiTheme="minorHAnsi" w:hAnsiTheme="minorHAnsi"/>
          <w:iCs/>
          <w:snapToGrid w:val="0"/>
        </w:rPr>
        <w:fldChar w:fldCharType="end"/>
      </w:r>
      <w:r w:rsidR="002A0BBB" w:rsidRPr="00935CE1">
        <w:rPr>
          <w:rFonts w:asciiTheme="minorHAnsi" w:hAnsiTheme="minorHAnsi"/>
          <w:iCs/>
          <w:snapToGrid w:val="0"/>
        </w:rPr>
        <w:t>.</w:t>
      </w:r>
    </w:p>
    <w:p w14:paraId="37897C22" w14:textId="2CC164EE" w:rsidR="002A0BBB" w:rsidRPr="00935CE1" w:rsidRDefault="002A0BBB" w:rsidP="00087C24">
      <w:pPr>
        <w:pStyle w:val="TableFigureHeading"/>
        <w:keepLines/>
        <w:rPr>
          <w:rStyle w:val="CommentReference"/>
          <w:b/>
          <w:iCs/>
          <w:szCs w:val="24"/>
        </w:rPr>
      </w:pPr>
      <w:bookmarkStart w:id="81" w:name="_Ref111485416"/>
      <w:r w:rsidRPr="00935CE1">
        <w:rPr>
          <w:rStyle w:val="CommentReference"/>
          <w:b/>
          <w:iCs/>
          <w:szCs w:val="24"/>
        </w:rPr>
        <w:t xml:space="preserve">Table </w:t>
      </w:r>
      <w:bookmarkStart w:id="82" w:name="_Hlk111485610"/>
      <w:r w:rsidRPr="00935CE1">
        <w:rPr>
          <w:iCs/>
        </w:rPr>
        <w:fldChar w:fldCharType="begin" w:fldLock="1"/>
      </w:r>
      <w:r w:rsidRPr="00935CE1">
        <w:rPr>
          <w:iCs/>
        </w:rPr>
        <w:instrText xml:space="preserve"> SEQ Table \* ARABIC </w:instrText>
      </w:r>
      <w:r w:rsidRPr="00935CE1">
        <w:rPr>
          <w:iCs/>
        </w:rPr>
        <w:fldChar w:fldCharType="separate"/>
      </w:r>
      <w:r w:rsidR="003C21E7">
        <w:rPr>
          <w:iCs/>
          <w:noProof/>
        </w:rPr>
        <w:t>12</w:t>
      </w:r>
      <w:r w:rsidRPr="00935CE1">
        <w:rPr>
          <w:iCs/>
          <w:noProof/>
        </w:rPr>
        <w:fldChar w:fldCharType="end"/>
      </w:r>
      <w:bookmarkEnd w:id="81"/>
      <w:bookmarkEnd w:id="82"/>
      <w:r w:rsidRPr="00935CE1">
        <w:rPr>
          <w:rStyle w:val="CommentReference"/>
          <w:b/>
          <w:iCs/>
          <w:szCs w:val="24"/>
        </w:rPr>
        <w:t>: Results of the stepped economic evaluation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base case)"/>
      </w:tblPr>
      <w:tblGrid>
        <w:gridCol w:w="3978"/>
        <w:gridCol w:w="1726"/>
        <w:gridCol w:w="1991"/>
        <w:gridCol w:w="1322"/>
      </w:tblGrid>
      <w:tr w:rsidR="00FE25E8" w:rsidRPr="00935CE1" w14:paraId="07A1389B" w14:textId="77777777" w:rsidTr="00977721">
        <w:trPr>
          <w:cantSplit/>
          <w:trHeight w:val="70"/>
          <w:tblHeader/>
        </w:trPr>
        <w:tc>
          <w:tcPr>
            <w:tcW w:w="2206" w:type="pct"/>
            <w:tcBorders>
              <w:bottom w:val="single" w:sz="4" w:space="0" w:color="auto"/>
            </w:tcBorders>
            <w:tcMar>
              <w:left w:w="57" w:type="dxa"/>
              <w:right w:w="57" w:type="dxa"/>
            </w:tcMar>
            <w:vAlign w:val="center"/>
          </w:tcPr>
          <w:p w14:paraId="42F671C7" w14:textId="77777777" w:rsidR="00FE25E8" w:rsidRPr="00935CE1" w:rsidRDefault="00FE25E8" w:rsidP="00087C24">
            <w:pPr>
              <w:pStyle w:val="Tabletext"/>
              <w:keepNext/>
              <w:keepLines/>
              <w:rPr>
                <w:b/>
                <w:bCs/>
                <w:iCs/>
              </w:rPr>
            </w:pPr>
            <w:r w:rsidRPr="00935CE1">
              <w:rPr>
                <w:b/>
                <w:bCs/>
                <w:iCs/>
              </w:rPr>
              <w:t>Parameter</w:t>
            </w:r>
          </w:p>
        </w:tc>
        <w:tc>
          <w:tcPr>
            <w:tcW w:w="957" w:type="pct"/>
            <w:tcBorders>
              <w:bottom w:val="single" w:sz="4" w:space="0" w:color="auto"/>
            </w:tcBorders>
            <w:vAlign w:val="center"/>
          </w:tcPr>
          <w:p w14:paraId="0377A727" w14:textId="77777777" w:rsidR="00FE25E8" w:rsidRPr="00935CE1" w:rsidRDefault="00FE25E8" w:rsidP="00087C24">
            <w:pPr>
              <w:pStyle w:val="Tabletext"/>
              <w:keepNext/>
              <w:keepLines/>
              <w:rPr>
                <w:b/>
                <w:bCs/>
                <w:iCs/>
              </w:rPr>
            </w:pPr>
            <w:r w:rsidRPr="00935CE1">
              <w:rPr>
                <w:b/>
                <w:bCs/>
                <w:iCs/>
              </w:rPr>
              <w:t>Glofit-GemOx</w:t>
            </w:r>
          </w:p>
        </w:tc>
        <w:tc>
          <w:tcPr>
            <w:tcW w:w="1104" w:type="pct"/>
            <w:tcBorders>
              <w:bottom w:val="single" w:sz="4" w:space="0" w:color="auto"/>
            </w:tcBorders>
            <w:vAlign w:val="center"/>
          </w:tcPr>
          <w:p w14:paraId="20543E10" w14:textId="77777777" w:rsidR="00FE25E8" w:rsidRPr="00935CE1" w:rsidRDefault="00FE25E8" w:rsidP="00087C24">
            <w:pPr>
              <w:pStyle w:val="Tabletext"/>
              <w:keepNext/>
              <w:keepLines/>
              <w:rPr>
                <w:b/>
                <w:bCs/>
                <w:iCs/>
              </w:rPr>
            </w:pPr>
            <w:r w:rsidRPr="00935CE1">
              <w:rPr>
                <w:b/>
                <w:bCs/>
                <w:iCs/>
              </w:rPr>
              <w:t>R-</w:t>
            </w:r>
            <w:proofErr w:type="spellStart"/>
            <w:r w:rsidRPr="00935CE1">
              <w:rPr>
                <w:b/>
                <w:bCs/>
                <w:iCs/>
              </w:rPr>
              <w:t>GemOx</w:t>
            </w:r>
            <w:proofErr w:type="spellEnd"/>
          </w:p>
        </w:tc>
        <w:tc>
          <w:tcPr>
            <w:tcW w:w="733" w:type="pct"/>
            <w:tcBorders>
              <w:bottom w:val="single" w:sz="4" w:space="0" w:color="auto"/>
            </w:tcBorders>
            <w:vAlign w:val="center"/>
          </w:tcPr>
          <w:p w14:paraId="5ADDBCCF" w14:textId="77777777" w:rsidR="00FE25E8" w:rsidRPr="00935CE1" w:rsidRDefault="00FE25E8" w:rsidP="00087C24">
            <w:pPr>
              <w:pStyle w:val="Tabletext"/>
              <w:keepNext/>
              <w:keepLines/>
              <w:rPr>
                <w:b/>
                <w:bCs/>
                <w:iCs/>
              </w:rPr>
            </w:pPr>
            <w:r w:rsidRPr="00935CE1">
              <w:rPr>
                <w:b/>
                <w:bCs/>
                <w:iCs/>
              </w:rPr>
              <w:t>Incremental</w:t>
            </w:r>
          </w:p>
        </w:tc>
      </w:tr>
      <w:tr w:rsidR="00FE25E8" w:rsidRPr="00935CE1" w14:paraId="166497F0" w14:textId="77777777" w:rsidTr="00977721">
        <w:trPr>
          <w:cantSplit/>
        </w:trPr>
        <w:tc>
          <w:tcPr>
            <w:tcW w:w="5000" w:type="pct"/>
            <w:gridSpan w:val="4"/>
            <w:tcBorders>
              <w:top w:val="single" w:sz="4" w:space="0" w:color="auto"/>
              <w:bottom w:val="single" w:sz="4" w:space="0" w:color="auto"/>
            </w:tcBorders>
            <w:tcMar>
              <w:left w:w="57" w:type="dxa"/>
              <w:right w:w="57" w:type="dxa"/>
            </w:tcMar>
          </w:tcPr>
          <w:p w14:paraId="4F0538E5" w14:textId="77777777" w:rsidR="00FE25E8" w:rsidRPr="00935CE1" w:rsidRDefault="00FE25E8" w:rsidP="00087C24">
            <w:pPr>
              <w:pStyle w:val="Tabletext"/>
              <w:keepNext/>
              <w:keepLines/>
              <w:rPr>
                <w:b/>
                <w:bCs/>
                <w:iCs/>
              </w:rPr>
            </w:pPr>
            <w:r w:rsidRPr="00935CE1">
              <w:rPr>
                <w:b/>
                <w:bCs/>
                <w:iCs/>
              </w:rPr>
              <w:t>Step 1: Trial-based evaluation</w:t>
            </w:r>
          </w:p>
        </w:tc>
      </w:tr>
      <w:tr w:rsidR="00FE25E8" w:rsidRPr="00935CE1" w14:paraId="67860E4E" w14:textId="77777777" w:rsidTr="00977721">
        <w:trPr>
          <w:cantSplit/>
        </w:trPr>
        <w:tc>
          <w:tcPr>
            <w:tcW w:w="2206" w:type="pct"/>
            <w:tcBorders>
              <w:top w:val="single" w:sz="4" w:space="0" w:color="auto"/>
              <w:bottom w:val="single" w:sz="4" w:space="0" w:color="auto"/>
            </w:tcBorders>
            <w:tcMar>
              <w:left w:w="57" w:type="dxa"/>
              <w:right w:w="57" w:type="dxa"/>
            </w:tcMar>
          </w:tcPr>
          <w:p w14:paraId="2C25977F" w14:textId="77777777" w:rsidR="00FE25E8" w:rsidRPr="00935CE1" w:rsidRDefault="00FE25E8" w:rsidP="00087C24">
            <w:pPr>
              <w:pStyle w:val="Tabletext"/>
              <w:keepNext/>
              <w:keepLines/>
              <w:rPr>
                <w:iCs/>
              </w:rPr>
            </w:pPr>
            <w:r w:rsidRPr="00935CE1">
              <w:rPr>
                <w:iCs/>
              </w:rPr>
              <w:t>Incremental costs</w:t>
            </w:r>
          </w:p>
        </w:tc>
        <w:tc>
          <w:tcPr>
            <w:tcW w:w="957" w:type="pct"/>
            <w:tcBorders>
              <w:top w:val="single" w:sz="4" w:space="0" w:color="auto"/>
              <w:bottom w:val="single" w:sz="4" w:space="0" w:color="auto"/>
            </w:tcBorders>
          </w:tcPr>
          <w:p w14:paraId="3931BDA7" w14:textId="2884F3B8"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12"/>
                <w14:textFill>
                  <w14:solidFill>
                    <w14:srgbClr w14:val="000000">
                      <w14:alpha w14:val="100000"/>
                    </w14:srgbClr>
                  </w14:solidFill>
                </w14:textFill>
              </w:rPr>
              <w:t>|||</w:t>
            </w:r>
            <w:r w:rsidR="00BD6E95" w:rsidRPr="00BD6E95">
              <w:rPr>
                <w:iCs/>
                <w:color w:val="000000"/>
                <w:spacing w:val="1"/>
                <w:shd w:val="solid" w:color="000000" w:fill="000000"/>
                <w:fitText w:val="330" w:id="-632054012"/>
                <w14:textFill>
                  <w14:solidFill>
                    <w14:srgbClr w14:val="000000">
                      <w14:alpha w14:val="100000"/>
                    </w14:srgbClr>
                  </w14:solidFill>
                </w14:textFill>
              </w:rPr>
              <w:t>|</w:t>
            </w:r>
          </w:p>
        </w:tc>
        <w:tc>
          <w:tcPr>
            <w:tcW w:w="1104" w:type="pct"/>
            <w:tcBorders>
              <w:top w:val="single" w:sz="4" w:space="0" w:color="auto"/>
              <w:bottom w:val="single" w:sz="4" w:space="0" w:color="auto"/>
            </w:tcBorders>
          </w:tcPr>
          <w:p w14:paraId="44457354" w14:textId="77777777" w:rsidR="00FE25E8" w:rsidRPr="00935CE1" w:rsidRDefault="00FE25E8" w:rsidP="00087C24">
            <w:pPr>
              <w:pStyle w:val="Tabletext"/>
              <w:keepNext/>
              <w:keepLines/>
              <w:rPr>
                <w:iCs/>
              </w:rPr>
            </w:pPr>
            <w:r w:rsidRPr="00935CE1">
              <w:rPr>
                <w:iCs/>
              </w:rPr>
              <w:t>$3,378</w:t>
            </w:r>
          </w:p>
        </w:tc>
        <w:tc>
          <w:tcPr>
            <w:tcW w:w="733" w:type="pct"/>
            <w:tcBorders>
              <w:top w:val="single" w:sz="4" w:space="0" w:color="auto"/>
              <w:bottom w:val="single" w:sz="4" w:space="0" w:color="auto"/>
            </w:tcBorders>
          </w:tcPr>
          <w:p w14:paraId="3766382E" w14:textId="2B72926D"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11"/>
                <w14:textFill>
                  <w14:solidFill>
                    <w14:srgbClr w14:val="000000">
                      <w14:alpha w14:val="100000"/>
                    </w14:srgbClr>
                  </w14:solidFill>
                </w14:textFill>
              </w:rPr>
              <w:t>|||</w:t>
            </w:r>
            <w:r w:rsidR="00BD6E95" w:rsidRPr="00BD6E95">
              <w:rPr>
                <w:iCs/>
                <w:color w:val="000000"/>
                <w:spacing w:val="1"/>
                <w:shd w:val="solid" w:color="000000" w:fill="000000"/>
                <w:fitText w:val="330" w:id="-632054011"/>
                <w14:textFill>
                  <w14:solidFill>
                    <w14:srgbClr w14:val="000000">
                      <w14:alpha w14:val="100000"/>
                    </w14:srgbClr>
                  </w14:solidFill>
                </w14:textFill>
              </w:rPr>
              <w:t>|</w:t>
            </w:r>
          </w:p>
        </w:tc>
      </w:tr>
      <w:tr w:rsidR="00FE25E8" w:rsidRPr="00935CE1" w14:paraId="31F3A1D5" w14:textId="77777777" w:rsidTr="00977721">
        <w:trPr>
          <w:cantSplit/>
        </w:trPr>
        <w:tc>
          <w:tcPr>
            <w:tcW w:w="2206" w:type="pct"/>
            <w:tcBorders>
              <w:top w:val="single" w:sz="4" w:space="0" w:color="auto"/>
              <w:bottom w:val="single" w:sz="4" w:space="0" w:color="auto"/>
            </w:tcBorders>
            <w:tcMar>
              <w:left w:w="57" w:type="dxa"/>
              <w:right w:w="57" w:type="dxa"/>
            </w:tcMar>
          </w:tcPr>
          <w:p w14:paraId="1CDFBF1F" w14:textId="77777777" w:rsidR="00FE25E8" w:rsidRPr="00935CE1" w:rsidRDefault="00FE25E8" w:rsidP="00087C24">
            <w:pPr>
              <w:pStyle w:val="Tabletext"/>
              <w:keepNext/>
              <w:keepLines/>
              <w:rPr>
                <w:iCs/>
              </w:rPr>
            </w:pPr>
            <w:r w:rsidRPr="00935CE1">
              <w:rPr>
                <w:iCs/>
              </w:rPr>
              <w:t>Incremental LYG</w:t>
            </w:r>
          </w:p>
        </w:tc>
        <w:tc>
          <w:tcPr>
            <w:tcW w:w="957" w:type="pct"/>
            <w:tcBorders>
              <w:top w:val="single" w:sz="4" w:space="0" w:color="auto"/>
              <w:bottom w:val="single" w:sz="4" w:space="0" w:color="auto"/>
            </w:tcBorders>
          </w:tcPr>
          <w:p w14:paraId="4EB3DA9B" w14:textId="77777777" w:rsidR="00FE25E8" w:rsidRPr="00935CE1" w:rsidRDefault="00FE25E8" w:rsidP="00087C24">
            <w:pPr>
              <w:pStyle w:val="Tabletext"/>
              <w:keepNext/>
              <w:keepLines/>
              <w:rPr>
                <w:iCs/>
              </w:rPr>
            </w:pPr>
            <w:r w:rsidRPr="00935CE1">
              <w:rPr>
                <w:iCs/>
              </w:rPr>
              <w:t>1.460</w:t>
            </w:r>
          </w:p>
        </w:tc>
        <w:tc>
          <w:tcPr>
            <w:tcW w:w="1104" w:type="pct"/>
            <w:tcBorders>
              <w:top w:val="single" w:sz="4" w:space="0" w:color="auto"/>
              <w:bottom w:val="single" w:sz="4" w:space="0" w:color="auto"/>
            </w:tcBorders>
          </w:tcPr>
          <w:p w14:paraId="64D65E0C" w14:textId="77777777" w:rsidR="00FE25E8" w:rsidRPr="00935CE1" w:rsidRDefault="00FE25E8" w:rsidP="00087C24">
            <w:pPr>
              <w:pStyle w:val="Tabletext"/>
              <w:keepNext/>
              <w:keepLines/>
              <w:rPr>
                <w:iCs/>
              </w:rPr>
            </w:pPr>
            <w:r w:rsidRPr="00935CE1">
              <w:rPr>
                <w:iCs/>
              </w:rPr>
              <w:t>1.182</w:t>
            </w:r>
          </w:p>
        </w:tc>
        <w:tc>
          <w:tcPr>
            <w:tcW w:w="733" w:type="pct"/>
            <w:tcBorders>
              <w:top w:val="single" w:sz="4" w:space="0" w:color="auto"/>
              <w:bottom w:val="single" w:sz="4" w:space="0" w:color="auto"/>
            </w:tcBorders>
          </w:tcPr>
          <w:p w14:paraId="0EE2E83A" w14:textId="77777777" w:rsidR="00FE25E8" w:rsidRPr="00935CE1" w:rsidRDefault="00FE25E8" w:rsidP="00087C24">
            <w:pPr>
              <w:pStyle w:val="Tabletext"/>
              <w:keepNext/>
              <w:keepLines/>
              <w:rPr>
                <w:iCs/>
              </w:rPr>
            </w:pPr>
            <w:r w:rsidRPr="00935CE1">
              <w:rPr>
                <w:iCs/>
              </w:rPr>
              <w:t>0.278</w:t>
            </w:r>
          </w:p>
        </w:tc>
      </w:tr>
      <w:tr w:rsidR="00FE25E8" w:rsidRPr="00935CE1" w14:paraId="70B222FE" w14:textId="77777777" w:rsidTr="00977721">
        <w:trPr>
          <w:cantSplit/>
        </w:trPr>
        <w:tc>
          <w:tcPr>
            <w:tcW w:w="2206" w:type="pct"/>
            <w:tcBorders>
              <w:top w:val="single" w:sz="4" w:space="0" w:color="auto"/>
              <w:bottom w:val="single" w:sz="4" w:space="0" w:color="auto"/>
            </w:tcBorders>
            <w:tcMar>
              <w:left w:w="57" w:type="dxa"/>
              <w:right w:w="57" w:type="dxa"/>
            </w:tcMar>
          </w:tcPr>
          <w:p w14:paraId="6A943B06" w14:textId="77777777" w:rsidR="00FE25E8" w:rsidRPr="00935CE1" w:rsidRDefault="00FE25E8" w:rsidP="00087C24">
            <w:pPr>
              <w:pStyle w:val="Tabletext"/>
              <w:keepNext/>
              <w:keepLines/>
              <w:rPr>
                <w:iCs/>
              </w:rPr>
            </w:pPr>
            <w:r w:rsidRPr="00935CE1">
              <w:rPr>
                <w:iCs/>
              </w:rPr>
              <w:t>Incremental QALYs</w:t>
            </w:r>
          </w:p>
        </w:tc>
        <w:tc>
          <w:tcPr>
            <w:tcW w:w="957" w:type="pct"/>
            <w:tcBorders>
              <w:top w:val="single" w:sz="4" w:space="0" w:color="auto"/>
              <w:bottom w:val="single" w:sz="4" w:space="0" w:color="auto"/>
            </w:tcBorders>
          </w:tcPr>
          <w:p w14:paraId="53A93C6E" w14:textId="77777777" w:rsidR="00FE25E8" w:rsidRPr="00935CE1" w:rsidRDefault="00FE25E8" w:rsidP="00087C24">
            <w:pPr>
              <w:pStyle w:val="Tabletext"/>
              <w:keepNext/>
              <w:keepLines/>
              <w:rPr>
                <w:iCs/>
              </w:rPr>
            </w:pPr>
            <w:r w:rsidRPr="00935CE1">
              <w:rPr>
                <w:iCs/>
              </w:rPr>
              <w:t>1.022</w:t>
            </w:r>
          </w:p>
        </w:tc>
        <w:tc>
          <w:tcPr>
            <w:tcW w:w="1104" w:type="pct"/>
            <w:tcBorders>
              <w:top w:val="single" w:sz="4" w:space="0" w:color="auto"/>
              <w:bottom w:val="single" w:sz="4" w:space="0" w:color="auto"/>
            </w:tcBorders>
          </w:tcPr>
          <w:p w14:paraId="1E802D57" w14:textId="77777777" w:rsidR="00FE25E8" w:rsidRPr="00935CE1" w:rsidRDefault="00FE25E8" w:rsidP="00087C24">
            <w:pPr>
              <w:pStyle w:val="Tabletext"/>
              <w:keepNext/>
              <w:keepLines/>
              <w:rPr>
                <w:iCs/>
              </w:rPr>
            </w:pPr>
            <w:r w:rsidRPr="00935CE1">
              <w:rPr>
                <w:iCs/>
              </w:rPr>
              <w:t>0.806</w:t>
            </w:r>
          </w:p>
        </w:tc>
        <w:tc>
          <w:tcPr>
            <w:tcW w:w="733" w:type="pct"/>
            <w:tcBorders>
              <w:top w:val="single" w:sz="4" w:space="0" w:color="auto"/>
              <w:bottom w:val="single" w:sz="4" w:space="0" w:color="auto"/>
            </w:tcBorders>
          </w:tcPr>
          <w:p w14:paraId="3658333B" w14:textId="77777777" w:rsidR="00FE25E8" w:rsidRPr="00935CE1" w:rsidRDefault="00FE25E8" w:rsidP="00087C24">
            <w:pPr>
              <w:pStyle w:val="Tabletext"/>
              <w:keepNext/>
              <w:keepLines/>
              <w:rPr>
                <w:iCs/>
              </w:rPr>
            </w:pPr>
            <w:r w:rsidRPr="00935CE1">
              <w:rPr>
                <w:iCs/>
              </w:rPr>
              <w:t>0.216</w:t>
            </w:r>
          </w:p>
        </w:tc>
      </w:tr>
      <w:tr w:rsidR="00FE25E8" w:rsidRPr="00935CE1" w14:paraId="46ADCB33" w14:textId="77777777" w:rsidTr="00977721">
        <w:trPr>
          <w:cantSplit/>
        </w:trPr>
        <w:tc>
          <w:tcPr>
            <w:tcW w:w="4267" w:type="pct"/>
            <w:gridSpan w:val="3"/>
            <w:tcBorders>
              <w:top w:val="single" w:sz="4" w:space="0" w:color="auto"/>
              <w:bottom w:val="single" w:sz="4" w:space="0" w:color="auto"/>
            </w:tcBorders>
            <w:tcMar>
              <w:left w:w="57" w:type="dxa"/>
              <w:right w:w="57" w:type="dxa"/>
            </w:tcMar>
          </w:tcPr>
          <w:p w14:paraId="7CF54BD4" w14:textId="77777777" w:rsidR="00FE25E8" w:rsidRPr="00935CE1" w:rsidRDefault="00FE25E8" w:rsidP="00087C24">
            <w:pPr>
              <w:pStyle w:val="Tabletext"/>
              <w:keepNext/>
              <w:keepLines/>
              <w:rPr>
                <w:iCs/>
              </w:rPr>
            </w:pPr>
            <w:r w:rsidRPr="00935CE1">
              <w:rPr>
                <w:iCs/>
              </w:rPr>
              <w:t>Incremental cost/QALY</w:t>
            </w:r>
          </w:p>
        </w:tc>
        <w:tc>
          <w:tcPr>
            <w:tcW w:w="733" w:type="pct"/>
            <w:tcBorders>
              <w:top w:val="single" w:sz="4" w:space="0" w:color="auto"/>
              <w:bottom w:val="single" w:sz="4" w:space="0" w:color="auto"/>
            </w:tcBorders>
          </w:tcPr>
          <w:p w14:paraId="696AF109" w14:textId="1E726DC9" w:rsidR="00FE25E8" w:rsidRPr="00935CE1" w:rsidRDefault="00FE25E8" w:rsidP="00087C24">
            <w:pPr>
              <w:pStyle w:val="Tabletext"/>
              <w:keepNext/>
              <w:keepLines/>
              <w:rPr>
                <w:b/>
                <w:bCs/>
                <w:iCs/>
              </w:rPr>
            </w:pPr>
            <w:r w:rsidRPr="00935CE1">
              <w:rPr>
                <w:b/>
                <w:bCs/>
                <w:iCs/>
              </w:rPr>
              <w:t>$</w:t>
            </w:r>
            <w:r w:rsidR="00BD6E95" w:rsidRPr="00BD6E95">
              <w:rPr>
                <w:b/>
                <w:bCs/>
                <w:iCs/>
                <w:color w:val="000000"/>
                <w:spacing w:val="56"/>
                <w:shd w:val="solid" w:color="000000" w:fill="000000"/>
                <w:fitText w:val="354" w:id="-632054010"/>
                <w14:textFill>
                  <w14:solidFill>
                    <w14:srgbClr w14:val="000000">
                      <w14:alpha w14:val="100000"/>
                    </w14:srgbClr>
                  </w14:solidFill>
                </w14:textFill>
              </w:rPr>
              <w:t>|||</w:t>
            </w:r>
            <w:r w:rsidR="00BD6E95" w:rsidRPr="00BD6E95">
              <w:rPr>
                <w:b/>
                <w:bCs/>
                <w:iCs/>
                <w:color w:val="000000"/>
                <w:spacing w:val="3"/>
                <w:shd w:val="solid" w:color="000000" w:fill="000000"/>
                <w:fitText w:val="354" w:id="-632054010"/>
                <w14:textFill>
                  <w14:solidFill>
                    <w14:srgbClr w14:val="000000">
                      <w14:alpha w14:val="100000"/>
                    </w14:srgbClr>
                  </w14:solidFill>
                </w14:textFill>
              </w:rPr>
              <w:t>|</w:t>
            </w:r>
            <w:r w:rsidR="0019626C" w:rsidRPr="00867E19">
              <w:rPr>
                <w:b/>
                <w:bCs/>
                <w:iCs/>
                <w:vertAlign w:val="superscript"/>
              </w:rPr>
              <w:t>1</w:t>
            </w:r>
          </w:p>
        </w:tc>
      </w:tr>
      <w:tr w:rsidR="00FE25E8" w:rsidRPr="00935CE1" w14:paraId="3CAE46AD" w14:textId="77777777" w:rsidTr="00977721">
        <w:trPr>
          <w:cantSplit/>
        </w:trPr>
        <w:tc>
          <w:tcPr>
            <w:tcW w:w="5000" w:type="pct"/>
            <w:gridSpan w:val="4"/>
            <w:tcBorders>
              <w:top w:val="single" w:sz="4" w:space="0" w:color="auto"/>
              <w:bottom w:val="single" w:sz="4" w:space="0" w:color="auto"/>
            </w:tcBorders>
            <w:tcMar>
              <w:left w:w="57" w:type="dxa"/>
              <w:right w:w="57" w:type="dxa"/>
            </w:tcMar>
          </w:tcPr>
          <w:p w14:paraId="145930B5" w14:textId="77777777" w:rsidR="00FE25E8" w:rsidRPr="00935CE1" w:rsidRDefault="00FE25E8" w:rsidP="00087C24">
            <w:pPr>
              <w:pStyle w:val="Tabletext"/>
              <w:keepNext/>
              <w:keepLines/>
              <w:rPr>
                <w:b/>
                <w:bCs/>
                <w:iCs/>
              </w:rPr>
            </w:pPr>
            <w:r w:rsidRPr="00935CE1">
              <w:rPr>
                <w:b/>
                <w:bCs/>
                <w:iCs/>
              </w:rPr>
              <w:t>Step 2: Extrapolated economic evaluation</w:t>
            </w:r>
          </w:p>
        </w:tc>
      </w:tr>
      <w:tr w:rsidR="00FE25E8" w:rsidRPr="00935CE1" w14:paraId="33898C66" w14:textId="77777777" w:rsidTr="00977721">
        <w:trPr>
          <w:cantSplit/>
        </w:trPr>
        <w:tc>
          <w:tcPr>
            <w:tcW w:w="2206" w:type="pct"/>
            <w:tcBorders>
              <w:top w:val="single" w:sz="4" w:space="0" w:color="auto"/>
              <w:bottom w:val="single" w:sz="4" w:space="0" w:color="auto"/>
            </w:tcBorders>
            <w:tcMar>
              <w:left w:w="57" w:type="dxa"/>
              <w:right w:w="57" w:type="dxa"/>
            </w:tcMar>
          </w:tcPr>
          <w:p w14:paraId="04DA3A29" w14:textId="77777777" w:rsidR="00FE25E8" w:rsidRPr="00935CE1" w:rsidRDefault="00FE25E8" w:rsidP="00087C24">
            <w:pPr>
              <w:pStyle w:val="Tabletext"/>
              <w:keepNext/>
              <w:keepLines/>
              <w:rPr>
                <w:iCs/>
              </w:rPr>
            </w:pPr>
            <w:r w:rsidRPr="00935CE1">
              <w:rPr>
                <w:iCs/>
              </w:rPr>
              <w:t>Incremental costs</w:t>
            </w:r>
          </w:p>
        </w:tc>
        <w:tc>
          <w:tcPr>
            <w:tcW w:w="957" w:type="pct"/>
            <w:tcBorders>
              <w:top w:val="single" w:sz="4" w:space="0" w:color="auto"/>
              <w:bottom w:val="single" w:sz="4" w:space="0" w:color="auto"/>
            </w:tcBorders>
          </w:tcPr>
          <w:p w14:paraId="42F5EC2B" w14:textId="0B39CE0C"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09"/>
                <w14:textFill>
                  <w14:solidFill>
                    <w14:srgbClr w14:val="000000">
                      <w14:alpha w14:val="100000"/>
                    </w14:srgbClr>
                  </w14:solidFill>
                </w14:textFill>
              </w:rPr>
              <w:t>|||</w:t>
            </w:r>
            <w:r w:rsidR="00BD6E95" w:rsidRPr="00BD6E95">
              <w:rPr>
                <w:iCs/>
                <w:color w:val="000000"/>
                <w:spacing w:val="1"/>
                <w:shd w:val="solid" w:color="000000" w:fill="000000"/>
                <w:fitText w:val="330" w:id="-632054009"/>
                <w14:textFill>
                  <w14:solidFill>
                    <w14:srgbClr w14:val="000000">
                      <w14:alpha w14:val="100000"/>
                    </w14:srgbClr>
                  </w14:solidFill>
                </w14:textFill>
              </w:rPr>
              <w:t>|</w:t>
            </w:r>
          </w:p>
        </w:tc>
        <w:tc>
          <w:tcPr>
            <w:tcW w:w="1104" w:type="pct"/>
            <w:tcBorders>
              <w:top w:val="single" w:sz="4" w:space="0" w:color="auto"/>
              <w:bottom w:val="single" w:sz="4" w:space="0" w:color="auto"/>
            </w:tcBorders>
          </w:tcPr>
          <w:p w14:paraId="6F720D14" w14:textId="77777777" w:rsidR="00FE25E8" w:rsidRPr="00935CE1" w:rsidRDefault="00FE25E8" w:rsidP="00087C24">
            <w:pPr>
              <w:pStyle w:val="Tabletext"/>
              <w:keepNext/>
              <w:keepLines/>
              <w:rPr>
                <w:iCs/>
              </w:rPr>
            </w:pPr>
            <w:r w:rsidRPr="00935CE1">
              <w:rPr>
                <w:iCs/>
              </w:rPr>
              <w:t>$3,378</w:t>
            </w:r>
          </w:p>
        </w:tc>
        <w:tc>
          <w:tcPr>
            <w:tcW w:w="733" w:type="pct"/>
            <w:tcBorders>
              <w:top w:val="single" w:sz="4" w:space="0" w:color="auto"/>
              <w:bottom w:val="single" w:sz="4" w:space="0" w:color="auto"/>
            </w:tcBorders>
          </w:tcPr>
          <w:p w14:paraId="056CA1D8" w14:textId="05EFCB68"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08"/>
                <w14:textFill>
                  <w14:solidFill>
                    <w14:srgbClr w14:val="000000">
                      <w14:alpha w14:val="100000"/>
                    </w14:srgbClr>
                  </w14:solidFill>
                </w14:textFill>
              </w:rPr>
              <w:t>|||</w:t>
            </w:r>
            <w:r w:rsidR="00BD6E95" w:rsidRPr="00BD6E95">
              <w:rPr>
                <w:iCs/>
                <w:color w:val="000000"/>
                <w:spacing w:val="1"/>
                <w:shd w:val="solid" w:color="000000" w:fill="000000"/>
                <w:fitText w:val="330" w:id="-632054008"/>
                <w14:textFill>
                  <w14:solidFill>
                    <w14:srgbClr w14:val="000000">
                      <w14:alpha w14:val="100000"/>
                    </w14:srgbClr>
                  </w14:solidFill>
                </w14:textFill>
              </w:rPr>
              <w:t>|</w:t>
            </w:r>
          </w:p>
        </w:tc>
      </w:tr>
      <w:tr w:rsidR="00FE25E8" w:rsidRPr="00935CE1" w14:paraId="1596203A" w14:textId="77777777" w:rsidTr="00977721">
        <w:trPr>
          <w:cantSplit/>
        </w:trPr>
        <w:tc>
          <w:tcPr>
            <w:tcW w:w="2206" w:type="pct"/>
            <w:tcBorders>
              <w:top w:val="single" w:sz="4" w:space="0" w:color="auto"/>
              <w:bottom w:val="single" w:sz="4" w:space="0" w:color="auto"/>
            </w:tcBorders>
            <w:tcMar>
              <w:left w:w="57" w:type="dxa"/>
              <w:right w:w="57" w:type="dxa"/>
            </w:tcMar>
          </w:tcPr>
          <w:p w14:paraId="3EDBEFFC" w14:textId="77777777" w:rsidR="00FE25E8" w:rsidRPr="00935CE1" w:rsidRDefault="00FE25E8" w:rsidP="00087C24">
            <w:pPr>
              <w:pStyle w:val="Tabletext"/>
              <w:keepNext/>
              <w:keepLines/>
              <w:rPr>
                <w:iCs/>
              </w:rPr>
            </w:pPr>
            <w:r w:rsidRPr="00935CE1">
              <w:rPr>
                <w:iCs/>
              </w:rPr>
              <w:t>Incremental LYG</w:t>
            </w:r>
          </w:p>
        </w:tc>
        <w:tc>
          <w:tcPr>
            <w:tcW w:w="957" w:type="pct"/>
            <w:tcBorders>
              <w:top w:val="single" w:sz="4" w:space="0" w:color="auto"/>
              <w:bottom w:val="single" w:sz="4" w:space="0" w:color="auto"/>
            </w:tcBorders>
          </w:tcPr>
          <w:p w14:paraId="1692629A" w14:textId="77777777" w:rsidR="00FE25E8" w:rsidRPr="00935CE1" w:rsidRDefault="00FE25E8" w:rsidP="00087C24">
            <w:pPr>
              <w:pStyle w:val="Tabletext"/>
              <w:keepNext/>
              <w:keepLines/>
              <w:rPr>
                <w:iCs/>
              </w:rPr>
            </w:pPr>
            <w:r w:rsidRPr="00935CE1">
              <w:rPr>
                <w:iCs/>
              </w:rPr>
              <w:t>4.356</w:t>
            </w:r>
          </w:p>
        </w:tc>
        <w:tc>
          <w:tcPr>
            <w:tcW w:w="1104" w:type="pct"/>
            <w:tcBorders>
              <w:top w:val="single" w:sz="4" w:space="0" w:color="auto"/>
              <w:bottom w:val="single" w:sz="4" w:space="0" w:color="auto"/>
            </w:tcBorders>
          </w:tcPr>
          <w:p w14:paraId="08DD6F70" w14:textId="77777777" w:rsidR="00FE25E8" w:rsidRPr="00935CE1" w:rsidRDefault="00FE25E8" w:rsidP="00087C24">
            <w:pPr>
              <w:pStyle w:val="Tabletext"/>
              <w:keepNext/>
              <w:keepLines/>
              <w:rPr>
                <w:iCs/>
              </w:rPr>
            </w:pPr>
            <w:r w:rsidRPr="00935CE1">
              <w:rPr>
                <w:iCs/>
              </w:rPr>
              <w:t>2.156</w:t>
            </w:r>
          </w:p>
        </w:tc>
        <w:tc>
          <w:tcPr>
            <w:tcW w:w="733" w:type="pct"/>
            <w:tcBorders>
              <w:top w:val="single" w:sz="4" w:space="0" w:color="auto"/>
              <w:bottom w:val="single" w:sz="4" w:space="0" w:color="auto"/>
            </w:tcBorders>
          </w:tcPr>
          <w:p w14:paraId="3208C5B9" w14:textId="77777777" w:rsidR="00FE25E8" w:rsidRPr="00935CE1" w:rsidRDefault="00FE25E8" w:rsidP="00087C24">
            <w:pPr>
              <w:pStyle w:val="Tabletext"/>
              <w:keepNext/>
              <w:keepLines/>
              <w:rPr>
                <w:iCs/>
              </w:rPr>
            </w:pPr>
            <w:r w:rsidRPr="00935CE1">
              <w:rPr>
                <w:iCs/>
              </w:rPr>
              <w:t>2.200</w:t>
            </w:r>
          </w:p>
        </w:tc>
      </w:tr>
      <w:tr w:rsidR="00FE25E8" w:rsidRPr="00935CE1" w14:paraId="3B9CCFE3" w14:textId="77777777" w:rsidTr="00977721">
        <w:trPr>
          <w:cantSplit/>
        </w:trPr>
        <w:tc>
          <w:tcPr>
            <w:tcW w:w="2206" w:type="pct"/>
            <w:tcBorders>
              <w:top w:val="single" w:sz="4" w:space="0" w:color="auto"/>
              <w:bottom w:val="single" w:sz="4" w:space="0" w:color="auto"/>
            </w:tcBorders>
            <w:tcMar>
              <w:left w:w="57" w:type="dxa"/>
              <w:right w:w="57" w:type="dxa"/>
            </w:tcMar>
          </w:tcPr>
          <w:p w14:paraId="3B5F18A1" w14:textId="77777777" w:rsidR="00FE25E8" w:rsidRPr="00935CE1" w:rsidRDefault="00FE25E8" w:rsidP="00087C24">
            <w:pPr>
              <w:pStyle w:val="Tabletext"/>
              <w:keepNext/>
              <w:keepLines/>
              <w:rPr>
                <w:iCs/>
              </w:rPr>
            </w:pPr>
            <w:r w:rsidRPr="00935CE1">
              <w:rPr>
                <w:iCs/>
              </w:rPr>
              <w:t>Incremental QALYs</w:t>
            </w:r>
          </w:p>
        </w:tc>
        <w:tc>
          <w:tcPr>
            <w:tcW w:w="957" w:type="pct"/>
            <w:tcBorders>
              <w:top w:val="single" w:sz="4" w:space="0" w:color="auto"/>
              <w:bottom w:val="single" w:sz="4" w:space="0" w:color="auto"/>
            </w:tcBorders>
          </w:tcPr>
          <w:p w14:paraId="4A409DDF" w14:textId="77777777" w:rsidR="00FE25E8" w:rsidRPr="00935CE1" w:rsidRDefault="00FE25E8" w:rsidP="00087C24">
            <w:pPr>
              <w:pStyle w:val="Tabletext"/>
              <w:keepNext/>
              <w:keepLines/>
              <w:rPr>
                <w:iCs/>
              </w:rPr>
            </w:pPr>
            <w:r w:rsidRPr="00935CE1">
              <w:rPr>
                <w:iCs/>
              </w:rPr>
              <w:t>3.005</w:t>
            </w:r>
          </w:p>
        </w:tc>
        <w:tc>
          <w:tcPr>
            <w:tcW w:w="1104" w:type="pct"/>
            <w:tcBorders>
              <w:top w:val="single" w:sz="4" w:space="0" w:color="auto"/>
              <w:bottom w:val="single" w:sz="4" w:space="0" w:color="auto"/>
            </w:tcBorders>
          </w:tcPr>
          <w:p w14:paraId="2BF5557F" w14:textId="77777777" w:rsidR="00FE25E8" w:rsidRPr="00935CE1" w:rsidRDefault="00FE25E8" w:rsidP="00087C24">
            <w:pPr>
              <w:pStyle w:val="Tabletext"/>
              <w:keepNext/>
              <w:keepLines/>
              <w:rPr>
                <w:iCs/>
              </w:rPr>
            </w:pPr>
            <w:r w:rsidRPr="00935CE1">
              <w:rPr>
                <w:iCs/>
              </w:rPr>
              <w:t>1.438</w:t>
            </w:r>
          </w:p>
        </w:tc>
        <w:tc>
          <w:tcPr>
            <w:tcW w:w="733" w:type="pct"/>
            <w:tcBorders>
              <w:top w:val="single" w:sz="4" w:space="0" w:color="auto"/>
              <w:bottom w:val="single" w:sz="4" w:space="0" w:color="auto"/>
            </w:tcBorders>
          </w:tcPr>
          <w:p w14:paraId="7DDDA8AC" w14:textId="77777777" w:rsidR="00FE25E8" w:rsidRPr="00935CE1" w:rsidRDefault="00FE25E8" w:rsidP="00087C24">
            <w:pPr>
              <w:pStyle w:val="Tabletext"/>
              <w:keepNext/>
              <w:keepLines/>
              <w:rPr>
                <w:iCs/>
              </w:rPr>
            </w:pPr>
            <w:r w:rsidRPr="00935CE1">
              <w:rPr>
                <w:iCs/>
              </w:rPr>
              <w:t>1.567</w:t>
            </w:r>
          </w:p>
        </w:tc>
      </w:tr>
      <w:tr w:rsidR="00FE25E8" w:rsidRPr="00935CE1" w14:paraId="3FD2322C" w14:textId="77777777" w:rsidTr="00977721">
        <w:trPr>
          <w:cantSplit/>
        </w:trPr>
        <w:tc>
          <w:tcPr>
            <w:tcW w:w="4267" w:type="pct"/>
            <w:gridSpan w:val="3"/>
            <w:tcBorders>
              <w:top w:val="single" w:sz="4" w:space="0" w:color="auto"/>
              <w:bottom w:val="single" w:sz="4" w:space="0" w:color="auto"/>
            </w:tcBorders>
            <w:tcMar>
              <w:left w:w="57" w:type="dxa"/>
              <w:right w:w="57" w:type="dxa"/>
            </w:tcMar>
          </w:tcPr>
          <w:p w14:paraId="09E0059E" w14:textId="77777777" w:rsidR="00FE25E8" w:rsidRPr="00935CE1" w:rsidRDefault="00FE25E8" w:rsidP="00087C24">
            <w:pPr>
              <w:pStyle w:val="Tabletext"/>
              <w:keepNext/>
              <w:keepLines/>
              <w:rPr>
                <w:iCs/>
              </w:rPr>
            </w:pPr>
            <w:r w:rsidRPr="00935CE1">
              <w:rPr>
                <w:iCs/>
              </w:rPr>
              <w:t>Incremental cost/ QALY</w:t>
            </w:r>
          </w:p>
        </w:tc>
        <w:tc>
          <w:tcPr>
            <w:tcW w:w="733" w:type="pct"/>
            <w:tcBorders>
              <w:top w:val="single" w:sz="4" w:space="0" w:color="auto"/>
              <w:bottom w:val="single" w:sz="4" w:space="0" w:color="auto"/>
            </w:tcBorders>
          </w:tcPr>
          <w:p w14:paraId="7244432E" w14:textId="09260955" w:rsidR="00FE25E8" w:rsidRPr="00935CE1" w:rsidRDefault="00FE25E8" w:rsidP="00087C24">
            <w:pPr>
              <w:pStyle w:val="Tabletext"/>
              <w:keepNext/>
              <w:keepLines/>
              <w:rPr>
                <w:b/>
                <w:bCs/>
                <w:iCs/>
              </w:rPr>
            </w:pPr>
            <w:r w:rsidRPr="00935CE1">
              <w:rPr>
                <w:b/>
                <w:bCs/>
                <w:iCs/>
              </w:rPr>
              <w:t>$</w:t>
            </w:r>
            <w:r w:rsidR="00BD6E95" w:rsidRPr="00BD6E95">
              <w:rPr>
                <w:b/>
                <w:bCs/>
                <w:iCs/>
                <w:color w:val="000000"/>
                <w:spacing w:val="56"/>
                <w:shd w:val="solid" w:color="000000" w:fill="000000"/>
                <w:fitText w:val="354" w:id="-632054007"/>
                <w14:textFill>
                  <w14:solidFill>
                    <w14:srgbClr w14:val="000000">
                      <w14:alpha w14:val="100000"/>
                    </w14:srgbClr>
                  </w14:solidFill>
                </w14:textFill>
              </w:rPr>
              <w:t>|||</w:t>
            </w:r>
            <w:r w:rsidR="00BD6E95" w:rsidRPr="00BD6E95">
              <w:rPr>
                <w:b/>
                <w:bCs/>
                <w:iCs/>
                <w:color w:val="000000"/>
                <w:spacing w:val="3"/>
                <w:shd w:val="solid" w:color="000000" w:fill="000000"/>
                <w:fitText w:val="354" w:id="-632054007"/>
                <w14:textFill>
                  <w14:solidFill>
                    <w14:srgbClr w14:val="000000">
                      <w14:alpha w14:val="100000"/>
                    </w14:srgbClr>
                  </w14:solidFill>
                </w14:textFill>
              </w:rPr>
              <w:t>|</w:t>
            </w:r>
            <w:r w:rsidR="004640A1" w:rsidRPr="004640A1">
              <w:rPr>
                <w:b/>
                <w:bCs/>
                <w:iCs/>
                <w:vertAlign w:val="superscript"/>
              </w:rPr>
              <w:t>2</w:t>
            </w:r>
          </w:p>
        </w:tc>
      </w:tr>
      <w:tr w:rsidR="00FE25E8" w:rsidRPr="00935CE1" w14:paraId="6DF873AF" w14:textId="77777777" w:rsidTr="00977721">
        <w:trPr>
          <w:cantSplit/>
        </w:trPr>
        <w:tc>
          <w:tcPr>
            <w:tcW w:w="5000" w:type="pct"/>
            <w:gridSpan w:val="4"/>
            <w:tcBorders>
              <w:top w:val="single" w:sz="4" w:space="0" w:color="auto"/>
              <w:bottom w:val="single" w:sz="4" w:space="0" w:color="auto"/>
            </w:tcBorders>
            <w:tcMar>
              <w:left w:w="57" w:type="dxa"/>
              <w:right w:w="57" w:type="dxa"/>
            </w:tcMar>
          </w:tcPr>
          <w:p w14:paraId="7DDBA290" w14:textId="77777777" w:rsidR="00FE25E8" w:rsidRPr="00935CE1" w:rsidRDefault="00FE25E8" w:rsidP="00087C24">
            <w:pPr>
              <w:pStyle w:val="Tabletext"/>
              <w:keepNext/>
              <w:keepLines/>
              <w:rPr>
                <w:b/>
                <w:bCs/>
                <w:iCs/>
              </w:rPr>
            </w:pPr>
            <w:r w:rsidRPr="00935CE1">
              <w:rPr>
                <w:b/>
                <w:bCs/>
                <w:iCs/>
              </w:rPr>
              <w:t>Step 3: Inclusion of MRU costs</w:t>
            </w:r>
          </w:p>
        </w:tc>
      </w:tr>
      <w:tr w:rsidR="00FE25E8" w:rsidRPr="00935CE1" w14:paraId="345DF7D9" w14:textId="77777777" w:rsidTr="00977721">
        <w:trPr>
          <w:cantSplit/>
        </w:trPr>
        <w:tc>
          <w:tcPr>
            <w:tcW w:w="2206" w:type="pct"/>
            <w:tcBorders>
              <w:top w:val="single" w:sz="4" w:space="0" w:color="auto"/>
              <w:bottom w:val="single" w:sz="4" w:space="0" w:color="auto"/>
            </w:tcBorders>
            <w:tcMar>
              <w:left w:w="57" w:type="dxa"/>
              <w:right w:w="57" w:type="dxa"/>
            </w:tcMar>
          </w:tcPr>
          <w:p w14:paraId="6F7AE6B3" w14:textId="77777777" w:rsidR="00FE25E8" w:rsidRPr="00935CE1" w:rsidRDefault="00FE25E8" w:rsidP="00087C24">
            <w:pPr>
              <w:pStyle w:val="Tabletext"/>
              <w:keepNext/>
              <w:keepLines/>
              <w:rPr>
                <w:iCs/>
              </w:rPr>
            </w:pPr>
            <w:r w:rsidRPr="00935CE1">
              <w:rPr>
                <w:iCs/>
              </w:rPr>
              <w:t>Incremental costs</w:t>
            </w:r>
          </w:p>
        </w:tc>
        <w:tc>
          <w:tcPr>
            <w:tcW w:w="957" w:type="pct"/>
            <w:tcBorders>
              <w:top w:val="single" w:sz="4" w:space="0" w:color="auto"/>
              <w:bottom w:val="single" w:sz="4" w:space="0" w:color="auto"/>
            </w:tcBorders>
          </w:tcPr>
          <w:p w14:paraId="58F1510B" w14:textId="331193EB"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06"/>
                <w14:textFill>
                  <w14:solidFill>
                    <w14:srgbClr w14:val="000000">
                      <w14:alpha w14:val="100000"/>
                    </w14:srgbClr>
                  </w14:solidFill>
                </w14:textFill>
              </w:rPr>
              <w:t>|||</w:t>
            </w:r>
            <w:r w:rsidR="00BD6E95" w:rsidRPr="00BD6E95">
              <w:rPr>
                <w:iCs/>
                <w:color w:val="000000"/>
                <w:spacing w:val="1"/>
                <w:shd w:val="solid" w:color="000000" w:fill="000000"/>
                <w:fitText w:val="330" w:id="-632054006"/>
                <w14:textFill>
                  <w14:solidFill>
                    <w14:srgbClr w14:val="000000">
                      <w14:alpha w14:val="100000"/>
                    </w14:srgbClr>
                  </w14:solidFill>
                </w14:textFill>
              </w:rPr>
              <w:t>|</w:t>
            </w:r>
          </w:p>
        </w:tc>
        <w:tc>
          <w:tcPr>
            <w:tcW w:w="1104" w:type="pct"/>
            <w:tcBorders>
              <w:top w:val="single" w:sz="4" w:space="0" w:color="auto"/>
              <w:bottom w:val="single" w:sz="4" w:space="0" w:color="auto"/>
            </w:tcBorders>
          </w:tcPr>
          <w:p w14:paraId="3CBF021E" w14:textId="77777777" w:rsidR="00FE25E8" w:rsidRPr="00935CE1" w:rsidRDefault="00FE25E8" w:rsidP="00087C24">
            <w:pPr>
              <w:pStyle w:val="Tabletext"/>
              <w:keepNext/>
              <w:keepLines/>
              <w:rPr>
                <w:iCs/>
              </w:rPr>
            </w:pPr>
            <w:r w:rsidRPr="00935CE1">
              <w:rPr>
                <w:iCs/>
              </w:rPr>
              <w:t>$4,993</w:t>
            </w:r>
          </w:p>
        </w:tc>
        <w:tc>
          <w:tcPr>
            <w:tcW w:w="733" w:type="pct"/>
            <w:tcBorders>
              <w:top w:val="single" w:sz="4" w:space="0" w:color="auto"/>
              <w:bottom w:val="single" w:sz="4" w:space="0" w:color="auto"/>
            </w:tcBorders>
          </w:tcPr>
          <w:p w14:paraId="06C0FAB0" w14:textId="12907597"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05"/>
                <w14:textFill>
                  <w14:solidFill>
                    <w14:srgbClr w14:val="000000">
                      <w14:alpha w14:val="100000"/>
                    </w14:srgbClr>
                  </w14:solidFill>
                </w14:textFill>
              </w:rPr>
              <w:t>|||</w:t>
            </w:r>
            <w:r w:rsidR="00BD6E95" w:rsidRPr="00BD6E95">
              <w:rPr>
                <w:iCs/>
                <w:color w:val="000000"/>
                <w:spacing w:val="1"/>
                <w:shd w:val="solid" w:color="000000" w:fill="000000"/>
                <w:fitText w:val="330" w:id="-632054005"/>
                <w14:textFill>
                  <w14:solidFill>
                    <w14:srgbClr w14:val="000000">
                      <w14:alpha w14:val="100000"/>
                    </w14:srgbClr>
                  </w14:solidFill>
                </w14:textFill>
              </w:rPr>
              <w:t>|</w:t>
            </w:r>
          </w:p>
        </w:tc>
      </w:tr>
      <w:tr w:rsidR="00FE25E8" w:rsidRPr="00935CE1" w14:paraId="37193AF0" w14:textId="77777777" w:rsidTr="00977721">
        <w:trPr>
          <w:cantSplit/>
        </w:trPr>
        <w:tc>
          <w:tcPr>
            <w:tcW w:w="2206" w:type="pct"/>
            <w:tcBorders>
              <w:top w:val="single" w:sz="4" w:space="0" w:color="auto"/>
              <w:bottom w:val="single" w:sz="4" w:space="0" w:color="auto"/>
            </w:tcBorders>
            <w:tcMar>
              <w:left w:w="57" w:type="dxa"/>
              <w:right w:w="57" w:type="dxa"/>
            </w:tcMar>
          </w:tcPr>
          <w:p w14:paraId="13FA055E" w14:textId="77777777" w:rsidR="00FE25E8" w:rsidRPr="00935CE1" w:rsidRDefault="00FE25E8" w:rsidP="00087C24">
            <w:pPr>
              <w:pStyle w:val="Tabletext"/>
              <w:keepNext/>
              <w:keepLines/>
              <w:rPr>
                <w:iCs/>
              </w:rPr>
            </w:pPr>
            <w:r w:rsidRPr="00935CE1">
              <w:rPr>
                <w:iCs/>
              </w:rPr>
              <w:t>Incremental LYG</w:t>
            </w:r>
          </w:p>
        </w:tc>
        <w:tc>
          <w:tcPr>
            <w:tcW w:w="957" w:type="pct"/>
            <w:tcBorders>
              <w:top w:val="single" w:sz="4" w:space="0" w:color="auto"/>
              <w:bottom w:val="single" w:sz="4" w:space="0" w:color="auto"/>
            </w:tcBorders>
          </w:tcPr>
          <w:p w14:paraId="79ACB033" w14:textId="77777777" w:rsidR="00FE25E8" w:rsidRPr="00935CE1" w:rsidRDefault="00FE25E8" w:rsidP="00087C24">
            <w:pPr>
              <w:pStyle w:val="Tabletext"/>
              <w:keepNext/>
              <w:keepLines/>
              <w:rPr>
                <w:iCs/>
              </w:rPr>
            </w:pPr>
            <w:r w:rsidRPr="00935CE1">
              <w:rPr>
                <w:iCs/>
              </w:rPr>
              <w:t>4.356</w:t>
            </w:r>
          </w:p>
        </w:tc>
        <w:tc>
          <w:tcPr>
            <w:tcW w:w="1104" w:type="pct"/>
            <w:tcBorders>
              <w:top w:val="single" w:sz="4" w:space="0" w:color="auto"/>
              <w:bottom w:val="single" w:sz="4" w:space="0" w:color="auto"/>
            </w:tcBorders>
          </w:tcPr>
          <w:p w14:paraId="70F0988C" w14:textId="77777777" w:rsidR="00FE25E8" w:rsidRPr="00935CE1" w:rsidRDefault="00FE25E8" w:rsidP="00087C24">
            <w:pPr>
              <w:pStyle w:val="Tabletext"/>
              <w:keepNext/>
              <w:keepLines/>
              <w:rPr>
                <w:iCs/>
              </w:rPr>
            </w:pPr>
            <w:r w:rsidRPr="00935CE1">
              <w:rPr>
                <w:iCs/>
              </w:rPr>
              <w:t>2.156</w:t>
            </w:r>
          </w:p>
        </w:tc>
        <w:tc>
          <w:tcPr>
            <w:tcW w:w="733" w:type="pct"/>
            <w:tcBorders>
              <w:top w:val="single" w:sz="4" w:space="0" w:color="auto"/>
              <w:bottom w:val="single" w:sz="4" w:space="0" w:color="auto"/>
            </w:tcBorders>
          </w:tcPr>
          <w:p w14:paraId="59193529" w14:textId="77777777" w:rsidR="00FE25E8" w:rsidRPr="00935CE1" w:rsidRDefault="00FE25E8" w:rsidP="00087C24">
            <w:pPr>
              <w:pStyle w:val="Tabletext"/>
              <w:keepNext/>
              <w:keepLines/>
              <w:rPr>
                <w:iCs/>
              </w:rPr>
            </w:pPr>
            <w:r w:rsidRPr="00935CE1">
              <w:rPr>
                <w:iCs/>
              </w:rPr>
              <w:t>2.200</w:t>
            </w:r>
          </w:p>
        </w:tc>
      </w:tr>
      <w:tr w:rsidR="00FE25E8" w:rsidRPr="00935CE1" w14:paraId="5EC14C0A" w14:textId="77777777" w:rsidTr="00977721">
        <w:trPr>
          <w:cantSplit/>
        </w:trPr>
        <w:tc>
          <w:tcPr>
            <w:tcW w:w="2206" w:type="pct"/>
            <w:tcBorders>
              <w:top w:val="single" w:sz="4" w:space="0" w:color="auto"/>
              <w:bottom w:val="single" w:sz="4" w:space="0" w:color="auto"/>
            </w:tcBorders>
            <w:tcMar>
              <w:left w:w="57" w:type="dxa"/>
              <w:right w:w="57" w:type="dxa"/>
            </w:tcMar>
          </w:tcPr>
          <w:p w14:paraId="5DF6E93E" w14:textId="77777777" w:rsidR="00FE25E8" w:rsidRPr="00935CE1" w:rsidRDefault="00FE25E8" w:rsidP="00087C24">
            <w:pPr>
              <w:pStyle w:val="Tabletext"/>
              <w:keepNext/>
              <w:keepLines/>
              <w:rPr>
                <w:iCs/>
              </w:rPr>
            </w:pPr>
            <w:r w:rsidRPr="00935CE1">
              <w:rPr>
                <w:iCs/>
              </w:rPr>
              <w:t>Incremental QALYs</w:t>
            </w:r>
          </w:p>
        </w:tc>
        <w:tc>
          <w:tcPr>
            <w:tcW w:w="957" w:type="pct"/>
            <w:tcBorders>
              <w:top w:val="single" w:sz="4" w:space="0" w:color="auto"/>
              <w:bottom w:val="single" w:sz="4" w:space="0" w:color="auto"/>
            </w:tcBorders>
          </w:tcPr>
          <w:p w14:paraId="645EEA7B" w14:textId="77777777" w:rsidR="00FE25E8" w:rsidRPr="00935CE1" w:rsidRDefault="00FE25E8" w:rsidP="00087C24">
            <w:pPr>
              <w:pStyle w:val="Tabletext"/>
              <w:keepNext/>
              <w:keepLines/>
              <w:rPr>
                <w:iCs/>
              </w:rPr>
            </w:pPr>
            <w:r w:rsidRPr="00935CE1">
              <w:rPr>
                <w:iCs/>
              </w:rPr>
              <w:t>3.005</w:t>
            </w:r>
          </w:p>
        </w:tc>
        <w:tc>
          <w:tcPr>
            <w:tcW w:w="1104" w:type="pct"/>
            <w:tcBorders>
              <w:top w:val="single" w:sz="4" w:space="0" w:color="auto"/>
              <w:bottom w:val="single" w:sz="4" w:space="0" w:color="auto"/>
            </w:tcBorders>
          </w:tcPr>
          <w:p w14:paraId="28564D4C" w14:textId="77777777" w:rsidR="00FE25E8" w:rsidRPr="00935CE1" w:rsidRDefault="00FE25E8" w:rsidP="00087C24">
            <w:pPr>
              <w:pStyle w:val="Tabletext"/>
              <w:keepNext/>
              <w:keepLines/>
              <w:rPr>
                <w:iCs/>
              </w:rPr>
            </w:pPr>
            <w:r w:rsidRPr="00935CE1">
              <w:rPr>
                <w:iCs/>
              </w:rPr>
              <w:t>1.438</w:t>
            </w:r>
          </w:p>
        </w:tc>
        <w:tc>
          <w:tcPr>
            <w:tcW w:w="733" w:type="pct"/>
            <w:tcBorders>
              <w:top w:val="single" w:sz="4" w:space="0" w:color="auto"/>
              <w:bottom w:val="single" w:sz="4" w:space="0" w:color="auto"/>
            </w:tcBorders>
          </w:tcPr>
          <w:p w14:paraId="11E02392" w14:textId="77777777" w:rsidR="00FE25E8" w:rsidRPr="00935CE1" w:rsidRDefault="00FE25E8" w:rsidP="00087C24">
            <w:pPr>
              <w:pStyle w:val="Tabletext"/>
              <w:keepNext/>
              <w:keepLines/>
              <w:rPr>
                <w:iCs/>
              </w:rPr>
            </w:pPr>
            <w:r w:rsidRPr="00935CE1">
              <w:rPr>
                <w:iCs/>
              </w:rPr>
              <w:t>1.567</w:t>
            </w:r>
          </w:p>
        </w:tc>
      </w:tr>
      <w:tr w:rsidR="00FE25E8" w:rsidRPr="00935CE1" w14:paraId="37D50699" w14:textId="77777777" w:rsidTr="00977721">
        <w:trPr>
          <w:cantSplit/>
        </w:trPr>
        <w:tc>
          <w:tcPr>
            <w:tcW w:w="4267" w:type="pct"/>
            <w:gridSpan w:val="3"/>
            <w:tcBorders>
              <w:top w:val="single" w:sz="4" w:space="0" w:color="auto"/>
              <w:bottom w:val="single" w:sz="4" w:space="0" w:color="auto"/>
            </w:tcBorders>
            <w:tcMar>
              <w:left w:w="57" w:type="dxa"/>
              <w:right w:w="57" w:type="dxa"/>
            </w:tcMar>
          </w:tcPr>
          <w:p w14:paraId="388EF7B8" w14:textId="77777777" w:rsidR="00FE25E8" w:rsidRPr="00935CE1" w:rsidRDefault="00FE25E8" w:rsidP="00087C24">
            <w:pPr>
              <w:pStyle w:val="Tabletext"/>
              <w:keepNext/>
              <w:keepLines/>
              <w:rPr>
                <w:iCs/>
              </w:rPr>
            </w:pPr>
            <w:r w:rsidRPr="00935CE1">
              <w:rPr>
                <w:iCs/>
              </w:rPr>
              <w:t>Incremental cost/ QALY</w:t>
            </w:r>
          </w:p>
        </w:tc>
        <w:tc>
          <w:tcPr>
            <w:tcW w:w="733" w:type="pct"/>
            <w:tcBorders>
              <w:top w:val="single" w:sz="4" w:space="0" w:color="auto"/>
              <w:bottom w:val="single" w:sz="4" w:space="0" w:color="auto"/>
            </w:tcBorders>
          </w:tcPr>
          <w:p w14:paraId="5FC230BF" w14:textId="7E410EA1" w:rsidR="00FE25E8" w:rsidRPr="00935CE1" w:rsidRDefault="00FE25E8" w:rsidP="00087C24">
            <w:pPr>
              <w:pStyle w:val="Tabletext"/>
              <w:keepNext/>
              <w:keepLines/>
              <w:rPr>
                <w:b/>
                <w:bCs/>
                <w:iCs/>
              </w:rPr>
            </w:pPr>
            <w:r w:rsidRPr="00935CE1">
              <w:rPr>
                <w:b/>
                <w:bCs/>
                <w:iCs/>
              </w:rPr>
              <w:t>$</w:t>
            </w:r>
            <w:r w:rsidR="00BD6E95" w:rsidRPr="00BD6E95">
              <w:rPr>
                <w:b/>
                <w:bCs/>
                <w:iCs/>
                <w:color w:val="000000"/>
                <w:spacing w:val="56"/>
                <w:shd w:val="solid" w:color="000000" w:fill="000000"/>
                <w:fitText w:val="354" w:id="-632054004"/>
                <w14:textFill>
                  <w14:solidFill>
                    <w14:srgbClr w14:val="000000">
                      <w14:alpha w14:val="100000"/>
                    </w14:srgbClr>
                  </w14:solidFill>
                </w14:textFill>
              </w:rPr>
              <w:t>|||</w:t>
            </w:r>
            <w:r w:rsidR="00BD6E95" w:rsidRPr="00BD6E95">
              <w:rPr>
                <w:b/>
                <w:bCs/>
                <w:iCs/>
                <w:color w:val="000000"/>
                <w:spacing w:val="3"/>
                <w:shd w:val="solid" w:color="000000" w:fill="000000"/>
                <w:fitText w:val="354" w:id="-632054004"/>
                <w14:textFill>
                  <w14:solidFill>
                    <w14:srgbClr w14:val="000000">
                      <w14:alpha w14:val="100000"/>
                    </w14:srgbClr>
                  </w14:solidFill>
                </w14:textFill>
              </w:rPr>
              <w:t>|</w:t>
            </w:r>
            <w:r w:rsidR="006B40C6" w:rsidRPr="004640A1">
              <w:rPr>
                <w:b/>
                <w:bCs/>
                <w:iCs/>
                <w:vertAlign w:val="superscript"/>
              </w:rPr>
              <w:t>2</w:t>
            </w:r>
          </w:p>
        </w:tc>
      </w:tr>
      <w:tr w:rsidR="00FE25E8" w:rsidRPr="00935CE1" w14:paraId="5C47A28D" w14:textId="77777777" w:rsidTr="00977721">
        <w:trPr>
          <w:cantSplit/>
        </w:trPr>
        <w:tc>
          <w:tcPr>
            <w:tcW w:w="5000" w:type="pct"/>
            <w:gridSpan w:val="4"/>
            <w:tcBorders>
              <w:top w:val="single" w:sz="4" w:space="0" w:color="auto"/>
              <w:bottom w:val="single" w:sz="4" w:space="0" w:color="auto"/>
            </w:tcBorders>
            <w:tcMar>
              <w:left w:w="57" w:type="dxa"/>
              <w:right w:w="57" w:type="dxa"/>
            </w:tcMar>
          </w:tcPr>
          <w:p w14:paraId="026AF50D" w14:textId="77777777" w:rsidR="00FE25E8" w:rsidRPr="00935CE1" w:rsidRDefault="00FE25E8" w:rsidP="00087C24">
            <w:pPr>
              <w:pStyle w:val="Tabletext"/>
              <w:keepNext/>
              <w:keepLines/>
              <w:rPr>
                <w:b/>
                <w:bCs/>
                <w:iCs/>
              </w:rPr>
            </w:pPr>
            <w:r w:rsidRPr="00935CE1">
              <w:rPr>
                <w:b/>
                <w:bCs/>
                <w:iCs/>
              </w:rPr>
              <w:t>Step 4: Inclusion of AE-related costs</w:t>
            </w:r>
          </w:p>
        </w:tc>
      </w:tr>
      <w:tr w:rsidR="00FE25E8" w:rsidRPr="00935CE1" w14:paraId="6DE52D44" w14:textId="77777777" w:rsidTr="00977721">
        <w:trPr>
          <w:cantSplit/>
        </w:trPr>
        <w:tc>
          <w:tcPr>
            <w:tcW w:w="2206" w:type="pct"/>
            <w:tcBorders>
              <w:top w:val="single" w:sz="4" w:space="0" w:color="auto"/>
              <w:bottom w:val="single" w:sz="4" w:space="0" w:color="auto"/>
            </w:tcBorders>
            <w:tcMar>
              <w:left w:w="57" w:type="dxa"/>
              <w:right w:w="57" w:type="dxa"/>
            </w:tcMar>
          </w:tcPr>
          <w:p w14:paraId="4333E938" w14:textId="77777777" w:rsidR="00FE25E8" w:rsidRPr="00935CE1" w:rsidRDefault="00FE25E8" w:rsidP="00087C24">
            <w:pPr>
              <w:pStyle w:val="Tabletext"/>
              <w:keepNext/>
              <w:keepLines/>
              <w:rPr>
                <w:iCs/>
              </w:rPr>
            </w:pPr>
            <w:r w:rsidRPr="00935CE1">
              <w:rPr>
                <w:iCs/>
              </w:rPr>
              <w:t>Incremental costs</w:t>
            </w:r>
          </w:p>
        </w:tc>
        <w:tc>
          <w:tcPr>
            <w:tcW w:w="957" w:type="pct"/>
            <w:tcBorders>
              <w:top w:val="single" w:sz="4" w:space="0" w:color="auto"/>
              <w:bottom w:val="single" w:sz="4" w:space="0" w:color="auto"/>
            </w:tcBorders>
          </w:tcPr>
          <w:p w14:paraId="3986ECB3" w14:textId="76D2EA5A"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03"/>
                <w14:textFill>
                  <w14:solidFill>
                    <w14:srgbClr w14:val="000000">
                      <w14:alpha w14:val="100000"/>
                    </w14:srgbClr>
                  </w14:solidFill>
                </w14:textFill>
              </w:rPr>
              <w:t>|||</w:t>
            </w:r>
            <w:r w:rsidR="00BD6E95" w:rsidRPr="00BD6E95">
              <w:rPr>
                <w:iCs/>
                <w:color w:val="000000"/>
                <w:spacing w:val="1"/>
                <w:shd w:val="solid" w:color="000000" w:fill="000000"/>
                <w:fitText w:val="330" w:id="-632054003"/>
                <w14:textFill>
                  <w14:solidFill>
                    <w14:srgbClr w14:val="000000">
                      <w14:alpha w14:val="100000"/>
                    </w14:srgbClr>
                  </w14:solidFill>
                </w14:textFill>
              </w:rPr>
              <w:t>|</w:t>
            </w:r>
          </w:p>
        </w:tc>
        <w:tc>
          <w:tcPr>
            <w:tcW w:w="1104" w:type="pct"/>
            <w:tcBorders>
              <w:top w:val="single" w:sz="4" w:space="0" w:color="auto"/>
              <w:bottom w:val="single" w:sz="4" w:space="0" w:color="auto"/>
            </w:tcBorders>
          </w:tcPr>
          <w:p w14:paraId="08336353" w14:textId="77777777" w:rsidR="00FE25E8" w:rsidRPr="00935CE1" w:rsidRDefault="00FE25E8" w:rsidP="00087C24">
            <w:pPr>
              <w:pStyle w:val="Tabletext"/>
              <w:keepNext/>
              <w:keepLines/>
              <w:rPr>
                <w:iCs/>
              </w:rPr>
            </w:pPr>
            <w:r w:rsidRPr="00935CE1">
              <w:rPr>
                <w:iCs/>
              </w:rPr>
              <w:t>$7,550</w:t>
            </w:r>
          </w:p>
        </w:tc>
        <w:tc>
          <w:tcPr>
            <w:tcW w:w="733" w:type="pct"/>
            <w:tcBorders>
              <w:top w:val="single" w:sz="4" w:space="0" w:color="auto"/>
              <w:bottom w:val="single" w:sz="4" w:space="0" w:color="auto"/>
            </w:tcBorders>
          </w:tcPr>
          <w:p w14:paraId="367627E4" w14:textId="78CCAFA5"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02"/>
                <w14:textFill>
                  <w14:solidFill>
                    <w14:srgbClr w14:val="000000">
                      <w14:alpha w14:val="100000"/>
                    </w14:srgbClr>
                  </w14:solidFill>
                </w14:textFill>
              </w:rPr>
              <w:t>|||</w:t>
            </w:r>
            <w:r w:rsidR="00BD6E95" w:rsidRPr="00BD6E95">
              <w:rPr>
                <w:iCs/>
                <w:color w:val="000000"/>
                <w:spacing w:val="1"/>
                <w:shd w:val="solid" w:color="000000" w:fill="000000"/>
                <w:fitText w:val="330" w:id="-632054002"/>
                <w14:textFill>
                  <w14:solidFill>
                    <w14:srgbClr w14:val="000000">
                      <w14:alpha w14:val="100000"/>
                    </w14:srgbClr>
                  </w14:solidFill>
                </w14:textFill>
              </w:rPr>
              <w:t>|</w:t>
            </w:r>
          </w:p>
        </w:tc>
      </w:tr>
      <w:tr w:rsidR="00FE25E8" w:rsidRPr="00935CE1" w14:paraId="349AAD88" w14:textId="77777777" w:rsidTr="00977721">
        <w:trPr>
          <w:cantSplit/>
        </w:trPr>
        <w:tc>
          <w:tcPr>
            <w:tcW w:w="2206" w:type="pct"/>
            <w:tcBorders>
              <w:top w:val="single" w:sz="4" w:space="0" w:color="auto"/>
              <w:bottom w:val="single" w:sz="4" w:space="0" w:color="auto"/>
            </w:tcBorders>
            <w:tcMar>
              <w:left w:w="57" w:type="dxa"/>
              <w:right w:w="57" w:type="dxa"/>
            </w:tcMar>
          </w:tcPr>
          <w:p w14:paraId="0C0688EF" w14:textId="77777777" w:rsidR="00FE25E8" w:rsidRPr="00935CE1" w:rsidRDefault="00FE25E8" w:rsidP="00087C24">
            <w:pPr>
              <w:pStyle w:val="Tabletext"/>
              <w:keepNext/>
              <w:keepLines/>
              <w:rPr>
                <w:iCs/>
              </w:rPr>
            </w:pPr>
            <w:r w:rsidRPr="00935CE1">
              <w:rPr>
                <w:iCs/>
              </w:rPr>
              <w:t>Incremental LYG</w:t>
            </w:r>
          </w:p>
        </w:tc>
        <w:tc>
          <w:tcPr>
            <w:tcW w:w="957" w:type="pct"/>
            <w:tcBorders>
              <w:top w:val="single" w:sz="4" w:space="0" w:color="auto"/>
              <w:bottom w:val="single" w:sz="4" w:space="0" w:color="auto"/>
            </w:tcBorders>
          </w:tcPr>
          <w:p w14:paraId="71BFFCC8" w14:textId="77777777" w:rsidR="00FE25E8" w:rsidRPr="00935CE1" w:rsidRDefault="00FE25E8" w:rsidP="00087C24">
            <w:pPr>
              <w:pStyle w:val="Tabletext"/>
              <w:keepNext/>
              <w:keepLines/>
              <w:rPr>
                <w:iCs/>
              </w:rPr>
            </w:pPr>
            <w:r w:rsidRPr="00935CE1">
              <w:rPr>
                <w:iCs/>
              </w:rPr>
              <w:t>4.356</w:t>
            </w:r>
          </w:p>
        </w:tc>
        <w:tc>
          <w:tcPr>
            <w:tcW w:w="1104" w:type="pct"/>
            <w:tcBorders>
              <w:top w:val="single" w:sz="4" w:space="0" w:color="auto"/>
              <w:bottom w:val="single" w:sz="4" w:space="0" w:color="auto"/>
            </w:tcBorders>
          </w:tcPr>
          <w:p w14:paraId="6D517B31" w14:textId="77777777" w:rsidR="00FE25E8" w:rsidRPr="00935CE1" w:rsidRDefault="00FE25E8" w:rsidP="00087C24">
            <w:pPr>
              <w:pStyle w:val="Tabletext"/>
              <w:keepNext/>
              <w:keepLines/>
              <w:rPr>
                <w:iCs/>
              </w:rPr>
            </w:pPr>
            <w:r w:rsidRPr="00935CE1">
              <w:rPr>
                <w:iCs/>
              </w:rPr>
              <w:t>2.156</w:t>
            </w:r>
          </w:p>
        </w:tc>
        <w:tc>
          <w:tcPr>
            <w:tcW w:w="733" w:type="pct"/>
            <w:tcBorders>
              <w:top w:val="single" w:sz="4" w:space="0" w:color="auto"/>
              <w:bottom w:val="single" w:sz="4" w:space="0" w:color="auto"/>
            </w:tcBorders>
          </w:tcPr>
          <w:p w14:paraId="69EFEE6D" w14:textId="77777777" w:rsidR="00FE25E8" w:rsidRPr="00935CE1" w:rsidRDefault="00FE25E8" w:rsidP="00087C24">
            <w:pPr>
              <w:pStyle w:val="Tabletext"/>
              <w:keepNext/>
              <w:keepLines/>
              <w:rPr>
                <w:iCs/>
              </w:rPr>
            </w:pPr>
            <w:r w:rsidRPr="00935CE1">
              <w:rPr>
                <w:iCs/>
              </w:rPr>
              <w:t>2.200</w:t>
            </w:r>
          </w:p>
        </w:tc>
      </w:tr>
      <w:tr w:rsidR="00FE25E8" w:rsidRPr="00935CE1" w14:paraId="0F499797" w14:textId="77777777" w:rsidTr="00977721">
        <w:trPr>
          <w:cantSplit/>
        </w:trPr>
        <w:tc>
          <w:tcPr>
            <w:tcW w:w="2206" w:type="pct"/>
            <w:tcBorders>
              <w:top w:val="single" w:sz="4" w:space="0" w:color="auto"/>
              <w:bottom w:val="single" w:sz="4" w:space="0" w:color="auto"/>
            </w:tcBorders>
            <w:tcMar>
              <w:left w:w="57" w:type="dxa"/>
              <w:right w:w="57" w:type="dxa"/>
            </w:tcMar>
          </w:tcPr>
          <w:p w14:paraId="2CFFFD65" w14:textId="77777777" w:rsidR="00FE25E8" w:rsidRPr="00935CE1" w:rsidRDefault="00FE25E8" w:rsidP="00087C24">
            <w:pPr>
              <w:pStyle w:val="Tabletext"/>
              <w:keepNext/>
              <w:keepLines/>
              <w:rPr>
                <w:iCs/>
              </w:rPr>
            </w:pPr>
            <w:r w:rsidRPr="00935CE1">
              <w:rPr>
                <w:iCs/>
              </w:rPr>
              <w:t>Incremental QALYs</w:t>
            </w:r>
          </w:p>
        </w:tc>
        <w:tc>
          <w:tcPr>
            <w:tcW w:w="957" w:type="pct"/>
            <w:tcBorders>
              <w:top w:val="single" w:sz="4" w:space="0" w:color="auto"/>
              <w:bottom w:val="single" w:sz="4" w:space="0" w:color="auto"/>
            </w:tcBorders>
          </w:tcPr>
          <w:p w14:paraId="73A8CE00" w14:textId="77777777" w:rsidR="00FE25E8" w:rsidRPr="00935CE1" w:rsidRDefault="00FE25E8" w:rsidP="00087C24">
            <w:pPr>
              <w:pStyle w:val="Tabletext"/>
              <w:keepNext/>
              <w:keepLines/>
              <w:rPr>
                <w:iCs/>
              </w:rPr>
            </w:pPr>
            <w:r w:rsidRPr="00935CE1">
              <w:rPr>
                <w:iCs/>
              </w:rPr>
              <w:t>3.005</w:t>
            </w:r>
          </w:p>
        </w:tc>
        <w:tc>
          <w:tcPr>
            <w:tcW w:w="1104" w:type="pct"/>
            <w:tcBorders>
              <w:top w:val="single" w:sz="4" w:space="0" w:color="auto"/>
              <w:bottom w:val="single" w:sz="4" w:space="0" w:color="auto"/>
            </w:tcBorders>
          </w:tcPr>
          <w:p w14:paraId="2DF3CCB0" w14:textId="77777777" w:rsidR="00FE25E8" w:rsidRPr="00935CE1" w:rsidRDefault="00FE25E8" w:rsidP="00087C24">
            <w:pPr>
              <w:pStyle w:val="Tabletext"/>
              <w:keepNext/>
              <w:keepLines/>
              <w:rPr>
                <w:iCs/>
              </w:rPr>
            </w:pPr>
            <w:r w:rsidRPr="00935CE1">
              <w:rPr>
                <w:iCs/>
              </w:rPr>
              <w:t>1.438</w:t>
            </w:r>
          </w:p>
        </w:tc>
        <w:tc>
          <w:tcPr>
            <w:tcW w:w="733" w:type="pct"/>
            <w:tcBorders>
              <w:top w:val="single" w:sz="4" w:space="0" w:color="auto"/>
              <w:bottom w:val="single" w:sz="4" w:space="0" w:color="auto"/>
            </w:tcBorders>
          </w:tcPr>
          <w:p w14:paraId="7D004AFC" w14:textId="77777777" w:rsidR="00FE25E8" w:rsidRPr="00935CE1" w:rsidRDefault="00FE25E8" w:rsidP="00087C24">
            <w:pPr>
              <w:pStyle w:val="Tabletext"/>
              <w:keepNext/>
              <w:keepLines/>
              <w:rPr>
                <w:iCs/>
              </w:rPr>
            </w:pPr>
            <w:r w:rsidRPr="00935CE1">
              <w:rPr>
                <w:iCs/>
              </w:rPr>
              <w:t>1.567</w:t>
            </w:r>
          </w:p>
        </w:tc>
      </w:tr>
      <w:tr w:rsidR="00FE25E8" w:rsidRPr="00935CE1" w14:paraId="369115CF" w14:textId="77777777" w:rsidTr="00977721">
        <w:trPr>
          <w:cantSplit/>
        </w:trPr>
        <w:tc>
          <w:tcPr>
            <w:tcW w:w="4267" w:type="pct"/>
            <w:gridSpan w:val="3"/>
            <w:tcBorders>
              <w:top w:val="single" w:sz="4" w:space="0" w:color="auto"/>
              <w:bottom w:val="single" w:sz="4" w:space="0" w:color="auto"/>
            </w:tcBorders>
            <w:tcMar>
              <w:left w:w="57" w:type="dxa"/>
              <w:right w:w="57" w:type="dxa"/>
            </w:tcMar>
          </w:tcPr>
          <w:p w14:paraId="15494104" w14:textId="77777777" w:rsidR="00FE25E8" w:rsidRPr="00935CE1" w:rsidRDefault="00FE25E8" w:rsidP="00087C24">
            <w:pPr>
              <w:pStyle w:val="Tabletext"/>
              <w:keepNext/>
              <w:keepLines/>
              <w:rPr>
                <w:iCs/>
              </w:rPr>
            </w:pPr>
            <w:r w:rsidRPr="00935CE1">
              <w:rPr>
                <w:iCs/>
              </w:rPr>
              <w:t>Incremental cost/ QALY</w:t>
            </w:r>
          </w:p>
        </w:tc>
        <w:tc>
          <w:tcPr>
            <w:tcW w:w="733" w:type="pct"/>
            <w:tcBorders>
              <w:top w:val="single" w:sz="4" w:space="0" w:color="auto"/>
              <w:bottom w:val="single" w:sz="4" w:space="0" w:color="auto"/>
            </w:tcBorders>
          </w:tcPr>
          <w:p w14:paraId="36500308" w14:textId="7CFBA6B5" w:rsidR="00FE25E8" w:rsidRPr="00935CE1" w:rsidRDefault="00FE25E8" w:rsidP="00087C24">
            <w:pPr>
              <w:pStyle w:val="Tabletext"/>
              <w:keepNext/>
              <w:keepLines/>
              <w:rPr>
                <w:b/>
                <w:bCs/>
                <w:iCs/>
              </w:rPr>
            </w:pPr>
            <w:r w:rsidRPr="00935CE1">
              <w:rPr>
                <w:b/>
                <w:bCs/>
                <w:iCs/>
              </w:rPr>
              <w:t>$</w:t>
            </w:r>
            <w:r w:rsidR="00BD6E95" w:rsidRPr="00BD6E95">
              <w:rPr>
                <w:b/>
                <w:bCs/>
                <w:iCs/>
                <w:color w:val="000000"/>
                <w:spacing w:val="56"/>
                <w:shd w:val="solid" w:color="000000" w:fill="000000"/>
                <w:fitText w:val="354" w:id="-632054001"/>
                <w14:textFill>
                  <w14:solidFill>
                    <w14:srgbClr w14:val="000000">
                      <w14:alpha w14:val="100000"/>
                    </w14:srgbClr>
                  </w14:solidFill>
                </w14:textFill>
              </w:rPr>
              <w:t>|||</w:t>
            </w:r>
            <w:r w:rsidR="00BD6E95" w:rsidRPr="00BD6E95">
              <w:rPr>
                <w:b/>
                <w:bCs/>
                <w:iCs/>
                <w:color w:val="000000"/>
                <w:spacing w:val="3"/>
                <w:shd w:val="solid" w:color="000000" w:fill="000000"/>
                <w:fitText w:val="354" w:id="-632054001"/>
                <w14:textFill>
                  <w14:solidFill>
                    <w14:srgbClr w14:val="000000">
                      <w14:alpha w14:val="100000"/>
                    </w14:srgbClr>
                  </w14:solidFill>
                </w14:textFill>
              </w:rPr>
              <w:t>|</w:t>
            </w:r>
            <w:r w:rsidR="00942E36" w:rsidRPr="004640A1">
              <w:rPr>
                <w:b/>
                <w:bCs/>
                <w:iCs/>
                <w:vertAlign w:val="superscript"/>
              </w:rPr>
              <w:t>2</w:t>
            </w:r>
          </w:p>
        </w:tc>
      </w:tr>
      <w:tr w:rsidR="00FE25E8" w:rsidRPr="00935CE1" w14:paraId="1C85B12E" w14:textId="77777777" w:rsidTr="00977721">
        <w:trPr>
          <w:cantSplit/>
        </w:trPr>
        <w:tc>
          <w:tcPr>
            <w:tcW w:w="5000" w:type="pct"/>
            <w:gridSpan w:val="4"/>
            <w:tcBorders>
              <w:top w:val="single" w:sz="4" w:space="0" w:color="auto"/>
              <w:bottom w:val="single" w:sz="4" w:space="0" w:color="auto"/>
            </w:tcBorders>
            <w:tcMar>
              <w:left w:w="57" w:type="dxa"/>
              <w:right w:w="57" w:type="dxa"/>
            </w:tcMar>
          </w:tcPr>
          <w:p w14:paraId="76FE801C" w14:textId="77777777" w:rsidR="00FE25E8" w:rsidRPr="00935CE1" w:rsidRDefault="00FE25E8" w:rsidP="00087C24">
            <w:pPr>
              <w:pStyle w:val="Tabletext"/>
              <w:keepNext/>
              <w:keepLines/>
              <w:rPr>
                <w:b/>
                <w:bCs/>
                <w:iCs/>
              </w:rPr>
            </w:pPr>
            <w:r w:rsidRPr="00935CE1">
              <w:rPr>
                <w:b/>
                <w:bCs/>
                <w:iCs/>
              </w:rPr>
              <w:t>Step 5: Inclusion of subsequent therapy costs</w:t>
            </w:r>
          </w:p>
        </w:tc>
      </w:tr>
      <w:tr w:rsidR="00FE25E8" w:rsidRPr="00935CE1" w14:paraId="119D4C40" w14:textId="77777777" w:rsidTr="00977721">
        <w:trPr>
          <w:cantSplit/>
        </w:trPr>
        <w:tc>
          <w:tcPr>
            <w:tcW w:w="2206" w:type="pct"/>
            <w:tcBorders>
              <w:top w:val="single" w:sz="4" w:space="0" w:color="auto"/>
              <w:bottom w:val="single" w:sz="4" w:space="0" w:color="auto"/>
            </w:tcBorders>
            <w:tcMar>
              <w:left w:w="57" w:type="dxa"/>
              <w:right w:w="57" w:type="dxa"/>
            </w:tcMar>
          </w:tcPr>
          <w:p w14:paraId="4FEAE0B1" w14:textId="77777777" w:rsidR="00FE25E8" w:rsidRPr="00935CE1" w:rsidRDefault="00FE25E8" w:rsidP="00087C24">
            <w:pPr>
              <w:pStyle w:val="Tabletext"/>
              <w:keepNext/>
              <w:keepLines/>
              <w:rPr>
                <w:iCs/>
              </w:rPr>
            </w:pPr>
            <w:r w:rsidRPr="00935CE1">
              <w:rPr>
                <w:iCs/>
              </w:rPr>
              <w:t>Incremental costs</w:t>
            </w:r>
          </w:p>
        </w:tc>
        <w:tc>
          <w:tcPr>
            <w:tcW w:w="957" w:type="pct"/>
            <w:tcBorders>
              <w:top w:val="single" w:sz="4" w:space="0" w:color="auto"/>
              <w:bottom w:val="single" w:sz="4" w:space="0" w:color="auto"/>
            </w:tcBorders>
          </w:tcPr>
          <w:p w14:paraId="00BABBE0" w14:textId="767D533F"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00"/>
                <w14:textFill>
                  <w14:solidFill>
                    <w14:srgbClr w14:val="000000">
                      <w14:alpha w14:val="100000"/>
                    </w14:srgbClr>
                  </w14:solidFill>
                </w14:textFill>
              </w:rPr>
              <w:t>|||</w:t>
            </w:r>
            <w:r w:rsidR="00BD6E95" w:rsidRPr="00BD6E95">
              <w:rPr>
                <w:iCs/>
                <w:color w:val="000000"/>
                <w:spacing w:val="1"/>
                <w:shd w:val="solid" w:color="000000" w:fill="000000"/>
                <w:fitText w:val="330" w:id="-632054000"/>
                <w14:textFill>
                  <w14:solidFill>
                    <w14:srgbClr w14:val="000000">
                      <w14:alpha w14:val="100000"/>
                    </w14:srgbClr>
                  </w14:solidFill>
                </w14:textFill>
              </w:rPr>
              <w:t>|</w:t>
            </w:r>
          </w:p>
        </w:tc>
        <w:tc>
          <w:tcPr>
            <w:tcW w:w="1104" w:type="pct"/>
            <w:tcBorders>
              <w:top w:val="single" w:sz="4" w:space="0" w:color="auto"/>
              <w:bottom w:val="single" w:sz="4" w:space="0" w:color="auto"/>
            </w:tcBorders>
          </w:tcPr>
          <w:p w14:paraId="16C61E20" w14:textId="77777777" w:rsidR="00FE25E8" w:rsidRPr="00935CE1" w:rsidRDefault="00FE25E8" w:rsidP="00087C24">
            <w:pPr>
              <w:pStyle w:val="Tabletext"/>
              <w:keepNext/>
              <w:keepLines/>
              <w:rPr>
                <w:iCs/>
              </w:rPr>
            </w:pPr>
            <w:r w:rsidRPr="00935CE1">
              <w:rPr>
                <w:iCs/>
              </w:rPr>
              <w:t>$49,705</w:t>
            </w:r>
          </w:p>
        </w:tc>
        <w:tc>
          <w:tcPr>
            <w:tcW w:w="733" w:type="pct"/>
            <w:tcBorders>
              <w:top w:val="single" w:sz="4" w:space="0" w:color="auto"/>
              <w:bottom w:val="single" w:sz="4" w:space="0" w:color="auto"/>
            </w:tcBorders>
          </w:tcPr>
          <w:p w14:paraId="497E695F" w14:textId="18E7D8B4"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16"/>
                <w14:textFill>
                  <w14:solidFill>
                    <w14:srgbClr w14:val="000000">
                      <w14:alpha w14:val="100000"/>
                    </w14:srgbClr>
                  </w14:solidFill>
                </w14:textFill>
              </w:rPr>
              <w:t>|||</w:t>
            </w:r>
            <w:r w:rsidR="00BD6E95" w:rsidRPr="00BD6E95">
              <w:rPr>
                <w:iCs/>
                <w:color w:val="000000"/>
                <w:spacing w:val="1"/>
                <w:shd w:val="solid" w:color="000000" w:fill="000000"/>
                <w:fitText w:val="330" w:id="-632054016"/>
                <w14:textFill>
                  <w14:solidFill>
                    <w14:srgbClr w14:val="000000">
                      <w14:alpha w14:val="100000"/>
                    </w14:srgbClr>
                  </w14:solidFill>
                </w14:textFill>
              </w:rPr>
              <w:t>|</w:t>
            </w:r>
          </w:p>
        </w:tc>
      </w:tr>
      <w:tr w:rsidR="00FE25E8" w:rsidRPr="00935CE1" w14:paraId="1E125A6A" w14:textId="77777777" w:rsidTr="00977721">
        <w:trPr>
          <w:cantSplit/>
        </w:trPr>
        <w:tc>
          <w:tcPr>
            <w:tcW w:w="2206" w:type="pct"/>
            <w:tcBorders>
              <w:top w:val="single" w:sz="4" w:space="0" w:color="auto"/>
              <w:bottom w:val="single" w:sz="4" w:space="0" w:color="auto"/>
            </w:tcBorders>
            <w:tcMar>
              <w:left w:w="57" w:type="dxa"/>
              <w:right w:w="57" w:type="dxa"/>
            </w:tcMar>
          </w:tcPr>
          <w:p w14:paraId="5A82F03E" w14:textId="77777777" w:rsidR="00FE25E8" w:rsidRPr="00935CE1" w:rsidRDefault="00FE25E8" w:rsidP="00087C24">
            <w:pPr>
              <w:pStyle w:val="Tabletext"/>
              <w:keepNext/>
              <w:keepLines/>
              <w:rPr>
                <w:iCs/>
              </w:rPr>
            </w:pPr>
            <w:r w:rsidRPr="00935CE1">
              <w:rPr>
                <w:iCs/>
              </w:rPr>
              <w:t>Incremental LYG</w:t>
            </w:r>
          </w:p>
        </w:tc>
        <w:tc>
          <w:tcPr>
            <w:tcW w:w="957" w:type="pct"/>
            <w:tcBorders>
              <w:top w:val="single" w:sz="4" w:space="0" w:color="auto"/>
              <w:bottom w:val="single" w:sz="4" w:space="0" w:color="auto"/>
            </w:tcBorders>
          </w:tcPr>
          <w:p w14:paraId="6C474ED1" w14:textId="77777777" w:rsidR="00FE25E8" w:rsidRPr="00935CE1" w:rsidRDefault="00FE25E8" w:rsidP="00087C24">
            <w:pPr>
              <w:pStyle w:val="Tabletext"/>
              <w:keepNext/>
              <w:keepLines/>
              <w:rPr>
                <w:iCs/>
              </w:rPr>
            </w:pPr>
            <w:r w:rsidRPr="00935CE1">
              <w:rPr>
                <w:iCs/>
              </w:rPr>
              <w:t>4.356</w:t>
            </w:r>
          </w:p>
        </w:tc>
        <w:tc>
          <w:tcPr>
            <w:tcW w:w="1104" w:type="pct"/>
            <w:tcBorders>
              <w:top w:val="single" w:sz="4" w:space="0" w:color="auto"/>
              <w:bottom w:val="single" w:sz="4" w:space="0" w:color="auto"/>
            </w:tcBorders>
          </w:tcPr>
          <w:p w14:paraId="06A78F08" w14:textId="77777777" w:rsidR="00FE25E8" w:rsidRPr="00935CE1" w:rsidRDefault="00FE25E8" w:rsidP="00087C24">
            <w:pPr>
              <w:pStyle w:val="Tabletext"/>
              <w:keepNext/>
              <w:keepLines/>
              <w:rPr>
                <w:iCs/>
              </w:rPr>
            </w:pPr>
            <w:r w:rsidRPr="00935CE1">
              <w:rPr>
                <w:iCs/>
              </w:rPr>
              <w:t>2.156</w:t>
            </w:r>
          </w:p>
        </w:tc>
        <w:tc>
          <w:tcPr>
            <w:tcW w:w="733" w:type="pct"/>
            <w:tcBorders>
              <w:top w:val="single" w:sz="4" w:space="0" w:color="auto"/>
              <w:bottom w:val="single" w:sz="4" w:space="0" w:color="auto"/>
            </w:tcBorders>
          </w:tcPr>
          <w:p w14:paraId="6526D6FB" w14:textId="77777777" w:rsidR="00FE25E8" w:rsidRPr="00935CE1" w:rsidRDefault="00FE25E8" w:rsidP="00087C24">
            <w:pPr>
              <w:pStyle w:val="Tabletext"/>
              <w:keepNext/>
              <w:keepLines/>
              <w:rPr>
                <w:iCs/>
              </w:rPr>
            </w:pPr>
            <w:r w:rsidRPr="00935CE1">
              <w:rPr>
                <w:iCs/>
              </w:rPr>
              <w:t>2.200</w:t>
            </w:r>
          </w:p>
        </w:tc>
      </w:tr>
      <w:tr w:rsidR="00FE25E8" w:rsidRPr="00935CE1" w14:paraId="428FDDE0" w14:textId="77777777" w:rsidTr="00977721">
        <w:trPr>
          <w:cantSplit/>
        </w:trPr>
        <w:tc>
          <w:tcPr>
            <w:tcW w:w="2206" w:type="pct"/>
            <w:tcBorders>
              <w:top w:val="single" w:sz="4" w:space="0" w:color="auto"/>
              <w:bottom w:val="single" w:sz="4" w:space="0" w:color="auto"/>
            </w:tcBorders>
            <w:tcMar>
              <w:left w:w="57" w:type="dxa"/>
              <w:right w:w="57" w:type="dxa"/>
            </w:tcMar>
          </w:tcPr>
          <w:p w14:paraId="41235851" w14:textId="77777777" w:rsidR="00FE25E8" w:rsidRPr="00935CE1" w:rsidRDefault="00FE25E8" w:rsidP="00087C24">
            <w:pPr>
              <w:pStyle w:val="Tabletext"/>
              <w:keepNext/>
              <w:keepLines/>
              <w:rPr>
                <w:iCs/>
              </w:rPr>
            </w:pPr>
            <w:r w:rsidRPr="00935CE1">
              <w:rPr>
                <w:iCs/>
              </w:rPr>
              <w:t>Incremental QALYs</w:t>
            </w:r>
          </w:p>
        </w:tc>
        <w:tc>
          <w:tcPr>
            <w:tcW w:w="957" w:type="pct"/>
            <w:tcBorders>
              <w:top w:val="single" w:sz="4" w:space="0" w:color="auto"/>
              <w:bottom w:val="single" w:sz="4" w:space="0" w:color="auto"/>
            </w:tcBorders>
          </w:tcPr>
          <w:p w14:paraId="04000408" w14:textId="77777777" w:rsidR="00FE25E8" w:rsidRPr="00935CE1" w:rsidRDefault="00FE25E8" w:rsidP="00087C24">
            <w:pPr>
              <w:pStyle w:val="Tabletext"/>
              <w:keepNext/>
              <w:keepLines/>
              <w:rPr>
                <w:iCs/>
              </w:rPr>
            </w:pPr>
            <w:r w:rsidRPr="00935CE1">
              <w:rPr>
                <w:iCs/>
              </w:rPr>
              <w:t>3.005</w:t>
            </w:r>
          </w:p>
        </w:tc>
        <w:tc>
          <w:tcPr>
            <w:tcW w:w="1104" w:type="pct"/>
            <w:tcBorders>
              <w:top w:val="single" w:sz="4" w:space="0" w:color="auto"/>
              <w:bottom w:val="single" w:sz="4" w:space="0" w:color="auto"/>
            </w:tcBorders>
          </w:tcPr>
          <w:p w14:paraId="0FA749E7" w14:textId="77777777" w:rsidR="00FE25E8" w:rsidRPr="00935CE1" w:rsidRDefault="00FE25E8" w:rsidP="00087C24">
            <w:pPr>
              <w:pStyle w:val="Tabletext"/>
              <w:keepNext/>
              <w:keepLines/>
              <w:rPr>
                <w:iCs/>
              </w:rPr>
            </w:pPr>
            <w:r w:rsidRPr="00935CE1">
              <w:rPr>
                <w:iCs/>
              </w:rPr>
              <w:t>1.438</w:t>
            </w:r>
          </w:p>
        </w:tc>
        <w:tc>
          <w:tcPr>
            <w:tcW w:w="733" w:type="pct"/>
            <w:tcBorders>
              <w:top w:val="single" w:sz="4" w:space="0" w:color="auto"/>
              <w:bottom w:val="single" w:sz="4" w:space="0" w:color="auto"/>
            </w:tcBorders>
          </w:tcPr>
          <w:p w14:paraId="1FCACFBA" w14:textId="77777777" w:rsidR="00FE25E8" w:rsidRPr="00935CE1" w:rsidRDefault="00FE25E8" w:rsidP="00087C24">
            <w:pPr>
              <w:pStyle w:val="Tabletext"/>
              <w:keepNext/>
              <w:keepLines/>
              <w:rPr>
                <w:iCs/>
              </w:rPr>
            </w:pPr>
            <w:r w:rsidRPr="00935CE1">
              <w:rPr>
                <w:iCs/>
              </w:rPr>
              <w:t>1.567</w:t>
            </w:r>
          </w:p>
        </w:tc>
      </w:tr>
      <w:tr w:rsidR="00FE25E8" w:rsidRPr="00935CE1" w14:paraId="5A651A50" w14:textId="77777777" w:rsidTr="00977721">
        <w:trPr>
          <w:cantSplit/>
        </w:trPr>
        <w:tc>
          <w:tcPr>
            <w:tcW w:w="4267" w:type="pct"/>
            <w:gridSpan w:val="3"/>
            <w:tcBorders>
              <w:top w:val="single" w:sz="4" w:space="0" w:color="auto"/>
              <w:bottom w:val="single" w:sz="4" w:space="0" w:color="auto"/>
            </w:tcBorders>
            <w:tcMar>
              <w:left w:w="57" w:type="dxa"/>
              <w:right w:w="57" w:type="dxa"/>
            </w:tcMar>
          </w:tcPr>
          <w:p w14:paraId="243FA2E8" w14:textId="77777777" w:rsidR="00FE25E8" w:rsidRPr="00935CE1" w:rsidRDefault="00FE25E8" w:rsidP="00087C24">
            <w:pPr>
              <w:pStyle w:val="Tabletext"/>
              <w:keepNext/>
              <w:keepLines/>
              <w:rPr>
                <w:iCs/>
              </w:rPr>
            </w:pPr>
            <w:r w:rsidRPr="00935CE1">
              <w:rPr>
                <w:iCs/>
              </w:rPr>
              <w:t>Incremental cost/ QALY</w:t>
            </w:r>
          </w:p>
        </w:tc>
        <w:tc>
          <w:tcPr>
            <w:tcW w:w="733" w:type="pct"/>
            <w:tcBorders>
              <w:top w:val="single" w:sz="4" w:space="0" w:color="auto"/>
              <w:bottom w:val="single" w:sz="4" w:space="0" w:color="auto"/>
            </w:tcBorders>
          </w:tcPr>
          <w:p w14:paraId="38597187" w14:textId="069DFE45" w:rsidR="00FE25E8" w:rsidRPr="00935CE1" w:rsidRDefault="00FE25E8" w:rsidP="00087C24">
            <w:pPr>
              <w:pStyle w:val="Tabletext"/>
              <w:keepNext/>
              <w:keepLines/>
              <w:rPr>
                <w:b/>
                <w:bCs/>
                <w:iCs/>
              </w:rPr>
            </w:pPr>
            <w:r w:rsidRPr="00935CE1">
              <w:rPr>
                <w:b/>
                <w:bCs/>
                <w:iCs/>
              </w:rPr>
              <w:t>$</w:t>
            </w:r>
            <w:r w:rsidR="00BD6E95" w:rsidRPr="00BD6E95">
              <w:rPr>
                <w:b/>
                <w:bCs/>
                <w:iCs/>
                <w:color w:val="000000"/>
                <w:spacing w:val="56"/>
                <w:shd w:val="solid" w:color="000000" w:fill="000000"/>
                <w:fitText w:val="354" w:id="-632054015"/>
                <w14:textFill>
                  <w14:solidFill>
                    <w14:srgbClr w14:val="000000">
                      <w14:alpha w14:val="100000"/>
                    </w14:srgbClr>
                  </w14:solidFill>
                </w14:textFill>
              </w:rPr>
              <w:t>|||</w:t>
            </w:r>
            <w:r w:rsidR="00BD6E95" w:rsidRPr="00BD6E95">
              <w:rPr>
                <w:b/>
                <w:bCs/>
                <w:iCs/>
                <w:color w:val="000000"/>
                <w:spacing w:val="3"/>
                <w:shd w:val="solid" w:color="000000" w:fill="000000"/>
                <w:fitText w:val="354" w:id="-632054015"/>
                <w14:textFill>
                  <w14:solidFill>
                    <w14:srgbClr w14:val="000000">
                      <w14:alpha w14:val="100000"/>
                    </w14:srgbClr>
                  </w14:solidFill>
                </w14:textFill>
              </w:rPr>
              <w:t>|</w:t>
            </w:r>
            <w:r w:rsidR="002076DF" w:rsidRPr="002076DF">
              <w:rPr>
                <w:b/>
                <w:bCs/>
                <w:iCs/>
                <w:vertAlign w:val="superscript"/>
              </w:rPr>
              <w:t>3</w:t>
            </w:r>
          </w:p>
        </w:tc>
      </w:tr>
      <w:tr w:rsidR="00FE25E8" w:rsidRPr="00935CE1" w14:paraId="29163A5D" w14:textId="77777777" w:rsidTr="00977721">
        <w:trPr>
          <w:cantSplit/>
        </w:trPr>
        <w:tc>
          <w:tcPr>
            <w:tcW w:w="5000" w:type="pct"/>
            <w:gridSpan w:val="4"/>
            <w:tcBorders>
              <w:top w:val="single" w:sz="4" w:space="0" w:color="auto"/>
              <w:bottom w:val="single" w:sz="4" w:space="0" w:color="auto"/>
            </w:tcBorders>
            <w:tcMar>
              <w:left w:w="57" w:type="dxa"/>
              <w:right w:w="57" w:type="dxa"/>
            </w:tcMar>
          </w:tcPr>
          <w:p w14:paraId="73AF59D5" w14:textId="77777777" w:rsidR="00FE25E8" w:rsidRPr="00935CE1" w:rsidRDefault="00FE25E8" w:rsidP="00087C24">
            <w:pPr>
              <w:pStyle w:val="Tabletext"/>
              <w:keepNext/>
              <w:keepLines/>
              <w:rPr>
                <w:b/>
                <w:bCs/>
                <w:iCs/>
              </w:rPr>
            </w:pPr>
            <w:r w:rsidRPr="00935CE1">
              <w:rPr>
                <w:b/>
                <w:bCs/>
                <w:iCs/>
              </w:rPr>
              <w:t>Step 6: Inclusion of end-of-life costs</w:t>
            </w:r>
          </w:p>
        </w:tc>
      </w:tr>
      <w:tr w:rsidR="00FE25E8" w:rsidRPr="00935CE1" w14:paraId="7F8179B5" w14:textId="77777777" w:rsidTr="00977721">
        <w:trPr>
          <w:cantSplit/>
        </w:trPr>
        <w:tc>
          <w:tcPr>
            <w:tcW w:w="2206" w:type="pct"/>
            <w:tcBorders>
              <w:top w:val="single" w:sz="4" w:space="0" w:color="auto"/>
              <w:bottom w:val="single" w:sz="4" w:space="0" w:color="auto"/>
            </w:tcBorders>
            <w:tcMar>
              <w:left w:w="57" w:type="dxa"/>
              <w:right w:w="57" w:type="dxa"/>
            </w:tcMar>
          </w:tcPr>
          <w:p w14:paraId="54C9D089" w14:textId="77777777" w:rsidR="00FE25E8" w:rsidRPr="00935CE1" w:rsidRDefault="00FE25E8" w:rsidP="00087C24">
            <w:pPr>
              <w:pStyle w:val="Tabletext"/>
              <w:keepNext/>
              <w:keepLines/>
              <w:rPr>
                <w:iCs/>
              </w:rPr>
            </w:pPr>
            <w:r w:rsidRPr="00935CE1">
              <w:rPr>
                <w:iCs/>
              </w:rPr>
              <w:t>Incremental costs</w:t>
            </w:r>
          </w:p>
        </w:tc>
        <w:tc>
          <w:tcPr>
            <w:tcW w:w="957" w:type="pct"/>
            <w:tcBorders>
              <w:top w:val="single" w:sz="4" w:space="0" w:color="auto"/>
              <w:bottom w:val="single" w:sz="4" w:space="0" w:color="auto"/>
            </w:tcBorders>
          </w:tcPr>
          <w:p w14:paraId="5D51EDF0" w14:textId="5BA103CA"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14"/>
                <w14:textFill>
                  <w14:solidFill>
                    <w14:srgbClr w14:val="000000">
                      <w14:alpha w14:val="100000"/>
                    </w14:srgbClr>
                  </w14:solidFill>
                </w14:textFill>
              </w:rPr>
              <w:t>|||</w:t>
            </w:r>
            <w:r w:rsidR="00BD6E95" w:rsidRPr="00BD6E95">
              <w:rPr>
                <w:iCs/>
                <w:color w:val="000000"/>
                <w:spacing w:val="1"/>
                <w:shd w:val="solid" w:color="000000" w:fill="000000"/>
                <w:fitText w:val="330" w:id="-632054014"/>
                <w14:textFill>
                  <w14:solidFill>
                    <w14:srgbClr w14:val="000000">
                      <w14:alpha w14:val="100000"/>
                    </w14:srgbClr>
                  </w14:solidFill>
                </w14:textFill>
              </w:rPr>
              <w:t>|</w:t>
            </w:r>
          </w:p>
        </w:tc>
        <w:tc>
          <w:tcPr>
            <w:tcW w:w="1104" w:type="pct"/>
            <w:tcBorders>
              <w:top w:val="single" w:sz="4" w:space="0" w:color="auto"/>
              <w:bottom w:val="single" w:sz="4" w:space="0" w:color="auto"/>
            </w:tcBorders>
          </w:tcPr>
          <w:p w14:paraId="2B21E5AF" w14:textId="77777777" w:rsidR="00FE25E8" w:rsidRPr="00935CE1" w:rsidRDefault="00FE25E8" w:rsidP="00087C24">
            <w:pPr>
              <w:pStyle w:val="Tabletext"/>
              <w:keepNext/>
              <w:keepLines/>
              <w:rPr>
                <w:iCs/>
              </w:rPr>
            </w:pPr>
            <w:r w:rsidRPr="00935CE1">
              <w:rPr>
                <w:iCs/>
              </w:rPr>
              <w:t>$56,209</w:t>
            </w:r>
          </w:p>
        </w:tc>
        <w:tc>
          <w:tcPr>
            <w:tcW w:w="733" w:type="pct"/>
            <w:tcBorders>
              <w:top w:val="single" w:sz="4" w:space="0" w:color="auto"/>
              <w:bottom w:val="single" w:sz="4" w:space="0" w:color="auto"/>
            </w:tcBorders>
          </w:tcPr>
          <w:p w14:paraId="4E7527B7" w14:textId="7419C481"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13"/>
                <w14:textFill>
                  <w14:solidFill>
                    <w14:srgbClr w14:val="000000">
                      <w14:alpha w14:val="100000"/>
                    </w14:srgbClr>
                  </w14:solidFill>
                </w14:textFill>
              </w:rPr>
              <w:t>|||</w:t>
            </w:r>
            <w:r w:rsidR="00BD6E95" w:rsidRPr="00BD6E95">
              <w:rPr>
                <w:iCs/>
                <w:color w:val="000000"/>
                <w:spacing w:val="1"/>
                <w:shd w:val="solid" w:color="000000" w:fill="000000"/>
                <w:fitText w:val="330" w:id="-632054013"/>
                <w14:textFill>
                  <w14:solidFill>
                    <w14:srgbClr w14:val="000000">
                      <w14:alpha w14:val="100000"/>
                    </w14:srgbClr>
                  </w14:solidFill>
                </w14:textFill>
              </w:rPr>
              <w:t>|</w:t>
            </w:r>
          </w:p>
        </w:tc>
      </w:tr>
      <w:tr w:rsidR="00FE25E8" w:rsidRPr="00935CE1" w14:paraId="027BFBDA" w14:textId="77777777" w:rsidTr="00977721">
        <w:trPr>
          <w:cantSplit/>
        </w:trPr>
        <w:tc>
          <w:tcPr>
            <w:tcW w:w="2206" w:type="pct"/>
            <w:tcBorders>
              <w:top w:val="single" w:sz="4" w:space="0" w:color="auto"/>
              <w:bottom w:val="single" w:sz="4" w:space="0" w:color="auto"/>
            </w:tcBorders>
            <w:tcMar>
              <w:left w:w="57" w:type="dxa"/>
              <w:right w:w="57" w:type="dxa"/>
            </w:tcMar>
          </w:tcPr>
          <w:p w14:paraId="252719FA" w14:textId="77777777" w:rsidR="00FE25E8" w:rsidRPr="00935CE1" w:rsidRDefault="00FE25E8" w:rsidP="00087C24">
            <w:pPr>
              <w:pStyle w:val="Tabletext"/>
              <w:keepNext/>
              <w:keepLines/>
              <w:rPr>
                <w:iCs/>
              </w:rPr>
            </w:pPr>
            <w:r w:rsidRPr="00935CE1">
              <w:rPr>
                <w:iCs/>
              </w:rPr>
              <w:t>Incremental LYG</w:t>
            </w:r>
          </w:p>
        </w:tc>
        <w:tc>
          <w:tcPr>
            <w:tcW w:w="957" w:type="pct"/>
            <w:tcBorders>
              <w:top w:val="single" w:sz="4" w:space="0" w:color="auto"/>
              <w:bottom w:val="single" w:sz="4" w:space="0" w:color="auto"/>
            </w:tcBorders>
          </w:tcPr>
          <w:p w14:paraId="681C6429" w14:textId="77777777" w:rsidR="00FE25E8" w:rsidRPr="00935CE1" w:rsidRDefault="00FE25E8" w:rsidP="00087C24">
            <w:pPr>
              <w:pStyle w:val="Tabletext"/>
              <w:keepNext/>
              <w:keepLines/>
              <w:rPr>
                <w:iCs/>
              </w:rPr>
            </w:pPr>
            <w:r w:rsidRPr="00935CE1">
              <w:rPr>
                <w:iCs/>
              </w:rPr>
              <w:t>4.356</w:t>
            </w:r>
          </w:p>
        </w:tc>
        <w:tc>
          <w:tcPr>
            <w:tcW w:w="1104" w:type="pct"/>
            <w:tcBorders>
              <w:top w:val="single" w:sz="4" w:space="0" w:color="auto"/>
              <w:bottom w:val="single" w:sz="4" w:space="0" w:color="auto"/>
            </w:tcBorders>
          </w:tcPr>
          <w:p w14:paraId="243B58A8" w14:textId="77777777" w:rsidR="00FE25E8" w:rsidRPr="00935CE1" w:rsidRDefault="00FE25E8" w:rsidP="00087C24">
            <w:pPr>
              <w:pStyle w:val="Tabletext"/>
              <w:keepNext/>
              <w:keepLines/>
              <w:rPr>
                <w:iCs/>
              </w:rPr>
            </w:pPr>
            <w:r w:rsidRPr="00935CE1">
              <w:rPr>
                <w:iCs/>
              </w:rPr>
              <w:t>2.156</w:t>
            </w:r>
          </w:p>
        </w:tc>
        <w:tc>
          <w:tcPr>
            <w:tcW w:w="733" w:type="pct"/>
            <w:tcBorders>
              <w:top w:val="single" w:sz="4" w:space="0" w:color="auto"/>
              <w:bottom w:val="single" w:sz="4" w:space="0" w:color="auto"/>
            </w:tcBorders>
          </w:tcPr>
          <w:p w14:paraId="13C4DDC1" w14:textId="77777777" w:rsidR="00FE25E8" w:rsidRPr="00935CE1" w:rsidRDefault="00FE25E8" w:rsidP="00087C24">
            <w:pPr>
              <w:pStyle w:val="Tabletext"/>
              <w:keepNext/>
              <w:keepLines/>
              <w:rPr>
                <w:iCs/>
              </w:rPr>
            </w:pPr>
            <w:r w:rsidRPr="00935CE1">
              <w:rPr>
                <w:iCs/>
              </w:rPr>
              <w:t>2.200</w:t>
            </w:r>
          </w:p>
        </w:tc>
      </w:tr>
      <w:tr w:rsidR="00FE25E8" w:rsidRPr="00935CE1" w14:paraId="039D5431" w14:textId="77777777" w:rsidTr="00977721">
        <w:trPr>
          <w:cantSplit/>
        </w:trPr>
        <w:tc>
          <w:tcPr>
            <w:tcW w:w="2206" w:type="pct"/>
            <w:tcBorders>
              <w:top w:val="single" w:sz="4" w:space="0" w:color="auto"/>
              <w:bottom w:val="single" w:sz="4" w:space="0" w:color="auto"/>
            </w:tcBorders>
            <w:tcMar>
              <w:left w:w="57" w:type="dxa"/>
              <w:right w:w="57" w:type="dxa"/>
            </w:tcMar>
          </w:tcPr>
          <w:p w14:paraId="6979794A" w14:textId="77777777" w:rsidR="00FE25E8" w:rsidRPr="00935CE1" w:rsidRDefault="00FE25E8" w:rsidP="00087C24">
            <w:pPr>
              <w:pStyle w:val="Tabletext"/>
              <w:keepNext/>
              <w:keepLines/>
              <w:rPr>
                <w:iCs/>
              </w:rPr>
            </w:pPr>
            <w:r w:rsidRPr="00935CE1">
              <w:rPr>
                <w:iCs/>
              </w:rPr>
              <w:t>Incremental QALYs</w:t>
            </w:r>
          </w:p>
        </w:tc>
        <w:tc>
          <w:tcPr>
            <w:tcW w:w="957" w:type="pct"/>
            <w:tcBorders>
              <w:top w:val="single" w:sz="4" w:space="0" w:color="auto"/>
              <w:bottom w:val="single" w:sz="4" w:space="0" w:color="auto"/>
            </w:tcBorders>
          </w:tcPr>
          <w:p w14:paraId="742EF455" w14:textId="77777777" w:rsidR="00FE25E8" w:rsidRPr="00935CE1" w:rsidRDefault="00FE25E8" w:rsidP="00087C24">
            <w:pPr>
              <w:pStyle w:val="Tabletext"/>
              <w:keepNext/>
              <w:keepLines/>
              <w:rPr>
                <w:iCs/>
              </w:rPr>
            </w:pPr>
            <w:r w:rsidRPr="00935CE1">
              <w:rPr>
                <w:iCs/>
              </w:rPr>
              <w:t>3.005</w:t>
            </w:r>
          </w:p>
        </w:tc>
        <w:tc>
          <w:tcPr>
            <w:tcW w:w="1104" w:type="pct"/>
            <w:tcBorders>
              <w:top w:val="single" w:sz="4" w:space="0" w:color="auto"/>
              <w:bottom w:val="single" w:sz="4" w:space="0" w:color="auto"/>
            </w:tcBorders>
          </w:tcPr>
          <w:p w14:paraId="486059AA" w14:textId="77777777" w:rsidR="00FE25E8" w:rsidRPr="00935CE1" w:rsidRDefault="00FE25E8" w:rsidP="00087C24">
            <w:pPr>
              <w:pStyle w:val="Tabletext"/>
              <w:keepNext/>
              <w:keepLines/>
              <w:rPr>
                <w:iCs/>
              </w:rPr>
            </w:pPr>
            <w:r w:rsidRPr="00935CE1">
              <w:rPr>
                <w:iCs/>
              </w:rPr>
              <w:t>1.438</w:t>
            </w:r>
          </w:p>
        </w:tc>
        <w:tc>
          <w:tcPr>
            <w:tcW w:w="733" w:type="pct"/>
            <w:tcBorders>
              <w:top w:val="single" w:sz="4" w:space="0" w:color="auto"/>
              <w:bottom w:val="single" w:sz="4" w:space="0" w:color="auto"/>
            </w:tcBorders>
          </w:tcPr>
          <w:p w14:paraId="335CA11B" w14:textId="77777777" w:rsidR="00FE25E8" w:rsidRPr="00935CE1" w:rsidRDefault="00FE25E8" w:rsidP="00087C24">
            <w:pPr>
              <w:pStyle w:val="Tabletext"/>
              <w:keepNext/>
              <w:keepLines/>
              <w:rPr>
                <w:iCs/>
              </w:rPr>
            </w:pPr>
            <w:r w:rsidRPr="00935CE1">
              <w:rPr>
                <w:iCs/>
              </w:rPr>
              <w:t>1.567</w:t>
            </w:r>
          </w:p>
        </w:tc>
      </w:tr>
      <w:tr w:rsidR="00FE25E8" w:rsidRPr="00935CE1" w14:paraId="779B61B5" w14:textId="77777777" w:rsidTr="00977721">
        <w:trPr>
          <w:cantSplit/>
        </w:trPr>
        <w:tc>
          <w:tcPr>
            <w:tcW w:w="4267" w:type="pct"/>
            <w:gridSpan w:val="3"/>
            <w:tcBorders>
              <w:top w:val="single" w:sz="4" w:space="0" w:color="auto"/>
              <w:bottom w:val="single" w:sz="4" w:space="0" w:color="auto"/>
            </w:tcBorders>
            <w:tcMar>
              <w:left w:w="57" w:type="dxa"/>
              <w:right w:w="57" w:type="dxa"/>
            </w:tcMar>
          </w:tcPr>
          <w:p w14:paraId="45B384F0" w14:textId="77777777" w:rsidR="00FE25E8" w:rsidRPr="00935CE1" w:rsidRDefault="00FE25E8" w:rsidP="00087C24">
            <w:pPr>
              <w:pStyle w:val="Tabletext"/>
              <w:keepNext/>
              <w:keepLines/>
              <w:rPr>
                <w:iCs/>
              </w:rPr>
            </w:pPr>
            <w:r w:rsidRPr="00935CE1">
              <w:rPr>
                <w:iCs/>
              </w:rPr>
              <w:t>Incremental cost/ QALY</w:t>
            </w:r>
          </w:p>
        </w:tc>
        <w:tc>
          <w:tcPr>
            <w:tcW w:w="733" w:type="pct"/>
            <w:tcBorders>
              <w:top w:val="single" w:sz="4" w:space="0" w:color="auto"/>
              <w:bottom w:val="single" w:sz="4" w:space="0" w:color="auto"/>
            </w:tcBorders>
          </w:tcPr>
          <w:p w14:paraId="12FFBA51" w14:textId="72412FC8" w:rsidR="00FE25E8" w:rsidRPr="00935CE1" w:rsidRDefault="00FE25E8" w:rsidP="00087C24">
            <w:pPr>
              <w:pStyle w:val="Tabletext"/>
              <w:keepNext/>
              <w:keepLines/>
              <w:rPr>
                <w:b/>
                <w:bCs/>
                <w:iCs/>
              </w:rPr>
            </w:pPr>
            <w:r w:rsidRPr="00935CE1">
              <w:rPr>
                <w:b/>
                <w:bCs/>
                <w:iCs/>
              </w:rPr>
              <w:t>$</w:t>
            </w:r>
            <w:r w:rsidR="00BD6E95" w:rsidRPr="00BD6E95">
              <w:rPr>
                <w:b/>
                <w:bCs/>
                <w:iCs/>
                <w:color w:val="000000"/>
                <w:spacing w:val="56"/>
                <w:shd w:val="solid" w:color="000000" w:fill="000000"/>
                <w:fitText w:val="354" w:id="-632054012"/>
                <w14:textFill>
                  <w14:solidFill>
                    <w14:srgbClr w14:val="000000">
                      <w14:alpha w14:val="100000"/>
                    </w14:srgbClr>
                  </w14:solidFill>
                </w14:textFill>
              </w:rPr>
              <w:t>|||</w:t>
            </w:r>
            <w:r w:rsidR="00BD6E95" w:rsidRPr="00BD6E95">
              <w:rPr>
                <w:b/>
                <w:bCs/>
                <w:iCs/>
                <w:color w:val="000000"/>
                <w:spacing w:val="3"/>
                <w:shd w:val="solid" w:color="000000" w:fill="000000"/>
                <w:fitText w:val="354" w:id="-632054012"/>
                <w14:textFill>
                  <w14:solidFill>
                    <w14:srgbClr w14:val="000000">
                      <w14:alpha w14:val="100000"/>
                    </w14:srgbClr>
                  </w14:solidFill>
                </w14:textFill>
              </w:rPr>
              <w:t>|</w:t>
            </w:r>
            <w:r w:rsidR="002076DF" w:rsidRPr="002076DF">
              <w:rPr>
                <w:b/>
                <w:bCs/>
                <w:iCs/>
                <w:vertAlign w:val="superscript"/>
              </w:rPr>
              <w:t>3</w:t>
            </w:r>
          </w:p>
        </w:tc>
      </w:tr>
      <w:tr w:rsidR="00FE25E8" w:rsidRPr="00935CE1" w14:paraId="683DBFE4" w14:textId="77777777" w:rsidTr="00977721">
        <w:trPr>
          <w:cantSplit/>
        </w:trPr>
        <w:tc>
          <w:tcPr>
            <w:tcW w:w="5000" w:type="pct"/>
            <w:gridSpan w:val="4"/>
            <w:tcBorders>
              <w:top w:val="single" w:sz="4" w:space="0" w:color="auto"/>
              <w:bottom w:val="single" w:sz="4" w:space="0" w:color="auto"/>
            </w:tcBorders>
            <w:tcMar>
              <w:left w:w="57" w:type="dxa"/>
              <w:right w:w="57" w:type="dxa"/>
            </w:tcMar>
          </w:tcPr>
          <w:p w14:paraId="1F004402" w14:textId="77777777" w:rsidR="00FE25E8" w:rsidRPr="00935CE1" w:rsidRDefault="00FE25E8" w:rsidP="00087C24">
            <w:pPr>
              <w:pStyle w:val="Tabletext"/>
              <w:keepNext/>
              <w:keepLines/>
              <w:rPr>
                <w:b/>
                <w:bCs/>
                <w:iCs/>
              </w:rPr>
            </w:pPr>
            <w:r w:rsidRPr="00935CE1">
              <w:rPr>
                <w:b/>
                <w:bCs/>
                <w:iCs/>
              </w:rPr>
              <w:t>Step 7: Incorporation of the proposed SPA rebate</w:t>
            </w:r>
          </w:p>
        </w:tc>
      </w:tr>
      <w:tr w:rsidR="00FE25E8" w:rsidRPr="00935CE1" w14:paraId="7C7ABE8C" w14:textId="77777777" w:rsidTr="00BD6E95">
        <w:trPr>
          <w:cantSplit/>
        </w:trPr>
        <w:tc>
          <w:tcPr>
            <w:tcW w:w="2206" w:type="pct"/>
            <w:tcBorders>
              <w:top w:val="single" w:sz="4" w:space="0" w:color="auto"/>
              <w:bottom w:val="single" w:sz="4" w:space="0" w:color="auto"/>
            </w:tcBorders>
            <w:tcMar>
              <w:left w:w="57" w:type="dxa"/>
              <w:right w:w="57" w:type="dxa"/>
            </w:tcMar>
          </w:tcPr>
          <w:p w14:paraId="23F76C64" w14:textId="77777777" w:rsidR="00FE25E8" w:rsidRPr="00935CE1" w:rsidRDefault="00FE25E8" w:rsidP="00087C24">
            <w:pPr>
              <w:pStyle w:val="Tabletext"/>
              <w:keepNext/>
              <w:keepLines/>
              <w:rPr>
                <w:iCs/>
              </w:rPr>
            </w:pPr>
            <w:r w:rsidRPr="00935CE1">
              <w:rPr>
                <w:iCs/>
              </w:rPr>
              <w:t>Incremental costs</w:t>
            </w:r>
          </w:p>
        </w:tc>
        <w:tc>
          <w:tcPr>
            <w:tcW w:w="957" w:type="pct"/>
            <w:tcBorders>
              <w:top w:val="single" w:sz="4" w:space="0" w:color="auto"/>
              <w:bottom w:val="single" w:sz="4" w:space="0" w:color="auto"/>
            </w:tcBorders>
          </w:tcPr>
          <w:p w14:paraId="6605F4A5" w14:textId="14809A5D"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11"/>
                <w14:textFill>
                  <w14:solidFill>
                    <w14:srgbClr w14:val="000000">
                      <w14:alpha w14:val="100000"/>
                    </w14:srgbClr>
                  </w14:solidFill>
                </w14:textFill>
              </w:rPr>
              <w:t>|||</w:t>
            </w:r>
            <w:r w:rsidR="00BD6E95" w:rsidRPr="00BD6E95">
              <w:rPr>
                <w:iCs/>
                <w:color w:val="000000"/>
                <w:spacing w:val="1"/>
                <w:shd w:val="solid" w:color="000000" w:fill="000000"/>
                <w:fitText w:val="330" w:id="-632054011"/>
                <w14:textFill>
                  <w14:solidFill>
                    <w14:srgbClr w14:val="000000">
                      <w14:alpha w14:val="100000"/>
                    </w14:srgbClr>
                  </w14:solidFill>
                </w14:textFill>
              </w:rPr>
              <w:t>|</w:t>
            </w:r>
          </w:p>
        </w:tc>
        <w:tc>
          <w:tcPr>
            <w:tcW w:w="1104" w:type="pct"/>
            <w:tcBorders>
              <w:top w:val="single" w:sz="4" w:space="0" w:color="auto"/>
              <w:bottom w:val="single" w:sz="4" w:space="0" w:color="auto"/>
            </w:tcBorders>
          </w:tcPr>
          <w:p w14:paraId="0D874040" w14:textId="77777777" w:rsidR="00FE25E8" w:rsidRPr="00935CE1" w:rsidRDefault="00FE25E8" w:rsidP="00087C24">
            <w:pPr>
              <w:pStyle w:val="Tabletext"/>
              <w:keepNext/>
              <w:keepLines/>
              <w:rPr>
                <w:iCs/>
              </w:rPr>
            </w:pPr>
            <w:r w:rsidRPr="00935CE1">
              <w:rPr>
                <w:iCs/>
              </w:rPr>
              <w:t>$56,209</w:t>
            </w:r>
          </w:p>
        </w:tc>
        <w:tc>
          <w:tcPr>
            <w:tcW w:w="733" w:type="pct"/>
            <w:tcBorders>
              <w:top w:val="single" w:sz="4" w:space="0" w:color="auto"/>
              <w:bottom w:val="single" w:sz="4" w:space="0" w:color="auto"/>
            </w:tcBorders>
            <w:shd w:val="solid" w:color="000000" w:fill="000000"/>
          </w:tcPr>
          <w:p w14:paraId="18B896B8" w14:textId="683A660A" w:rsidR="00FE25E8" w:rsidRPr="00935CE1" w:rsidRDefault="00BD6E95" w:rsidP="00087C24">
            <w:pPr>
              <w:pStyle w:val="Tabletext"/>
              <w:keepNext/>
              <w:keepLines/>
              <w:rPr>
                <w:iCs/>
              </w:rPr>
            </w:pPr>
            <w:r w:rsidRPr="00BD6E95">
              <w:rPr>
                <w:iCs/>
                <w:color w:val="000000"/>
                <w:spacing w:val="53"/>
                <w:fitText w:val="330" w:id="-632054010"/>
                <w14:textFill>
                  <w14:solidFill>
                    <w14:srgbClr w14:val="000000">
                      <w14:alpha w14:val="100000"/>
                    </w14:srgbClr>
                  </w14:solidFill>
                </w14:textFill>
              </w:rPr>
              <w:t>|||</w:t>
            </w:r>
            <w:r w:rsidRPr="00BD6E95">
              <w:rPr>
                <w:iCs/>
                <w:color w:val="000000"/>
                <w:spacing w:val="1"/>
                <w:fitText w:val="330" w:id="-632054010"/>
                <w14:textFill>
                  <w14:solidFill>
                    <w14:srgbClr w14:val="000000">
                      <w14:alpha w14:val="100000"/>
                    </w14:srgbClr>
                  </w14:solidFill>
                </w14:textFill>
              </w:rPr>
              <w:t>|</w:t>
            </w:r>
          </w:p>
        </w:tc>
      </w:tr>
      <w:tr w:rsidR="00FE25E8" w:rsidRPr="00935CE1" w14:paraId="41761D53" w14:textId="77777777" w:rsidTr="00977721">
        <w:trPr>
          <w:cantSplit/>
        </w:trPr>
        <w:tc>
          <w:tcPr>
            <w:tcW w:w="2206" w:type="pct"/>
            <w:tcBorders>
              <w:top w:val="single" w:sz="4" w:space="0" w:color="auto"/>
              <w:bottom w:val="single" w:sz="4" w:space="0" w:color="auto"/>
            </w:tcBorders>
            <w:tcMar>
              <w:left w:w="57" w:type="dxa"/>
              <w:right w:w="57" w:type="dxa"/>
            </w:tcMar>
          </w:tcPr>
          <w:p w14:paraId="0BECF96C" w14:textId="77777777" w:rsidR="00FE25E8" w:rsidRPr="00935CE1" w:rsidRDefault="00FE25E8" w:rsidP="00087C24">
            <w:pPr>
              <w:pStyle w:val="Tabletext"/>
              <w:keepNext/>
              <w:keepLines/>
              <w:rPr>
                <w:iCs/>
              </w:rPr>
            </w:pPr>
            <w:r w:rsidRPr="00935CE1">
              <w:rPr>
                <w:iCs/>
              </w:rPr>
              <w:t>Incremental LYG</w:t>
            </w:r>
          </w:p>
        </w:tc>
        <w:tc>
          <w:tcPr>
            <w:tcW w:w="957" w:type="pct"/>
            <w:tcBorders>
              <w:top w:val="single" w:sz="4" w:space="0" w:color="auto"/>
              <w:bottom w:val="single" w:sz="4" w:space="0" w:color="auto"/>
            </w:tcBorders>
          </w:tcPr>
          <w:p w14:paraId="1D2961C1" w14:textId="77777777" w:rsidR="00FE25E8" w:rsidRPr="00935CE1" w:rsidRDefault="00FE25E8" w:rsidP="00087C24">
            <w:pPr>
              <w:pStyle w:val="Tabletext"/>
              <w:keepNext/>
              <w:keepLines/>
              <w:rPr>
                <w:iCs/>
              </w:rPr>
            </w:pPr>
            <w:r w:rsidRPr="00935CE1">
              <w:rPr>
                <w:iCs/>
              </w:rPr>
              <w:t>4.356</w:t>
            </w:r>
          </w:p>
        </w:tc>
        <w:tc>
          <w:tcPr>
            <w:tcW w:w="1104" w:type="pct"/>
            <w:tcBorders>
              <w:top w:val="single" w:sz="4" w:space="0" w:color="auto"/>
              <w:bottom w:val="single" w:sz="4" w:space="0" w:color="auto"/>
            </w:tcBorders>
          </w:tcPr>
          <w:p w14:paraId="5797E175" w14:textId="77777777" w:rsidR="00FE25E8" w:rsidRPr="00935CE1" w:rsidRDefault="00FE25E8" w:rsidP="00087C24">
            <w:pPr>
              <w:pStyle w:val="Tabletext"/>
              <w:keepNext/>
              <w:keepLines/>
              <w:rPr>
                <w:iCs/>
              </w:rPr>
            </w:pPr>
            <w:r w:rsidRPr="00935CE1">
              <w:rPr>
                <w:iCs/>
              </w:rPr>
              <w:t>2.156</w:t>
            </w:r>
          </w:p>
        </w:tc>
        <w:tc>
          <w:tcPr>
            <w:tcW w:w="733" w:type="pct"/>
            <w:tcBorders>
              <w:top w:val="single" w:sz="4" w:space="0" w:color="auto"/>
              <w:bottom w:val="single" w:sz="4" w:space="0" w:color="auto"/>
            </w:tcBorders>
          </w:tcPr>
          <w:p w14:paraId="78B1361E" w14:textId="77777777" w:rsidR="00FE25E8" w:rsidRPr="00935CE1" w:rsidRDefault="00FE25E8" w:rsidP="00087C24">
            <w:pPr>
              <w:pStyle w:val="Tabletext"/>
              <w:keepNext/>
              <w:keepLines/>
              <w:rPr>
                <w:iCs/>
              </w:rPr>
            </w:pPr>
            <w:r w:rsidRPr="00935CE1">
              <w:rPr>
                <w:iCs/>
              </w:rPr>
              <w:t>2.200</w:t>
            </w:r>
          </w:p>
        </w:tc>
      </w:tr>
      <w:tr w:rsidR="00FE25E8" w:rsidRPr="00935CE1" w14:paraId="59C42942" w14:textId="77777777" w:rsidTr="00977721">
        <w:trPr>
          <w:cantSplit/>
        </w:trPr>
        <w:tc>
          <w:tcPr>
            <w:tcW w:w="2206" w:type="pct"/>
            <w:tcBorders>
              <w:top w:val="single" w:sz="4" w:space="0" w:color="auto"/>
              <w:bottom w:val="single" w:sz="4" w:space="0" w:color="auto"/>
            </w:tcBorders>
            <w:tcMar>
              <w:left w:w="57" w:type="dxa"/>
              <w:right w:w="57" w:type="dxa"/>
            </w:tcMar>
          </w:tcPr>
          <w:p w14:paraId="6B4FDFE0" w14:textId="77777777" w:rsidR="00FE25E8" w:rsidRPr="00935CE1" w:rsidRDefault="00FE25E8" w:rsidP="00087C24">
            <w:pPr>
              <w:pStyle w:val="Tabletext"/>
              <w:keepNext/>
              <w:keepLines/>
              <w:rPr>
                <w:iCs/>
              </w:rPr>
            </w:pPr>
            <w:r w:rsidRPr="00935CE1">
              <w:rPr>
                <w:iCs/>
              </w:rPr>
              <w:t>Incremental QALYs</w:t>
            </w:r>
          </w:p>
        </w:tc>
        <w:tc>
          <w:tcPr>
            <w:tcW w:w="957" w:type="pct"/>
            <w:tcBorders>
              <w:top w:val="single" w:sz="4" w:space="0" w:color="auto"/>
              <w:bottom w:val="single" w:sz="4" w:space="0" w:color="auto"/>
            </w:tcBorders>
          </w:tcPr>
          <w:p w14:paraId="724C95B3" w14:textId="77777777" w:rsidR="00FE25E8" w:rsidRPr="00935CE1" w:rsidRDefault="00FE25E8" w:rsidP="00087C24">
            <w:pPr>
              <w:pStyle w:val="Tabletext"/>
              <w:keepNext/>
              <w:keepLines/>
              <w:rPr>
                <w:iCs/>
              </w:rPr>
            </w:pPr>
            <w:r w:rsidRPr="00935CE1">
              <w:rPr>
                <w:iCs/>
              </w:rPr>
              <w:t>3.005</w:t>
            </w:r>
          </w:p>
        </w:tc>
        <w:tc>
          <w:tcPr>
            <w:tcW w:w="1104" w:type="pct"/>
            <w:tcBorders>
              <w:top w:val="single" w:sz="4" w:space="0" w:color="auto"/>
              <w:bottom w:val="single" w:sz="4" w:space="0" w:color="auto"/>
            </w:tcBorders>
          </w:tcPr>
          <w:p w14:paraId="7F17E1A5" w14:textId="77777777" w:rsidR="00FE25E8" w:rsidRPr="00935CE1" w:rsidRDefault="00FE25E8" w:rsidP="00087C24">
            <w:pPr>
              <w:pStyle w:val="Tabletext"/>
              <w:keepNext/>
              <w:keepLines/>
              <w:rPr>
                <w:iCs/>
              </w:rPr>
            </w:pPr>
            <w:r w:rsidRPr="00935CE1">
              <w:rPr>
                <w:iCs/>
              </w:rPr>
              <w:t>1.438</w:t>
            </w:r>
          </w:p>
        </w:tc>
        <w:tc>
          <w:tcPr>
            <w:tcW w:w="733" w:type="pct"/>
            <w:tcBorders>
              <w:top w:val="single" w:sz="4" w:space="0" w:color="auto"/>
              <w:bottom w:val="single" w:sz="4" w:space="0" w:color="auto"/>
            </w:tcBorders>
          </w:tcPr>
          <w:p w14:paraId="52386D41" w14:textId="77777777" w:rsidR="00FE25E8" w:rsidRPr="00935CE1" w:rsidRDefault="00FE25E8" w:rsidP="00087C24">
            <w:pPr>
              <w:pStyle w:val="Tabletext"/>
              <w:keepNext/>
              <w:keepLines/>
              <w:rPr>
                <w:iCs/>
              </w:rPr>
            </w:pPr>
            <w:r w:rsidRPr="00935CE1">
              <w:rPr>
                <w:iCs/>
              </w:rPr>
              <w:t>1.567</w:t>
            </w:r>
          </w:p>
        </w:tc>
      </w:tr>
      <w:tr w:rsidR="00FE25E8" w:rsidRPr="00935CE1" w14:paraId="7FDABA66" w14:textId="77777777" w:rsidTr="00977721">
        <w:trPr>
          <w:cantSplit/>
        </w:trPr>
        <w:tc>
          <w:tcPr>
            <w:tcW w:w="4267" w:type="pct"/>
            <w:gridSpan w:val="3"/>
            <w:tcBorders>
              <w:top w:val="single" w:sz="4" w:space="0" w:color="auto"/>
              <w:bottom w:val="single" w:sz="4" w:space="0" w:color="auto"/>
            </w:tcBorders>
            <w:tcMar>
              <w:left w:w="57" w:type="dxa"/>
              <w:right w:w="57" w:type="dxa"/>
            </w:tcMar>
          </w:tcPr>
          <w:p w14:paraId="556FB03A" w14:textId="77777777" w:rsidR="00FE25E8" w:rsidRPr="00935CE1" w:rsidRDefault="00FE25E8" w:rsidP="00087C24">
            <w:pPr>
              <w:pStyle w:val="Tabletext"/>
              <w:keepNext/>
              <w:keepLines/>
              <w:rPr>
                <w:iCs/>
              </w:rPr>
            </w:pPr>
            <w:r w:rsidRPr="00935CE1">
              <w:rPr>
                <w:iCs/>
              </w:rPr>
              <w:t>Incremental cost/ QALY</w:t>
            </w:r>
          </w:p>
        </w:tc>
        <w:tc>
          <w:tcPr>
            <w:tcW w:w="733" w:type="pct"/>
            <w:tcBorders>
              <w:top w:val="single" w:sz="4" w:space="0" w:color="auto"/>
              <w:bottom w:val="single" w:sz="4" w:space="0" w:color="auto"/>
            </w:tcBorders>
          </w:tcPr>
          <w:p w14:paraId="38C88673" w14:textId="76BE6A70" w:rsidR="00FE25E8" w:rsidRPr="00935CE1" w:rsidRDefault="00FE25E8" w:rsidP="00087C24">
            <w:pPr>
              <w:pStyle w:val="Tabletext"/>
              <w:keepNext/>
              <w:keepLines/>
              <w:rPr>
                <w:b/>
                <w:bCs/>
                <w:iCs/>
              </w:rPr>
            </w:pPr>
            <w:r w:rsidRPr="00935CE1">
              <w:rPr>
                <w:b/>
                <w:bCs/>
                <w:iCs/>
              </w:rPr>
              <w:t>$</w:t>
            </w:r>
            <w:r w:rsidR="00BD6E95" w:rsidRPr="00BD6E95">
              <w:rPr>
                <w:b/>
                <w:bCs/>
                <w:iCs/>
                <w:color w:val="000000"/>
                <w:spacing w:val="56"/>
                <w:shd w:val="solid" w:color="000000" w:fill="000000"/>
                <w:fitText w:val="354" w:id="-632054009"/>
                <w14:textFill>
                  <w14:solidFill>
                    <w14:srgbClr w14:val="000000">
                      <w14:alpha w14:val="100000"/>
                    </w14:srgbClr>
                  </w14:solidFill>
                </w14:textFill>
              </w:rPr>
              <w:t>|||</w:t>
            </w:r>
            <w:r w:rsidR="00BD6E95" w:rsidRPr="00BD6E95">
              <w:rPr>
                <w:b/>
                <w:bCs/>
                <w:iCs/>
                <w:color w:val="000000"/>
                <w:spacing w:val="3"/>
                <w:shd w:val="solid" w:color="000000" w:fill="000000"/>
                <w:fitText w:val="354" w:id="-632054009"/>
                <w14:textFill>
                  <w14:solidFill>
                    <w14:srgbClr w14:val="000000">
                      <w14:alpha w14:val="100000"/>
                    </w14:srgbClr>
                  </w14:solidFill>
                </w14:textFill>
              </w:rPr>
              <w:t>|</w:t>
            </w:r>
            <w:r w:rsidR="004A0644" w:rsidRPr="004A0644">
              <w:rPr>
                <w:b/>
                <w:bCs/>
                <w:iCs/>
                <w:vertAlign w:val="superscript"/>
              </w:rPr>
              <w:t>4</w:t>
            </w:r>
          </w:p>
        </w:tc>
      </w:tr>
      <w:tr w:rsidR="00FE25E8" w:rsidRPr="00935CE1" w14:paraId="4810E974" w14:textId="77777777" w:rsidTr="00977721">
        <w:trPr>
          <w:cantSplit/>
          <w:trHeight w:val="210"/>
        </w:trPr>
        <w:tc>
          <w:tcPr>
            <w:tcW w:w="5000" w:type="pct"/>
            <w:gridSpan w:val="4"/>
            <w:tcBorders>
              <w:top w:val="single" w:sz="4" w:space="0" w:color="auto"/>
              <w:bottom w:val="single" w:sz="4" w:space="0" w:color="auto"/>
            </w:tcBorders>
            <w:tcMar>
              <w:left w:w="57" w:type="dxa"/>
              <w:right w:w="57" w:type="dxa"/>
            </w:tcMar>
          </w:tcPr>
          <w:p w14:paraId="052DC5FB" w14:textId="77777777" w:rsidR="00FE25E8" w:rsidRPr="00935CE1" w:rsidRDefault="00FE25E8" w:rsidP="00087C24">
            <w:pPr>
              <w:pStyle w:val="Tabletext"/>
              <w:keepNext/>
              <w:keepLines/>
              <w:rPr>
                <w:b/>
                <w:bCs/>
                <w:iCs/>
              </w:rPr>
            </w:pPr>
            <w:r w:rsidRPr="00935CE1">
              <w:rPr>
                <w:b/>
                <w:bCs/>
                <w:iCs/>
              </w:rPr>
              <w:t>Step 8: Inclusion of utilities (pseudo-step already applied in Steps 1-7)</w:t>
            </w:r>
          </w:p>
        </w:tc>
      </w:tr>
      <w:tr w:rsidR="00FE25E8" w:rsidRPr="00935CE1" w14:paraId="2E1E28BC" w14:textId="77777777" w:rsidTr="00977721">
        <w:trPr>
          <w:cantSplit/>
          <w:trHeight w:val="210"/>
        </w:trPr>
        <w:tc>
          <w:tcPr>
            <w:tcW w:w="2206" w:type="pct"/>
            <w:tcBorders>
              <w:top w:val="single" w:sz="4" w:space="0" w:color="auto"/>
              <w:bottom w:val="single" w:sz="4" w:space="0" w:color="auto"/>
            </w:tcBorders>
            <w:tcMar>
              <w:left w:w="57" w:type="dxa"/>
              <w:right w:w="57" w:type="dxa"/>
            </w:tcMar>
          </w:tcPr>
          <w:p w14:paraId="4BD8D49E" w14:textId="77777777" w:rsidR="00FE25E8" w:rsidRPr="00935CE1" w:rsidRDefault="00FE25E8" w:rsidP="00087C24">
            <w:pPr>
              <w:pStyle w:val="Tabletext"/>
              <w:keepNext/>
              <w:keepLines/>
              <w:rPr>
                <w:iCs/>
              </w:rPr>
            </w:pPr>
            <w:r w:rsidRPr="00935CE1">
              <w:rPr>
                <w:iCs/>
              </w:rPr>
              <w:t>Incremental costs</w:t>
            </w:r>
          </w:p>
        </w:tc>
        <w:tc>
          <w:tcPr>
            <w:tcW w:w="957" w:type="pct"/>
            <w:tcBorders>
              <w:top w:val="single" w:sz="4" w:space="0" w:color="auto"/>
              <w:bottom w:val="single" w:sz="4" w:space="0" w:color="auto"/>
            </w:tcBorders>
          </w:tcPr>
          <w:p w14:paraId="58618431" w14:textId="142AAE8F"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08"/>
                <w14:textFill>
                  <w14:solidFill>
                    <w14:srgbClr w14:val="000000">
                      <w14:alpha w14:val="100000"/>
                    </w14:srgbClr>
                  </w14:solidFill>
                </w14:textFill>
              </w:rPr>
              <w:t>|||</w:t>
            </w:r>
            <w:r w:rsidR="00BD6E95" w:rsidRPr="00BD6E95">
              <w:rPr>
                <w:iCs/>
                <w:color w:val="000000"/>
                <w:spacing w:val="1"/>
                <w:shd w:val="solid" w:color="000000" w:fill="000000"/>
                <w:fitText w:val="330" w:id="-632054008"/>
                <w14:textFill>
                  <w14:solidFill>
                    <w14:srgbClr w14:val="000000">
                      <w14:alpha w14:val="100000"/>
                    </w14:srgbClr>
                  </w14:solidFill>
                </w14:textFill>
              </w:rPr>
              <w:t>|</w:t>
            </w:r>
          </w:p>
        </w:tc>
        <w:tc>
          <w:tcPr>
            <w:tcW w:w="1104" w:type="pct"/>
            <w:tcBorders>
              <w:top w:val="single" w:sz="4" w:space="0" w:color="auto"/>
              <w:bottom w:val="single" w:sz="4" w:space="0" w:color="auto"/>
            </w:tcBorders>
          </w:tcPr>
          <w:p w14:paraId="301940FD" w14:textId="15CA6A7B"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07"/>
                <w14:textFill>
                  <w14:solidFill>
                    <w14:srgbClr w14:val="000000">
                      <w14:alpha w14:val="100000"/>
                    </w14:srgbClr>
                  </w14:solidFill>
                </w14:textFill>
              </w:rPr>
              <w:t>|||</w:t>
            </w:r>
            <w:r w:rsidR="00BD6E95" w:rsidRPr="00BD6E95">
              <w:rPr>
                <w:iCs/>
                <w:color w:val="000000"/>
                <w:spacing w:val="1"/>
                <w:shd w:val="solid" w:color="000000" w:fill="000000"/>
                <w:fitText w:val="330" w:id="-632054007"/>
                <w14:textFill>
                  <w14:solidFill>
                    <w14:srgbClr w14:val="000000">
                      <w14:alpha w14:val="100000"/>
                    </w14:srgbClr>
                  </w14:solidFill>
                </w14:textFill>
              </w:rPr>
              <w:t>|</w:t>
            </w:r>
          </w:p>
        </w:tc>
        <w:tc>
          <w:tcPr>
            <w:tcW w:w="733" w:type="pct"/>
            <w:tcBorders>
              <w:top w:val="single" w:sz="4" w:space="0" w:color="auto"/>
              <w:bottom w:val="single" w:sz="4" w:space="0" w:color="auto"/>
            </w:tcBorders>
          </w:tcPr>
          <w:p w14:paraId="53DF070C" w14:textId="08623663" w:rsidR="00FE25E8" w:rsidRPr="00935CE1" w:rsidRDefault="00FE25E8" w:rsidP="00087C24">
            <w:pPr>
              <w:pStyle w:val="Tabletext"/>
              <w:keepNext/>
              <w:keepLines/>
              <w:rPr>
                <w:iCs/>
              </w:rPr>
            </w:pPr>
            <w:r w:rsidRPr="00935CE1">
              <w:rPr>
                <w:iCs/>
              </w:rPr>
              <w:t>$</w:t>
            </w:r>
            <w:r w:rsidR="00BD6E95" w:rsidRPr="00BD6E95">
              <w:rPr>
                <w:iCs/>
                <w:color w:val="000000"/>
                <w:spacing w:val="53"/>
                <w:shd w:val="solid" w:color="000000" w:fill="000000"/>
                <w:fitText w:val="330" w:id="-632054006"/>
                <w14:textFill>
                  <w14:solidFill>
                    <w14:srgbClr w14:val="000000">
                      <w14:alpha w14:val="100000"/>
                    </w14:srgbClr>
                  </w14:solidFill>
                </w14:textFill>
              </w:rPr>
              <w:t>|||</w:t>
            </w:r>
            <w:r w:rsidR="00BD6E95" w:rsidRPr="00BD6E95">
              <w:rPr>
                <w:iCs/>
                <w:color w:val="000000"/>
                <w:spacing w:val="1"/>
                <w:shd w:val="solid" w:color="000000" w:fill="000000"/>
                <w:fitText w:val="330" w:id="-632054006"/>
                <w14:textFill>
                  <w14:solidFill>
                    <w14:srgbClr w14:val="000000">
                      <w14:alpha w14:val="100000"/>
                    </w14:srgbClr>
                  </w14:solidFill>
                </w14:textFill>
              </w:rPr>
              <w:t>|</w:t>
            </w:r>
          </w:p>
        </w:tc>
      </w:tr>
      <w:tr w:rsidR="00FE25E8" w:rsidRPr="00935CE1" w14:paraId="29F76CCB" w14:textId="77777777" w:rsidTr="00977721">
        <w:trPr>
          <w:cantSplit/>
          <w:trHeight w:val="210"/>
        </w:trPr>
        <w:tc>
          <w:tcPr>
            <w:tcW w:w="2206" w:type="pct"/>
            <w:tcBorders>
              <w:top w:val="single" w:sz="4" w:space="0" w:color="auto"/>
              <w:bottom w:val="single" w:sz="4" w:space="0" w:color="auto"/>
            </w:tcBorders>
            <w:tcMar>
              <w:left w:w="57" w:type="dxa"/>
              <w:right w:w="57" w:type="dxa"/>
            </w:tcMar>
          </w:tcPr>
          <w:p w14:paraId="560D71D0" w14:textId="77777777" w:rsidR="00FE25E8" w:rsidRPr="00935CE1" w:rsidRDefault="00FE25E8" w:rsidP="00087C24">
            <w:pPr>
              <w:pStyle w:val="Tabletext"/>
              <w:keepNext/>
              <w:keepLines/>
              <w:rPr>
                <w:iCs/>
              </w:rPr>
            </w:pPr>
            <w:r w:rsidRPr="00935CE1">
              <w:rPr>
                <w:iCs/>
              </w:rPr>
              <w:t>Incremental LYG</w:t>
            </w:r>
          </w:p>
        </w:tc>
        <w:tc>
          <w:tcPr>
            <w:tcW w:w="957" w:type="pct"/>
            <w:tcBorders>
              <w:top w:val="single" w:sz="4" w:space="0" w:color="auto"/>
              <w:bottom w:val="single" w:sz="4" w:space="0" w:color="auto"/>
            </w:tcBorders>
          </w:tcPr>
          <w:p w14:paraId="5CD41745" w14:textId="77777777" w:rsidR="00FE25E8" w:rsidRPr="00935CE1" w:rsidRDefault="00FE25E8" w:rsidP="00087C24">
            <w:pPr>
              <w:pStyle w:val="Tabletext"/>
              <w:keepNext/>
              <w:keepLines/>
              <w:rPr>
                <w:iCs/>
              </w:rPr>
            </w:pPr>
            <w:r w:rsidRPr="00935CE1">
              <w:rPr>
                <w:iCs/>
              </w:rPr>
              <w:t>4.356</w:t>
            </w:r>
          </w:p>
        </w:tc>
        <w:tc>
          <w:tcPr>
            <w:tcW w:w="1104" w:type="pct"/>
            <w:tcBorders>
              <w:top w:val="single" w:sz="4" w:space="0" w:color="auto"/>
              <w:bottom w:val="single" w:sz="4" w:space="0" w:color="auto"/>
            </w:tcBorders>
          </w:tcPr>
          <w:p w14:paraId="4F8DA2AF" w14:textId="77777777" w:rsidR="00FE25E8" w:rsidRPr="00935CE1" w:rsidRDefault="00FE25E8" w:rsidP="00087C24">
            <w:pPr>
              <w:pStyle w:val="Tabletext"/>
              <w:keepNext/>
              <w:keepLines/>
              <w:rPr>
                <w:iCs/>
              </w:rPr>
            </w:pPr>
            <w:r w:rsidRPr="00935CE1">
              <w:rPr>
                <w:iCs/>
              </w:rPr>
              <w:t>2.156</w:t>
            </w:r>
          </w:p>
        </w:tc>
        <w:tc>
          <w:tcPr>
            <w:tcW w:w="733" w:type="pct"/>
            <w:tcBorders>
              <w:top w:val="single" w:sz="4" w:space="0" w:color="auto"/>
              <w:bottom w:val="single" w:sz="4" w:space="0" w:color="auto"/>
            </w:tcBorders>
          </w:tcPr>
          <w:p w14:paraId="07A6EDA4" w14:textId="77777777" w:rsidR="00FE25E8" w:rsidRPr="00935CE1" w:rsidRDefault="00FE25E8" w:rsidP="00087C24">
            <w:pPr>
              <w:pStyle w:val="Tabletext"/>
              <w:keepNext/>
              <w:keepLines/>
              <w:rPr>
                <w:iCs/>
              </w:rPr>
            </w:pPr>
            <w:r w:rsidRPr="00935CE1">
              <w:rPr>
                <w:iCs/>
              </w:rPr>
              <w:t>2.200</w:t>
            </w:r>
          </w:p>
        </w:tc>
      </w:tr>
      <w:tr w:rsidR="00FE25E8" w:rsidRPr="00935CE1" w14:paraId="4D569823" w14:textId="77777777" w:rsidTr="00977721">
        <w:trPr>
          <w:cantSplit/>
          <w:trHeight w:val="210"/>
        </w:trPr>
        <w:tc>
          <w:tcPr>
            <w:tcW w:w="2206" w:type="pct"/>
            <w:tcBorders>
              <w:top w:val="single" w:sz="4" w:space="0" w:color="auto"/>
              <w:bottom w:val="single" w:sz="4" w:space="0" w:color="auto"/>
            </w:tcBorders>
            <w:tcMar>
              <w:left w:w="57" w:type="dxa"/>
              <w:right w:w="57" w:type="dxa"/>
            </w:tcMar>
          </w:tcPr>
          <w:p w14:paraId="141574C6" w14:textId="77777777" w:rsidR="00FE25E8" w:rsidRPr="00935CE1" w:rsidRDefault="00FE25E8" w:rsidP="00087C24">
            <w:pPr>
              <w:pStyle w:val="Tabletext"/>
              <w:keepNext/>
              <w:keepLines/>
              <w:rPr>
                <w:iCs/>
              </w:rPr>
            </w:pPr>
            <w:r w:rsidRPr="00935CE1">
              <w:rPr>
                <w:iCs/>
              </w:rPr>
              <w:t>Incremental QALYs</w:t>
            </w:r>
          </w:p>
        </w:tc>
        <w:tc>
          <w:tcPr>
            <w:tcW w:w="957" w:type="pct"/>
            <w:tcBorders>
              <w:top w:val="single" w:sz="4" w:space="0" w:color="auto"/>
              <w:bottom w:val="single" w:sz="4" w:space="0" w:color="auto"/>
            </w:tcBorders>
          </w:tcPr>
          <w:p w14:paraId="162D9F48" w14:textId="77777777" w:rsidR="00FE25E8" w:rsidRPr="00935CE1" w:rsidRDefault="00FE25E8" w:rsidP="00087C24">
            <w:pPr>
              <w:pStyle w:val="Tabletext"/>
              <w:keepNext/>
              <w:keepLines/>
              <w:rPr>
                <w:iCs/>
              </w:rPr>
            </w:pPr>
            <w:r w:rsidRPr="00935CE1">
              <w:rPr>
                <w:iCs/>
              </w:rPr>
              <w:t>3.005</w:t>
            </w:r>
          </w:p>
        </w:tc>
        <w:tc>
          <w:tcPr>
            <w:tcW w:w="1104" w:type="pct"/>
            <w:tcBorders>
              <w:top w:val="single" w:sz="4" w:space="0" w:color="auto"/>
              <w:bottom w:val="single" w:sz="4" w:space="0" w:color="auto"/>
            </w:tcBorders>
          </w:tcPr>
          <w:p w14:paraId="6F444E57" w14:textId="77777777" w:rsidR="00FE25E8" w:rsidRPr="00935CE1" w:rsidRDefault="00FE25E8" w:rsidP="00087C24">
            <w:pPr>
              <w:pStyle w:val="Tabletext"/>
              <w:keepNext/>
              <w:keepLines/>
              <w:rPr>
                <w:iCs/>
              </w:rPr>
            </w:pPr>
            <w:r w:rsidRPr="00935CE1">
              <w:rPr>
                <w:iCs/>
              </w:rPr>
              <w:t>1.438</w:t>
            </w:r>
          </w:p>
        </w:tc>
        <w:tc>
          <w:tcPr>
            <w:tcW w:w="733" w:type="pct"/>
            <w:tcBorders>
              <w:top w:val="single" w:sz="4" w:space="0" w:color="auto"/>
              <w:bottom w:val="single" w:sz="4" w:space="0" w:color="auto"/>
            </w:tcBorders>
          </w:tcPr>
          <w:p w14:paraId="2A7E60DC" w14:textId="77777777" w:rsidR="00FE25E8" w:rsidRPr="00935CE1" w:rsidRDefault="00FE25E8" w:rsidP="00087C24">
            <w:pPr>
              <w:pStyle w:val="Tabletext"/>
              <w:keepNext/>
              <w:keepLines/>
              <w:rPr>
                <w:iCs/>
              </w:rPr>
            </w:pPr>
            <w:r w:rsidRPr="00935CE1">
              <w:rPr>
                <w:iCs/>
              </w:rPr>
              <w:t>1.567</w:t>
            </w:r>
          </w:p>
        </w:tc>
      </w:tr>
      <w:tr w:rsidR="00FE25E8" w:rsidRPr="00935CE1" w14:paraId="5384E710" w14:textId="77777777" w:rsidTr="00977721">
        <w:trPr>
          <w:cantSplit/>
          <w:trHeight w:val="210"/>
        </w:trPr>
        <w:tc>
          <w:tcPr>
            <w:tcW w:w="4267" w:type="pct"/>
            <w:gridSpan w:val="3"/>
            <w:tcBorders>
              <w:top w:val="single" w:sz="4" w:space="0" w:color="auto"/>
              <w:bottom w:val="single" w:sz="4" w:space="0" w:color="auto"/>
            </w:tcBorders>
            <w:tcMar>
              <w:left w:w="57" w:type="dxa"/>
              <w:right w:w="57" w:type="dxa"/>
            </w:tcMar>
          </w:tcPr>
          <w:p w14:paraId="0E1743BF" w14:textId="77777777" w:rsidR="00FE25E8" w:rsidRPr="00935CE1" w:rsidRDefault="00FE25E8" w:rsidP="00087C24">
            <w:pPr>
              <w:pStyle w:val="Tabletext"/>
              <w:keepNext/>
              <w:keepLines/>
              <w:rPr>
                <w:iCs/>
              </w:rPr>
            </w:pPr>
            <w:r w:rsidRPr="00935CE1">
              <w:rPr>
                <w:iCs/>
              </w:rPr>
              <w:t>Incremental cost/ QALY</w:t>
            </w:r>
          </w:p>
        </w:tc>
        <w:tc>
          <w:tcPr>
            <w:tcW w:w="733" w:type="pct"/>
            <w:tcBorders>
              <w:top w:val="single" w:sz="4" w:space="0" w:color="auto"/>
              <w:bottom w:val="single" w:sz="4" w:space="0" w:color="auto"/>
            </w:tcBorders>
          </w:tcPr>
          <w:p w14:paraId="2D8E9F60" w14:textId="4117AFC6" w:rsidR="00FE25E8" w:rsidRPr="00935CE1" w:rsidRDefault="00FE25E8" w:rsidP="00087C24">
            <w:pPr>
              <w:pStyle w:val="Tabletext"/>
              <w:keepNext/>
              <w:keepLines/>
              <w:rPr>
                <w:b/>
                <w:bCs/>
                <w:iCs/>
              </w:rPr>
            </w:pPr>
            <w:r w:rsidRPr="00935CE1">
              <w:rPr>
                <w:b/>
                <w:bCs/>
                <w:iCs/>
              </w:rPr>
              <w:t>$</w:t>
            </w:r>
            <w:r w:rsidR="00BD6E95">
              <w:rPr>
                <w:b/>
                <w:bCs/>
                <w:iCs/>
                <w:color w:val="000000"/>
                <w:spacing w:val="56"/>
                <w:shd w:val="solid" w:color="000000" w:fill="000000"/>
                <w:fitText w:val="354" w:id="-632054005"/>
                <w14:textFill>
                  <w14:solidFill>
                    <w14:srgbClr w14:val="000000">
                      <w14:alpha w14:val="100000"/>
                    </w14:srgbClr>
                  </w14:solidFill>
                </w14:textFill>
              </w:rPr>
              <w:t>|||</w:t>
            </w:r>
            <w:r w:rsidR="00BD6E95">
              <w:rPr>
                <w:b/>
                <w:bCs/>
                <w:iCs/>
                <w:color w:val="000000"/>
                <w:spacing w:val="2"/>
                <w:shd w:val="solid" w:color="000000" w:fill="000000"/>
                <w:fitText w:val="354" w:id="-632054005"/>
                <w14:textFill>
                  <w14:solidFill>
                    <w14:srgbClr w14:val="000000">
                      <w14:alpha w14:val="100000"/>
                    </w14:srgbClr>
                  </w14:solidFill>
                </w14:textFill>
              </w:rPr>
              <w:t>|</w:t>
            </w:r>
            <w:r w:rsidR="004A0644" w:rsidRPr="004A0644">
              <w:rPr>
                <w:b/>
                <w:bCs/>
                <w:iCs/>
                <w:vertAlign w:val="superscript"/>
              </w:rPr>
              <w:t>4</w:t>
            </w:r>
          </w:p>
        </w:tc>
      </w:tr>
    </w:tbl>
    <w:p w14:paraId="43864A55" w14:textId="77777777" w:rsidR="00FE25E8" w:rsidRPr="00935CE1" w:rsidRDefault="00FE25E8" w:rsidP="00087C24">
      <w:pPr>
        <w:pStyle w:val="TableFigureFooter"/>
        <w:keepNext/>
        <w:keepLines/>
        <w:rPr>
          <w:iCs/>
        </w:rPr>
      </w:pPr>
      <w:r w:rsidRPr="00935CE1">
        <w:rPr>
          <w:iCs/>
        </w:rPr>
        <w:t>Source: Compiled during the evaluation from Table 3.33, p134, Table 3.34, p134, Table 3.35, p136, Table 3.36, p137, Table 3.37, p137, Table 3.38, p137, Table 3.39, p138, Table 3.40, p138, and Table 3.41, p139 of the submission.</w:t>
      </w:r>
    </w:p>
    <w:p w14:paraId="11DE7B58" w14:textId="33E26383" w:rsidR="00FE25E8" w:rsidRDefault="008E1C9F" w:rsidP="00087C24">
      <w:pPr>
        <w:pStyle w:val="TableFigureFooter"/>
        <w:keepNext/>
        <w:keepLines/>
        <w:rPr>
          <w:iCs/>
        </w:rPr>
      </w:pPr>
      <w:r w:rsidRPr="00935CE1">
        <w:rPr>
          <w:iCs/>
        </w:rPr>
        <w:t xml:space="preserve">AE=adverse event; </w:t>
      </w:r>
      <w:proofErr w:type="spellStart"/>
      <w:r w:rsidR="00FE25E8" w:rsidRPr="00935CE1">
        <w:rPr>
          <w:iCs/>
        </w:rPr>
        <w:t>GemOx</w:t>
      </w:r>
      <w:proofErr w:type="spellEnd"/>
      <w:r w:rsidR="00FE25E8" w:rsidRPr="00935CE1">
        <w:rPr>
          <w:iCs/>
        </w:rPr>
        <w:t xml:space="preserve">=gemcitabine + oxaliplatin; </w:t>
      </w:r>
      <w:proofErr w:type="spellStart"/>
      <w:r w:rsidR="00FE25E8" w:rsidRPr="00935CE1">
        <w:rPr>
          <w:iCs/>
        </w:rPr>
        <w:t>Glofit</w:t>
      </w:r>
      <w:proofErr w:type="spellEnd"/>
      <w:r w:rsidR="00FE25E8" w:rsidRPr="00935CE1">
        <w:rPr>
          <w:iCs/>
        </w:rPr>
        <w:t xml:space="preserve">=glofitamab; LYG=life years gained; </w:t>
      </w:r>
      <w:r w:rsidRPr="00935CE1">
        <w:rPr>
          <w:iCs/>
        </w:rPr>
        <w:t xml:space="preserve">MRU=medical resource use; </w:t>
      </w:r>
      <w:r w:rsidR="00FE25E8" w:rsidRPr="00935CE1">
        <w:rPr>
          <w:iCs/>
        </w:rPr>
        <w:t>QALY=quality adjusted life years; R=rituximab</w:t>
      </w:r>
      <w:r w:rsidRPr="00935CE1">
        <w:rPr>
          <w:iCs/>
        </w:rPr>
        <w:t xml:space="preserve">; SPA=special pricing </w:t>
      </w:r>
      <w:r w:rsidR="00EA384C" w:rsidRPr="00935CE1">
        <w:rPr>
          <w:iCs/>
        </w:rPr>
        <w:t>arrangement</w:t>
      </w:r>
      <w:r w:rsidR="00FE25E8" w:rsidRPr="00935CE1">
        <w:rPr>
          <w:iCs/>
        </w:rPr>
        <w:t>.</w:t>
      </w:r>
    </w:p>
    <w:p w14:paraId="587809EF" w14:textId="77777777" w:rsidR="0019626C" w:rsidRPr="00087C24" w:rsidRDefault="0019626C" w:rsidP="00087C24">
      <w:pPr>
        <w:pStyle w:val="TableFigureFooter"/>
        <w:keepNext/>
        <w:keepLines/>
        <w:rPr>
          <w:bCs/>
          <w:i/>
          <w:iCs/>
        </w:rPr>
      </w:pPr>
      <w:r w:rsidRPr="00087C24">
        <w:rPr>
          <w:bCs/>
          <w:i/>
          <w:iCs/>
        </w:rPr>
        <w:t>The redacted values correspond to the following ranges:</w:t>
      </w:r>
    </w:p>
    <w:p w14:paraId="2BB243AD" w14:textId="77777777" w:rsidR="004640A1" w:rsidRPr="00087C24" w:rsidRDefault="0019626C" w:rsidP="00087C24">
      <w:pPr>
        <w:pStyle w:val="TableFigureFooter"/>
        <w:keepNext/>
        <w:keepLines/>
        <w:rPr>
          <w:bCs/>
          <w:i/>
          <w:iCs/>
        </w:rPr>
      </w:pPr>
      <w:r w:rsidRPr="00087C24">
        <w:rPr>
          <w:bCs/>
          <w:i/>
          <w:iCs/>
          <w:vertAlign w:val="superscript"/>
        </w:rPr>
        <w:t>1</w:t>
      </w:r>
      <w:r w:rsidRPr="00087C24">
        <w:rPr>
          <w:bCs/>
          <w:i/>
          <w:iCs/>
        </w:rPr>
        <w:t xml:space="preserve"> </w:t>
      </w:r>
      <w:r w:rsidR="004640A1" w:rsidRPr="00087C24">
        <w:rPr>
          <w:bCs/>
          <w:i/>
          <w:iCs/>
        </w:rPr>
        <w:t>$555,000 to &lt; $655,000</w:t>
      </w:r>
    </w:p>
    <w:p w14:paraId="4AADCC8C" w14:textId="7FBE1471" w:rsidR="002076DF" w:rsidRPr="00087C24" w:rsidRDefault="002076DF" w:rsidP="00087C24">
      <w:pPr>
        <w:pStyle w:val="TableFigureFooter"/>
        <w:keepNext/>
        <w:keepLines/>
        <w:rPr>
          <w:bCs/>
          <w:i/>
          <w:iCs/>
        </w:rPr>
      </w:pPr>
      <w:r w:rsidRPr="00087C24">
        <w:rPr>
          <w:bCs/>
          <w:i/>
          <w:iCs/>
          <w:vertAlign w:val="superscript"/>
        </w:rPr>
        <w:t>2</w:t>
      </w:r>
      <w:r w:rsidRPr="00087C24">
        <w:rPr>
          <w:bCs/>
          <w:i/>
          <w:iCs/>
        </w:rPr>
        <w:t xml:space="preserve"> $75,000 to &lt; $95,000</w:t>
      </w:r>
    </w:p>
    <w:p w14:paraId="051261C6" w14:textId="77777777" w:rsidR="0019626C" w:rsidRPr="00087C24" w:rsidRDefault="0019626C" w:rsidP="00087C24">
      <w:pPr>
        <w:pStyle w:val="TableFigureFooter"/>
        <w:keepNext/>
        <w:keepLines/>
        <w:rPr>
          <w:bCs/>
          <w:i/>
          <w:iCs/>
        </w:rPr>
      </w:pPr>
      <w:r w:rsidRPr="00087C24">
        <w:rPr>
          <w:bCs/>
          <w:i/>
          <w:iCs/>
          <w:vertAlign w:val="superscript"/>
        </w:rPr>
        <w:t xml:space="preserve">3 </w:t>
      </w:r>
      <w:r w:rsidRPr="00087C24">
        <w:rPr>
          <w:bCs/>
          <w:i/>
          <w:iCs/>
        </w:rPr>
        <w:t xml:space="preserve">$55,000 to &lt; $75,000 </w:t>
      </w:r>
    </w:p>
    <w:p w14:paraId="34F7B3CA" w14:textId="382BAB8B" w:rsidR="009664D4" w:rsidRPr="00087C24" w:rsidRDefault="004A0644" w:rsidP="00087C24">
      <w:pPr>
        <w:pStyle w:val="TableFigureFooter"/>
        <w:keepNext/>
        <w:keepLines/>
        <w:rPr>
          <w:bCs/>
          <w:i/>
          <w:iCs/>
        </w:rPr>
      </w:pPr>
      <w:r w:rsidRPr="00087C24">
        <w:rPr>
          <w:bCs/>
          <w:i/>
          <w:iCs/>
          <w:vertAlign w:val="superscript"/>
        </w:rPr>
        <w:t>4</w:t>
      </w:r>
      <w:r w:rsidR="00AF183C" w:rsidRPr="00087C24">
        <w:rPr>
          <w:bCs/>
          <w:i/>
          <w:iCs/>
          <w:vertAlign w:val="superscript"/>
        </w:rPr>
        <w:t xml:space="preserve"> </w:t>
      </w:r>
      <w:r w:rsidR="009664D4" w:rsidRPr="00087C24">
        <w:rPr>
          <w:bCs/>
          <w:i/>
          <w:iCs/>
        </w:rPr>
        <w:t>$35,000 to &lt; $45,000</w:t>
      </w:r>
    </w:p>
    <w:p w14:paraId="5B944842" w14:textId="77777777" w:rsidR="0019626C" w:rsidRPr="001E2BC2" w:rsidRDefault="0019626C" w:rsidP="00E14D47">
      <w:pPr>
        <w:pStyle w:val="TableFigureFooter"/>
      </w:pPr>
    </w:p>
    <w:p w14:paraId="11915BF6" w14:textId="7F3A0684" w:rsidR="00CB3056" w:rsidRPr="00935CE1" w:rsidRDefault="00FE25E8" w:rsidP="00154042">
      <w:pPr>
        <w:numPr>
          <w:ilvl w:val="1"/>
          <w:numId w:val="1"/>
        </w:numPr>
        <w:spacing w:before="60" w:after="60"/>
        <w:rPr>
          <w:rFonts w:asciiTheme="minorHAnsi" w:hAnsiTheme="minorHAnsi"/>
          <w:iCs/>
          <w:snapToGrid w:val="0"/>
        </w:rPr>
      </w:pPr>
      <w:r w:rsidRPr="00935CE1">
        <w:rPr>
          <w:rFonts w:asciiTheme="minorHAnsi" w:hAnsiTheme="minorHAnsi"/>
          <w:iCs/>
          <w:snapToGrid w:val="0"/>
        </w:rPr>
        <w:t xml:space="preserve">The base case ICER was </w:t>
      </w:r>
      <w:r w:rsidR="00B05181" w:rsidRPr="00B05181">
        <w:rPr>
          <w:rFonts w:asciiTheme="minorHAnsi" w:hAnsiTheme="minorHAnsi"/>
          <w:iCs/>
          <w:snapToGrid w:val="0"/>
        </w:rPr>
        <w:t>$35,000 to &lt; $45,000</w:t>
      </w:r>
      <w:r w:rsidRPr="00935CE1">
        <w:rPr>
          <w:rFonts w:asciiTheme="minorHAnsi" w:hAnsiTheme="minorHAnsi"/>
          <w:iCs/>
          <w:snapToGrid w:val="0"/>
        </w:rPr>
        <w:t>per QALY gained</w:t>
      </w:r>
      <w:r w:rsidR="00FB1AA6" w:rsidRPr="00935CE1">
        <w:rPr>
          <w:rFonts w:asciiTheme="minorHAnsi" w:hAnsiTheme="minorHAnsi"/>
          <w:iCs/>
          <w:snapToGrid w:val="0"/>
        </w:rPr>
        <w:t xml:space="preserve"> (refer to the CIC for the ICER based on the effective price of epcoritamab)</w:t>
      </w:r>
      <w:r w:rsidRPr="00935CE1">
        <w:rPr>
          <w:rFonts w:asciiTheme="minorHAnsi" w:hAnsiTheme="minorHAnsi"/>
          <w:iCs/>
          <w:snapToGrid w:val="0"/>
        </w:rPr>
        <w:t xml:space="preserve">. Life-years and QALY gains were largely attributed to prolonging the time patients remained in the PFS health state in the Glofit-GemOx treatment arm. Additionally, the main contributors to incremental costs were drug acquisition and subsequent therapy cost offsets (driven by subsequent </w:t>
      </w:r>
      <w:r w:rsidR="000940C3">
        <w:rPr>
          <w:rFonts w:asciiTheme="minorHAnsi" w:hAnsiTheme="minorHAnsi"/>
          <w:iCs/>
          <w:snapToGrid w:val="0"/>
        </w:rPr>
        <w:t>CAR-T cell therapy</w:t>
      </w:r>
      <w:r w:rsidRPr="00935CE1">
        <w:rPr>
          <w:rFonts w:asciiTheme="minorHAnsi" w:hAnsiTheme="minorHAnsi"/>
          <w:iCs/>
          <w:snapToGrid w:val="0"/>
        </w:rPr>
        <w:t>)</w:t>
      </w:r>
      <w:r w:rsidR="00F05975" w:rsidRPr="00935CE1">
        <w:rPr>
          <w:rFonts w:asciiTheme="minorHAnsi" w:hAnsiTheme="minorHAnsi"/>
          <w:iCs/>
          <w:snapToGrid w:val="0"/>
        </w:rPr>
        <w:t>.</w:t>
      </w:r>
    </w:p>
    <w:p w14:paraId="57B96582" w14:textId="79B8D128" w:rsidR="002A0BBB" w:rsidRPr="00935CE1" w:rsidRDefault="003F2E79" w:rsidP="00154042">
      <w:pPr>
        <w:numPr>
          <w:ilvl w:val="1"/>
          <w:numId w:val="1"/>
        </w:numPr>
        <w:spacing w:before="60" w:after="60"/>
        <w:rPr>
          <w:rFonts w:asciiTheme="minorHAnsi" w:hAnsiTheme="minorHAnsi"/>
          <w:iCs/>
          <w:snapToGrid w:val="0"/>
        </w:rPr>
      </w:pPr>
      <w:r w:rsidRPr="00935CE1">
        <w:rPr>
          <w:rFonts w:asciiTheme="minorHAnsi" w:hAnsiTheme="minorHAnsi"/>
          <w:iCs/>
          <w:snapToGrid w:val="0"/>
        </w:rPr>
        <w:fldChar w:fldCharType="begin" w:fldLock="1"/>
      </w:r>
      <w:r w:rsidRPr="00935CE1">
        <w:rPr>
          <w:rFonts w:asciiTheme="minorHAnsi" w:hAnsiTheme="minorHAnsi"/>
          <w:iCs/>
          <w:snapToGrid w:val="0"/>
        </w:rPr>
        <w:instrText xml:space="preserve"> REF _Ref111485636  \* MERGEFORMAT </w:instrText>
      </w:r>
      <w:r w:rsidRPr="00935CE1">
        <w:rPr>
          <w:rFonts w:asciiTheme="minorHAnsi" w:hAnsiTheme="minorHAnsi"/>
          <w:iCs/>
          <w:snapToGrid w:val="0"/>
        </w:rPr>
        <w:fldChar w:fldCharType="separate"/>
      </w:r>
      <w:r w:rsidR="003C21E7" w:rsidRPr="003C21E7">
        <w:rPr>
          <w:rFonts w:asciiTheme="minorHAnsi" w:hAnsiTheme="minorHAnsi"/>
          <w:iCs/>
          <w:snapToGrid w:val="0"/>
        </w:rPr>
        <w:t>Table 13</w:t>
      </w:r>
      <w:r w:rsidRPr="00935CE1">
        <w:rPr>
          <w:rFonts w:asciiTheme="minorHAnsi" w:hAnsiTheme="minorHAnsi"/>
          <w:iCs/>
          <w:snapToGrid w:val="0"/>
        </w:rPr>
        <w:fldChar w:fldCharType="end"/>
      </w:r>
      <w:r w:rsidR="002A0BBB" w:rsidRPr="00935CE1">
        <w:rPr>
          <w:rFonts w:asciiTheme="minorHAnsi" w:hAnsiTheme="minorHAnsi"/>
          <w:iCs/>
          <w:snapToGrid w:val="0"/>
        </w:rPr>
        <w:t xml:space="preserve"> </w:t>
      </w:r>
      <w:r w:rsidR="00FE25E8" w:rsidRPr="00935CE1">
        <w:rPr>
          <w:rFonts w:asciiTheme="minorHAnsi" w:hAnsiTheme="minorHAnsi"/>
          <w:iCs/>
          <w:snapToGrid w:val="0"/>
        </w:rPr>
        <w:t>presents key sensitivity analyses presented in the submission and additional analyses conducted during the evaluation including multivariate analyses</w:t>
      </w:r>
      <w:r w:rsidR="002A0BBB" w:rsidRPr="00935CE1">
        <w:rPr>
          <w:rFonts w:asciiTheme="minorHAnsi" w:hAnsiTheme="minorHAnsi"/>
          <w:iCs/>
          <w:snapToGrid w:val="0"/>
        </w:rPr>
        <w:t>.</w:t>
      </w:r>
    </w:p>
    <w:p w14:paraId="7E781C3E" w14:textId="4190873A" w:rsidR="002A0BBB" w:rsidRPr="00935CE1" w:rsidRDefault="002A0BBB" w:rsidP="002A0BBB">
      <w:pPr>
        <w:keepNext/>
        <w:rPr>
          <w:rFonts w:ascii="Arial Narrow" w:hAnsi="Arial Narrow"/>
          <w:b/>
          <w:bCs/>
          <w:iCs/>
          <w:sz w:val="20"/>
          <w:szCs w:val="20"/>
        </w:rPr>
      </w:pPr>
      <w:bookmarkStart w:id="83" w:name="_Ref111485636"/>
      <w:bookmarkStart w:id="84" w:name="_Hlk99297030"/>
      <w:r w:rsidRPr="00935CE1">
        <w:rPr>
          <w:rFonts w:ascii="Arial Narrow" w:hAnsi="Arial Narrow"/>
          <w:b/>
          <w:bCs/>
          <w:iCs/>
          <w:sz w:val="20"/>
          <w:szCs w:val="20"/>
        </w:rPr>
        <w:t xml:space="preserve">Table </w:t>
      </w:r>
      <w:r w:rsidRPr="00935CE1">
        <w:rPr>
          <w:rFonts w:ascii="Arial Narrow" w:hAnsi="Arial Narrow"/>
          <w:b/>
          <w:bCs/>
          <w:iCs/>
          <w:sz w:val="20"/>
          <w:szCs w:val="20"/>
        </w:rPr>
        <w:fldChar w:fldCharType="begin" w:fldLock="1"/>
      </w:r>
      <w:r w:rsidRPr="00935CE1">
        <w:rPr>
          <w:rFonts w:ascii="Arial Narrow" w:hAnsi="Arial Narrow"/>
          <w:b/>
          <w:bCs/>
          <w:iCs/>
          <w:sz w:val="20"/>
          <w:szCs w:val="20"/>
        </w:rPr>
        <w:instrText xml:space="preserve"> SEQ Table \* ARABIC </w:instrText>
      </w:r>
      <w:r w:rsidRPr="00935CE1">
        <w:rPr>
          <w:rFonts w:ascii="Arial Narrow" w:hAnsi="Arial Narrow"/>
          <w:b/>
          <w:bCs/>
          <w:iCs/>
          <w:sz w:val="20"/>
          <w:szCs w:val="20"/>
        </w:rPr>
        <w:fldChar w:fldCharType="separate"/>
      </w:r>
      <w:r w:rsidR="003C21E7">
        <w:rPr>
          <w:rFonts w:ascii="Arial Narrow" w:hAnsi="Arial Narrow"/>
          <w:b/>
          <w:bCs/>
          <w:iCs/>
          <w:noProof/>
          <w:sz w:val="20"/>
          <w:szCs w:val="20"/>
        </w:rPr>
        <w:t>13</w:t>
      </w:r>
      <w:r w:rsidRPr="00935CE1">
        <w:rPr>
          <w:rFonts w:ascii="Arial Narrow" w:hAnsi="Arial Narrow"/>
          <w:b/>
          <w:bCs/>
          <w:iCs/>
          <w:sz w:val="20"/>
          <w:szCs w:val="20"/>
        </w:rPr>
        <w:fldChar w:fldCharType="end"/>
      </w:r>
      <w:bookmarkEnd w:id="83"/>
      <w:r w:rsidRPr="00935CE1">
        <w:rPr>
          <w:rFonts w:ascii="Arial Narrow" w:hAnsi="Arial Narrow"/>
          <w:b/>
          <w:bCs/>
          <w:iCs/>
          <w:sz w:val="20"/>
          <w:szCs w:val="20"/>
        </w:rPr>
        <w:t>: Results of model sensitivity analyses</w:t>
      </w:r>
    </w:p>
    <w:tbl>
      <w:tblPr>
        <w:tblStyle w:val="PBAClayout"/>
        <w:tblW w:w="5000" w:type="pct"/>
        <w:tblLook w:val="04A0" w:firstRow="1" w:lastRow="0" w:firstColumn="1" w:lastColumn="0" w:noHBand="0" w:noVBand="1"/>
        <w:tblCaption w:val="Table 13: Results of model sensitivity analyses"/>
      </w:tblPr>
      <w:tblGrid>
        <w:gridCol w:w="4218"/>
        <w:gridCol w:w="1046"/>
        <w:gridCol w:w="1046"/>
        <w:gridCol w:w="1046"/>
        <w:gridCol w:w="1661"/>
      </w:tblGrid>
      <w:tr w:rsidR="00FE25E8" w:rsidRPr="00935CE1" w14:paraId="3C191033" w14:textId="77777777" w:rsidTr="00BD2E60">
        <w:trPr>
          <w:tblHeader/>
        </w:trPr>
        <w:tc>
          <w:tcPr>
            <w:tcW w:w="2339" w:type="pct"/>
            <w:tcBorders>
              <w:right w:val="nil"/>
            </w:tcBorders>
            <w:vAlign w:val="top"/>
          </w:tcPr>
          <w:bookmarkEnd w:id="84"/>
          <w:p w14:paraId="74AD621E" w14:textId="77777777" w:rsidR="00FE25E8" w:rsidRPr="00935CE1" w:rsidRDefault="00FE25E8" w:rsidP="00977721">
            <w:pPr>
              <w:pStyle w:val="In-tableHeading"/>
              <w:keepNext w:val="0"/>
              <w:rPr>
                <w:iCs/>
              </w:rPr>
            </w:pPr>
            <w:r w:rsidRPr="00935CE1">
              <w:rPr>
                <w:iCs/>
              </w:rPr>
              <w:t>Analyses</w:t>
            </w:r>
          </w:p>
        </w:tc>
        <w:tc>
          <w:tcPr>
            <w:tcW w:w="580" w:type="pct"/>
            <w:tcBorders>
              <w:left w:val="nil"/>
              <w:right w:val="nil"/>
            </w:tcBorders>
            <w:vAlign w:val="top"/>
          </w:tcPr>
          <w:p w14:paraId="3A9A1C53" w14:textId="77777777" w:rsidR="00FE25E8" w:rsidRPr="00935CE1" w:rsidRDefault="00FE25E8" w:rsidP="00977721">
            <w:pPr>
              <w:pStyle w:val="In-tableHeading"/>
              <w:keepNext w:val="0"/>
              <w:jc w:val="center"/>
              <w:rPr>
                <w:iCs/>
              </w:rPr>
            </w:pPr>
            <w:r w:rsidRPr="00935CE1">
              <w:rPr>
                <w:iCs/>
              </w:rPr>
              <w:t>Incremental cost</w:t>
            </w:r>
          </w:p>
        </w:tc>
        <w:tc>
          <w:tcPr>
            <w:tcW w:w="580" w:type="pct"/>
            <w:tcBorders>
              <w:left w:val="nil"/>
              <w:right w:val="nil"/>
            </w:tcBorders>
            <w:vAlign w:val="top"/>
          </w:tcPr>
          <w:p w14:paraId="453D66B5" w14:textId="77777777" w:rsidR="00FE25E8" w:rsidRPr="00935CE1" w:rsidRDefault="00FE25E8" w:rsidP="00977721">
            <w:pPr>
              <w:pStyle w:val="In-tableHeading"/>
              <w:keepNext w:val="0"/>
              <w:jc w:val="center"/>
              <w:rPr>
                <w:iCs/>
              </w:rPr>
            </w:pPr>
            <w:r w:rsidRPr="00935CE1">
              <w:rPr>
                <w:iCs/>
              </w:rPr>
              <w:t>Incremental QALY</w:t>
            </w:r>
          </w:p>
        </w:tc>
        <w:tc>
          <w:tcPr>
            <w:tcW w:w="580" w:type="pct"/>
            <w:tcBorders>
              <w:left w:val="nil"/>
              <w:right w:val="nil"/>
            </w:tcBorders>
            <w:vAlign w:val="top"/>
          </w:tcPr>
          <w:p w14:paraId="5F99FD53" w14:textId="77777777" w:rsidR="00FE25E8" w:rsidRPr="00935CE1" w:rsidRDefault="00FE25E8" w:rsidP="00977721">
            <w:pPr>
              <w:pStyle w:val="In-tableHeading"/>
              <w:keepNext w:val="0"/>
              <w:jc w:val="center"/>
              <w:rPr>
                <w:iCs/>
              </w:rPr>
            </w:pPr>
            <w:r w:rsidRPr="00935CE1">
              <w:rPr>
                <w:iCs/>
              </w:rPr>
              <w:t>ICER</w:t>
            </w:r>
          </w:p>
        </w:tc>
        <w:tc>
          <w:tcPr>
            <w:tcW w:w="921" w:type="pct"/>
            <w:tcBorders>
              <w:left w:val="nil"/>
            </w:tcBorders>
            <w:vAlign w:val="top"/>
          </w:tcPr>
          <w:p w14:paraId="3198559C" w14:textId="77777777" w:rsidR="00FE25E8" w:rsidRPr="00935CE1" w:rsidRDefault="00FE25E8" w:rsidP="00977721">
            <w:pPr>
              <w:pStyle w:val="In-tableHeading"/>
              <w:keepNext w:val="0"/>
              <w:jc w:val="center"/>
              <w:rPr>
                <w:iCs/>
              </w:rPr>
            </w:pPr>
            <w:r w:rsidRPr="00935CE1">
              <w:rPr>
                <w:iCs/>
              </w:rPr>
              <w:t>% Change</w:t>
            </w:r>
          </w:p>
        </w:tc>
      </w:tr>
      <w:tr w:rsidR="00FE25E8" w:rsidRPr="00935CE1" w14:paraId="0672D0B8" w14:textId="77777777" w:rsidTr="00BD2E60">
        <w:trPr>
          <w:tblHeader/>
        </w:trPr>
        <w:tc>
          <w:tcPr>
            <w:tcW w:w="2339" w:type="pct"/>
            <w:tcBorders>
              <w:bottom w:val="single" w:sz="4" w:space="0" w:color="auto"/>
              <w:right w:val="nil"/>
            </w:tcBorders>
            <w:vAlign w:val="top"/>
          </w:tcPr>
          <w:p w14:paraId="288F35CB" w14:textId="77777777" w:rsidR="00FE25E8" w:rsidRPr="00935CE1" w:rsidRDefault="00FE25E8" w:rsidP="00977721">
            <w:pPr>
              <w:pStyle w:val="TableText0"/>
              <w:keepNext w:val="0"/>
              <w:rPr>
                <w:b/>
                <w:iCs/>
              </w:rPr>
            </w:pPr>
            <w:r w:rsidRPr="00935CE1">
              <w:rPr>
                <w:b/>
                <w:iCs/>
              </w:rPr>
              <w:t>Base case</w:t>
            </w:r>
          </w:p>
        </w:tc>
        <w:tc>
          <w:tcPr>
            <w:tcW w:w="580" w:type="pct"/>
            <w:tcBorders>
              <w:left w:val="nil"/>
              <w:bottom w:val="single" w:sz="4" w:space="0" w:color="auto"/>
              <w:right w:val="nil"/>
            </w:tcBorders>
            <w:vAlign w:val="top"/>
          </w:tcPr>
          <w:p w14:paraId="190F683E" w14:textId="0FD79E54"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04"/>
                <w14:textFill>
                  <w14:solidFill>
                    <w14:srgbClr w14:val="000000">
                      <w14:alpha w14:val="100000"/>
                    </w14:srgbClr>
                  </w14:solidFill>
                </w14:textFill>
              </w:rPr>
              <w:t>|||</w:t>
            </w:r>
            <w:r w:rsidR="00BD6E95" w:rsidRPr="00BD6E95">
              <w:rPr>
                <w:iCs/>
                <w:color w:val="000000"/>
                <w:spacing w:val="1"/>
                <w:shd w:val="solid" w:color="000000" w:fill="000000"/>
                <w:fitText w:val="330" w:id="-632054004"/>
                <w14:textFill>
                  <w14:solidFill>
                    <w14:srgbClr w14:val="000000">
                      <w14:alpha w14:val="100000"/>
                    </w14:srgbClr>
                  </w14:solidFill>
                </w14:textFill>
              </w:rPr>
              <w:t>|</w:t>
            </w:r>
          </w:p>
        </w:tc>
        <w:tc>
          <w:tcPr>
            <w:tcW w:w="580" w:type="pct"/>
            <w:tcBorders>
              <w:left w:val="nil"/>
              <w:bottom w:val="single" w:sz="4" w:space="0" w:color="auto"/>
              <w:right w:val="nil"/>
            </w:tcBorders>
            <w:vAlign w:val="top"/>
          </w:tcPr>
          <w:p w14:paraId="7F1ECE8A" w14:textId="77777777" w:rsidR="00FE25E8" w:rsidRPr="00935CE1" w:rsidRDefault="00FE25E8" w:rsidP="00977721">
            <w:pPr>
              <w:pStyle w:val="TableText0"/>
              <w:keepNext w:val="0"/>
              <w:jc w:val="center"/>
              <w:rPr>
                <w:iCs/>
              </w:rPr>
            </w:pPr>
            <w:r w:rsidRPr="00935CE1">
              <w:rPr>
                <w:iCs/>
              </w:rPr>
              <w:t>1.567</w:t>
            </w:r>
          </w:p>
        </w:tc>
        <w:tc>
          <w:tcPr>
            <w:tcW w:w="580" w:type="pct"/>
            <w:tcBorders>
              <w:left w:val="nil"/>
              <w:bottom w:val="single" w:sz="4" w:space="0" w:color="auto"/>
              <w:right w:val="nil"/>
            </w:tcBorders>
            <w:vAlign w:val="top"/>
          </w:tcPr>
          <w:p w14:paraId="5BE670ED" w14:textId="5668228D"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03"/>
                <w14:textFill>
                  <w14:solidFill>
                    <w14:srgbClr w14:val="000000">
                      <w14:alpha w14:val="100000"/>
                    </w14:srgbClr>
                  </w14:solidFill>
                </w14:textFill>
              </w:rPr>
              <w:t>|||</w:t>
            </w:r>
            <w:r w:rsidR="00BD6E95" w:rsidRPr="00BD6E95">
              <w:rPr>
                <w:iCs/>
                <w:color w:val="000000"/>
                <w:spacing w:val="1"/>
                <w:shd w:val="solid" w:color="000000" w:fill="000000"/>
                <w:fitText w:val="330" w:id="-632054003"/>
                <w14:textFill>
                  <w14:solidFill>
                    <w14:srgbClr w14:val="000000">
                      <w14:alpha w14:val="100000"/>
                    </w14:srgbClr>
                  </w14:solidFill>
                </w14:textFill>
              </w:rPr>
              <w:t>|</w:t>
            </w:r>
            <w:r w:rsidR="001C24CD" w:rsidRPr="001C24CD">
              <w:rPr>
                <w:iCs/>
                <w:vertAlign w:val="superscript"/>
              </w:rPr>
              <w:t>1</w:t>
            </w:r>
          </w:p>
        </w:tc>
        <w:tc>
          <w:tcPr>
            <w:tcW w:w="921" w:type="pct"/>
            <w:tcBorders>
              <w:left w:val="nil"/>
              <w:bottom w:val="single" w:sz="4" w:space="0" w:color="auto"/>
            </w:tcBorders>
            <w:vAlign w:val="top"/>
          </w:tcPr>
          <w:p w14:paraId="32872A69" w14:textId="77777777" w:rsidR="00FE25E8" w:rsidRPr="00935CE1" w:rsidRDefault="00FE25E8" w:rsidP="00977721">
            <w:pPr>
              <w:pStyle w:val="TableText0"/>
              <w:keepNext w:val="0"/>
              <w:jc w:val="center"/>
              <w:rPr>
                <w:b/>
                <w:bCs w:val="0"/>
                <w:iCs/>
              </w:rPr>
            </w:pPr>
            <w:r w:rsidRPr="00935CE1">
              <w:rPr>
                <w:b/>
                <w:bCs w:val="0"/>
                <w:iCs/>
              </w:rPr>
              <w:t>-</w:t>
            </w:r>
          </w:p>
        </w:tc>
      </w:tr>
      <w:tr w:rsidR="00FE25E8" w:rsidRPr="00935CE1" w14:paraId="6DDC7AC3" w14:textId="77777777" w:rsidTr="00BD2E60">
        <w:tc>
          <w:tcPr>
            <w:tcW w:w="2339" w:type="pct"/>
            <w:tcBorders>
              <w:bottom w:val="nil"/>
              <w:right w:val="nil"/>
            </w:tcBorders>
            <w:vAlign w:val="top"/>
          </w:tcPr>
          <w:p w14:paraId="7DBDDCC3" w14:textId="77777777" w:rsidR="00FE25E8" w:rsidRPr="00935CE1" w:rsidRDefault="00FE25E8" w:rsidP="00977721">
            <w:pPr>
              <w:pStyle w:val="TableText0"/>
              <w:keepNext w:val="0"/>
              <w:rPr>
                <w:b/>
                <w:bCs w:val="0"/>
                <w:iCs/>
              </w:rPr>
            </w:pPr>
            <w:r w:rsidRPr="00935CE1">
              <w:rPr>
                <w:b/>
                <w:bCs w:val="0"/>
                <w:iCs/>
              </w:rPr>
              <w:t>Time horizon (base case 20 years)</w:t>
            </w:r>
          </w:p>
        </w:tc>
        <w:tc>
          <w:tcPr>
            <w:tcW w:w="580" w:type="pct"/>
            <w:tcBorders>
              <w:left w:val="nil"/>
              <w:bottom w:val="nil"/>
              <w:right w:val="nil"/>
            </w:tcBorders>
            <w:vAlign w:val="top"/>
          </w:tcPr>
          <w:p w14:paraId="77CB0E56" w14:textId="77777777" w:rsidR="00FE25E8" w:rsidRPr="00935CE1" w:rsidRDefault="00FE25E8" w:rsidP="00977721">
            <w:pPr>
              <w:pStyle w:val="TableText0"/>
              <w:keepNext w:val="0"/>
              <w:jc w:val="center"/>
              <w:rPr>
                <w:b/>
                <w:bCs w:val="0"/>
                <w:iCs/>
              </w:rPr>
            </w:pPr>
          </w:p>
        </w:tc>
        <w:tc>
          <w:tcPr>
            <w:tcW w:w="580" w:type="pct"/>
            <w:tcBorders>
              <w:left w:val="nil"/>
              <w:bottom w:val="nil"/>
              <w:right w:val="nil"/>
            </w:tcBorders>
            <w:vAlign w:val="top"/>
          </w:tcPr>
          <w:p w14:paraId="43F1EFDB" w14:textId="77777777" w:rsidR="00FE25E8" w:rsidRPr="00935CE1" w:rsidRDefault="00FE25E8" w:rsidP="00977721">
            <w:pPr>
              <w:pStyle w:val="TableText0"/>
              <w:keepNext w:val="0"/>
              <w:jc w:val="center"/>
              <w:rPr>
                <w:b/>
                <w:bCs w:val="0"/>
                <w:iCs/>
              </w:rPr>
            </w:pPr>
          </w:p>
        </w:tc>
        <w:tc>
          <w:tcPr>
            <w:tcW w:w="580" w:type="pct"/>
            <w:tcBorders>
              <w:left w:val="nil"/>
              <w:bottom w:val="nil"/>
              <w:right w:val="nil"/>
            </w:tcBorders>
            <w:vAlign w:val="top"/>
          </w:tcPr>
          <w:p w14:paraId="338B6CB7" w14:textId="77777777" w:rsidR="00FE25E8" w:rsidRPr="00935CE1" w:rsidRDefault="00FE25E8" w:rsidP="00977721">
            <w:pPr>
              <w:pStyle w:val="TableText0"/>
              <w:keepNext w:val="0"/>
              <w:jc w:val="center"/>
              <w:rPr>
                <w:b/>
                <w:bCs w:val="0"/>
                <w:iCs/>
              </w:rPr>
            </w:pPr>
          </w:p>
        </w:tc>
        <w:tc>
          <w:tcPr>
            <w:tcW w:w="921" w:type="pct"/>
            <w:tcBorders>
              <w:left w:val="nil"/>
              <w:bottom w:val="nil"/>
            </w:tcBorders>
            <w:vAlign w:val="top"/>
          </w:tcPr>
          <w:p w14:paraId="06D67F40" w14:textId="77777777" w:rsidR="00FE25E8" w:rsidRPr="00935CE1" w:rsidRDefault="00FE25E8" w:rsidP="00977721">
            <w:pPr>
              <w:pStyle w:val="TableText0"/>
              <w:keepNext w:val="0"/>
              <w:jc w:val="center"/>
              <w:rPr>
                <w:b/>
                <w:bCs w:val="0"/>
                <w:iCs/>
              </w:rPr>
            </w:pPr>
          </w:p>
        </w:tc>
      </w:tr>
      <w:tr w:rsidR="00FE25E8" w:rsidRPr="00935CE1" w14:paraId="613D7A49" w14:textId="77777777" w:rsidTr="00BD2E60">
        <w:tc>
          <w:tcPr>
            <w:tcW w:w="2339" w:type="pct"/>
            <w:tcBorders>
              <w:top w:val="nil"/>
              <w:left w:val="single" w:sz="4" w:space="0" w:color="auto"/>
              <w:bottom w:val="single" w:sz="4" w:space="0" w:color="auto"/>
              <w:right w:val="nil"/>
            </w:tcBorders>
            <w:vAlign w:val="top"/>
          </w:tcPr>
          <w:p w14:paraId="3E5E73BD" w14:textId="77777777" w:rsidR="00FE25E8" w:rsidRPr="00935CE1" w:rsidRDefault="00FE25E8" w:rsidP="007368C9">
            <w:pPr>
              <w:pStyle w:val="TableText0"/>
              <w:keepNext w:val="0"/>
              <w:numPr>
                <w:ilvl w:val="0"/>
                <w:numId w:val="12"/>
              </w:numPr>
              <w:ind w:left="257" w:hanging="257"/>
              <w:rPr>
                <w:iCs/>
              </w:rPr>
            </w:pPr>
            <w:r w:rsidRPr="00935CE1">
              <w:rPr>
                <w:iCs/>
              </w:rPr>
              <w:t>15 years</w:t>
            </w:r>
          </w:p>
        </w:tc>
        <w:tc>
          <w:tcPr>
            <w:tcW w:w="580" w:type="pct"/>
            <w:tcBorders>
              <w:top w:val="nil"/>
              <w:left w:val="nil"/>
              <w:bottom w:val="single" w:sz="4" w:space="0" w:color="auto"/>
              <w:right w:val="nil"/>
            </w:tcBorders>
            <w:vAlign w:val="top"/>
          </w:tcPr>
          <w:p w14:paraId="488AFEE3" w14:textId="3F63DF5A"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02"/>
                <w14:textFill>
                  <w14:solidFill>
                    <w14:srgbClr w14:val="000000">
                      <w14:alpha w14:val="100000"/>
                    </w14:srgbClr>
                  </w14:solidFill>
                </w14:textFill>
              </w:rPr>
              <w:t>|||</w:t>
            </w:r>
            <w:r w:rsidR="00BD6E95" w:rsidRPr="00BD6E95">
              <w:rPr>
                <w:iCs/>
                <w:color w:val="000000"/>
                <w:spacing w:val="1"/>
                <w:shd w:val="solid" w:color="000000" w:fill="000000"/>
                <w:fitText w:val="330" w:id="-632054002"/>
                <w14:textFill>
                  <w14:solidFill>
                    <w14:srgbClr w14:val="000000">
                      <w14:alpha w14:val="100000"/>
                    </w14:srgbClr>
                  </w14:solidFill>
                </w14:textFill>
              </w:rPr>
              <w:t>|</w:t>
            </w:r>
          </w:p>
        </w:tc>
        <w:tc>
          <w:tcPr>
            <w:tcW w:w="580" w:type="pct"/>
            <w:tcBorders>
              <w:top w:val="nil"/>
              <w:left w:val="nil"/>
              <w:bottom w:val="single" w:sz="4" w:space="0" w:color="auto"/>
              <w:right w:val="nil"/>
            </w:tcBorders>
            <w:vAlign w:val="top"/>
          </w:tcPr>
          <w:p w14:paraId="17613384" w14:textId="77777777" w:rsidR="00FE25E8" w:rsidRPr="00935CE1" w:rsidRDefault="00FE25E8" w:rsidP="00977721">
            <w:pPr>
              <w:pStyle w:val="TableText0"/>
              <w:keepNext w:val="0"/>
              <w:jc w:val="center"/>
              <w:rPr>
                <w:iCs/>
              </w:rPr>
            </w:pPr>
            <w:r w:rsidRPr="00935CE1">
              <w:rPr>
                <w:iCs/>
              </w:rPr>
              <w:t>1.389</w:t>
            </w:r>
          </w:p>
        </w:tc>
        <w:tc>
          <w:tcPr>
            <w:tcW w:w="580" w:type="pct"/>
            <w:tcBorders>
              <w:top w:val="nil"/>
              <w:left w:val="nil"/>
              <w:bottom w:val="single" w:sz="4" w:space="0" w:color="auto"/>
              <w:right w:val="nil"/>
            </w:tcBorders>
            <w:vAlign w:val="top"/>
          </w:tcPr>
          <w:p w14:paraId="07021BC2" w14:textId="467C7FCC"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01"/>
                <w14:textFill>
                  <w14:solidFill>
                    <w14:srgbClr w14:val="000000">
                      <w14:alpha w14:val="100000"/>
                    </w14:srgbClr>
                  </w14:solidFill>
                </w14:textFill>
              </w:rPr>
              <w:t>|||</w:t>
            </w:r>
            <w:r w:rsidR="00BD6E95" w:rsidRPr="00BD6E95">
              <w:rPr>
                <w:iCs/>
                <w:color w:val="000000"/>
                <w:spacing w:val="1"/>
                <w:shd w:val="solid" w:color="000000" w:fill="000000"/>
                <w:fitText w:val="330" w:id="-632054001"/>
                <w14:textFill>
                  <w14:solidFill>
                    <w14:srgbClr w14:val="000000">
                      <w14:alpha w14:val="100000"/>
                    </w14:srgbClr>
                  </w14:solidFill>
                </w14:textFill>
              </w:rPr>
              <w:t>|</w:t>
            </w:r>
            <w:r w:rsidR="00B1126B" w:rsidRPr="00B1126B">
              <w:rPr>
                <w:iCs/>
                <w:vertAlign w:val="superscript"/>
              </w:rPr>
              <w:t>2</w:t>
            </w:r>
          </w:p>
        </w:tc>
        <w:tc>
          <w:tcPr>
            <w:tcW w:w="921" w:type="pct"/>
            <w:tcBorders>
              <w:top w:val="nil"/>
              <w:left w:val="nil"/>
              <w:bottom w:val="single" w:sz="4" w:space="0" w:color="auto"/>
              <w:right w:val="single" w:sz="4" w:space="0" w:color="auto"/>
            </w:tcBorders>
            <w:vAlign w:val="top"/>
          </w:tcPr>
          <w:p w14:paraId="76EF9BEB" w14:textId="2CB458D5" w:rsidR="00FE25E8" w:rsidRPr="00935CE1" w:rsidRDefault="00BD6E95" w:rsidP="00977721">
            <w:pPr>
              <w:pStyle w:val="TableText0"/>
              <w:keepNext w:val="0"/>
              <w:jc w:val="center"/>
              <w:rPr>
                <w:iCs/>
              </w:rPr>
            </w:pPr>
            <w:r w:rsidRPr="00BD6E95">
              <w:rPr>
                <w:iCs/>
                <w:color w:val="000000"/>
                <w:spacing w:val="53"/>
                <w:shd w:val="solid" w:color="000000" w:fill="000000"/>
                <w:fitText w:val="330" w:id="-632054000"/>
                <w14:textFill>
                  <w14:solidFill>
                    <w14:srgbClr w14:val="000000">
                      <w14:alpha w14:val="100000"/>
                    </w14:srgbClr>
                  </w14:solidFill>
                </w14:textFill>
              </w:rPr>
              <w:t>|||</w:t>
            </w:r>
            <w:r w:rsidRPr="00BD6E95">
              <w:rPr>
                <w:iCs/>
                <w:color w:val="000000"/>
                <w:spacing w:val="1"/>
                <w:shd w:val="solid" w:color="000000" w:fill="000000"/>
                <w:fitText w:val="330" w:id="-632054000"/>
                <w14:textFill>
                  <w14:solidFill>
                    <w14:srgbClr w14:val="000000">
                      <w14:alpha w14:val="100000"/>
                    </w14:srgbClr>
                  </w14:solidFill>
                </w14:textFill>
              </w:rPr>
              <w:t>|</w:t>
            </w:r>
            <w:r w:rsidR="00FE25E8" w:rsidRPr="00935CE1">
              <w:rPr>
                <w:iCs/>
              </w:rPr>
              <w:t>%</w:t>
            </w:r>
          </w:p>
        </w:tc>
      </w:tr>
      <w:tr w:rsidR="00FE25E8" w:rsidRPr="00935CE1" w14:paraId="0290072A" w14:textId="77777777" w:rsidTr="00BD2E60">
        <w:tc>
          <w:tcPr>
            <w:tcW w:w="2339" w:type="pct"/>
            <w:tcBorders>
              <w:top w:val="single" w:sz="4" w:space="0" w:color="auto"/>
              <w:bottom w:val="nil"/>
              <w:right w:val="nil"/>
            </w:tcBorders>
            <w:vAlign w:val="top"/>
          </w:tcPr>
          <w:p w14:paraId="0A106D1B" w14:textId="77777777" w:rsidR="00FE25E8" w:rsidRPr="00935CE1" w:rsidRDefault="00FE25E8" w:rsidP="00977721">
            <w:pPr>
              <w:pStyle w:val="TableText0"/>
              <w:keepNext w:val="0"/>
              <w:rPr>
                <w:b/>
                <w:bCs w:val="0"/>
                <w:iCs/>
              </w:rPr>
            </w:pPr>
            <w:r w:rsidRPr="00935CE1">
              <w:rPr>
                <w:b/>
                <w:bCs w:val="0"/>
                <w:iCs/>
              </w:rPr>
              <w:t>Discount rates (base case 5%)</w:t>
            </w:r>
          </w:p>
        </w:tc>
        <w:tc>
          <w:tcPr>
            <w:tcW w:w="580" w:type="pct"/>
            <w:tcBorders>
              <w:top w:val="single" w:sz="4" w:space="0" w:color="auto"/>
              <w:left w:val="nil"/>
              <w:bottom w:val="nil"/>
              <w:right w:val="nil"/>
            </w:tcBorders>
            <w:vAlign w:val="top"/>
          </w:tcPr>
          <w:p w14:paraId="333665D9" w14:textId="77777777" w:rsidR="00FE25E8" w:rsidRPr="00935CE1" w:rsidRDefault="00FE25E8" w:rsidP="00977721">
            <w:pPr>
              <w:pStyle w:val="TableText0"/>
              <w:keepNext w:val="0"/>
              <w:jc w:val="center"/>
              <w:rPr>
                <w:b/>
                <w:bCs w:val="0"/>
                <w:iCs/>
              </w:rPr>
            </w:pPr>
          </w:p>
        </w:tc>
        <w:tc>
          <w:tcPr>
            <w:tcW w:w="580" w:type="pct"/>
            <w:tcBorders>
              <w:top w:val="single" w:sz="4" w:space="0" w:color="auto"/>
              <w:left w:val="nil"/>
              <w:bottom w:val="nil"/>
              <w:right w:val="nil"/>
            </w:tcBorders>
            <w:vAlign w:val="top"/>
          </w:tcPr>
          <w:p w14:paraId="48EE02C8" w14:textId="77777777" w:rsidR="00FE25E8" w:rsidRPr="00935CE1" w:rsidRDefault="00FE25E8" w:rsidP="00977721">
            <w:pPr>
              <w:pStyle w:val="TableText0"/>
              <w:keepNext w:val="0"/>
              <w:jc w:val="center"/>
              <w:rPr>
                <w:b/>
                <w:bCs w:val="0"/>
                <w:iCs/>
              </w:rPr>
            </w:pPr>
          </w:p>
        </w:tc>
        <w:tc>
          <w:tcPr>
            <w:tcW w:w="580" w:type="pct"/>
            <w:tcBorders>
              <w:top w:val="single" w:sz="4" w:space="0" w:color="auto"/>
              <w:left w:val="nil"/>
              <w:bottom w:val="nil"/>
              <w:right w:val="nil"/>
            </w:tcBorders>
            <w:vAlign w:val="top"/>
          </w:tcPr>
          <w:p w14:paraId="6DEDA166" w14:textId="77777777" w:rsidR="00FE25E8" w:rsidRPr="00935CE1" w:rsidRDefault="00FE25E8" w:rsidP="00977721">
            <w:pPr>
              <w:pStyle w:val="TableText0"/>
              <w:keepNext w:val="0"/>
              <w:jc w:val="center"/>
              <w:rPr>
                <w:b/>
                <w:bCs w:val="0"/>
                <w:iCs/>
              </w:rPr>
            </w:pPr>
          </w:p>
        </w:tc>
        <w:tc>
          <w:tcPr>
            <w:tcW w:w="921" w:type="pct"/>
            <w:tcBorders>
              <w:top w:val="single" w:sz="4" w:space="0" w:color="auto"/>
              <w:left w:val="nil"/>
              <w:bottom w:val="nil"/>
            </w:tcBorders>
            <w:vAlign w:val="top"/>
          </w:tcPr>
          <w:p w14:paraId="5055B1BA" w14:textId="77777777" w:rsidR="00FE25E8" w:rsidRPr="00935CE1" w:rsidRDefault="00FE25E8" w:rsidP="00977721">
            <w:pPr>
              <w:pStyle w:val="TableText0"/>
              <w:keepNext w:val="0"/>
              <w:jc w:val="center"/>
              <w:rPr>
                <w:b/>
                <w:bCs w:val="0"/>
                <w:iCs/>
              </w:rPr>
            </w:pPr>
          </w:p>
        </w:tc>
      </w:tr>
      <w:tr w:rsidR="00FB1AA6" w:rsidRPr="00935CE1" w14:paraId="40563C6C" w14:textId="77777777" w:rsidTr="00BD2E60">
        <w:tc>
          <w:tcPr>
            <w:tcW w:w="2339" w:type="pct"/>
            <w:tcBorders>
              <w:top w:val="nil"/>
              <w:left w:val="single" w:sz="4" w:space="0" w:color="auto"/>
              <w:bottom w:val="nil"/>
              <w:right w:val="nil"/>
            </w:tcBorders>
            <w:vAlign w:val="top"/>
          </w:tcPr>
          <w:p w14:paraId="0C81603E" w14:textId="45B02E0B" w:rsidR="00FB1AA6" w:rsidRPr="00935CE1" w:rsidRDefault="00FB1AA6" w:rsidP="007368C9">
            <w:pPr>
              <w:pStyle w:val="TableText0"/>
              <w:keepNext w:val="0"/>
              <w:numPr>
                <w:ilvl w:val="0"/>
                <w:numId w:val="12"/>
              </w:numPr>
              <w:ind w:left="257" w:hanging="257"/>
              <w:rPr>
                <w:iCs/>
              </w:rPr>
            </w:pPr>
            <w:r w:rsidRPr="00935CE1">
              <w:rPr>
                <w:iCs/>
              </w:rPr>
              <w:t>0%</w:t>
            </w:r>
          </w:p>
        </w:tc>
        <w:tc>
          <w:tcPr>
            <w:tcW w:w="580" w:type="pct"/>
            <w:tcBorders>
              <w:top w:val="nil"/>
              <w:left w:val="nil"/>
              <w:bottom w:val="nil"/>
              <w:right w:val="nil"/>
            </w:tcBorders>
            <w:vAlign w:val="top"/>
          </w:tcPr>
          <w:p w14:paraId="5A55F108" w14:textId="24A1E0E1" w:rsidR="00FB1AA6" w:rsidRPr="00935CE1" w:rsidRDefault="00FB1AA6" w:rsidP="00FB1AA6">
            <w:pPr>
              <w:pStyle w:val="TableText0"/>
              <w:keepNext w:val="0"/>
              <w:jc w:val="center"/>
              <w:rPr>
                <w:iCs/>
              </w:rPr>
            </w:pPr>
            <w:r w:rsidRPr="00935CE1">
              <w:rPr>
                <w:iCs/>
              </w:rPr>
              <w:t>$</w:t>
            </w:r>
            <w:r w:rsidR="00BD6E95" w:rsidRPr="00BD6E95">
              <w:rPr>
                <w:iCs/>
                <w:color w:val="000000"/>
                <w:spacing w:val="53"/>
                <w:shd w:val="solid" w:color="000000" w:fill="000000"/>
                <w:fitText w:val="330" w:id="-632054016"/>
                <w14:textFill>
                  <w14:solidFill>
                    <w14:srgbClr w14:val="000000">
                      <w14:alpha w14:val="100000"/>
                    </w14:srgbClr>
                  </w14:solidFill>
                </w14:textFill>
              </w:rPr>
              <w:t>|||</w:t>
            </w:r>
            <w:r w:rsidR="00BD6E95" w:rsidRPr="00BD6E95">
              <w:rPr>
                <w:iCs/>
                <w:color w:val="000000"/>
                <w:spacing w:val="1"/>
                <w:shd w:val="solid" w:color="000000" w:fill="000000"/>
                <w:fitText w:val="330" w:id="-632054016"/>
                <w14:textFill>
                  <w14:solidFill>
                    <w14:srgbClr w14:val="000000">
                      <w14:alpha w14:val="100000"/>
                    </w14:srgbClr>
                  </w14:solidFill>
                </w14:textFill>
              </w:rPr>
              <w:t>|</w:t>
            </w:r>
          </w:p>
        </w:tc>
        <w:tc>
          <w:tcPr>
            <w:tcW w:w="580" w:type="pct"/>
            <w:tcBorders>
              <w:top w:val="nil"/>
              <w:left w:val="nil"/>
              <w:bottom w:val="nil"/>
              <w:right w:val="nil"/>
            </w:tcBorders>
            <w:vAlign w:val="top"/>
          </w:tcPr>
          <w:p w14:paraId="2E0C96D3" w14:textId="167F4373" w:rsidR="00FB1AA6" w:rsidRPr="00935CE1" w:rsidRDefault="00FB1AA6" w:rsidP="00FB1AA6">
            <w:pPr>
              <w:pStyle w:val="TableText0"/>
              <w:keepNext w:val="0"/>
              <w:jc w:val="center"/>
              <w:rPr>
                <w:iCs/>
              </w:rPr>
            </w:pPr>
            <w:r w:rsidRPr="00935CE1">
              <w:rPr>
                <w:iCs/>
              </w:rPr>
              <w:t>2.282</w:t>
            </w:r>
          </w:p>
        </w:tc>
        <w:tc>
          <w:tcPr>
            <w:tcW w:w="580" w:type="pct"/>
            <w:tcBorders>
              <w:top w:val="nil"/>
              <w:left w:val="nil"/>
              <w:bottom w:val="nil"/>
              <w:right w:val="nil"/>
            </w:tcBorders>
            <w:vAlign w:val="top"/>
          </w:tcPr>
          <w:p w14:paraId="3402EB1A" w14:textId="734E529E" w:rsidR="00FB1AA6" w:rsidRPr="00935CE1" w:rsidRDefault="00FB1AA6" w:rsidP="00FB1AA6">
            <w:pPr>
              <w:pStyle w:val="TableText0"/>
              <w:keepNext w:val="0"/>
              <w:jc w:val="center"/>
              <w:rPr>
                <w:iCs/>
              </w:rPr>
            </w:pPr>
            <w:r w:rsidRPr="00935CE1">
              <w:rPr>
                <w:iCs/>
              </w:rPr>
              <w:t>$</w:t>
            </w:r>
            <w:r w:rsidR="00BD6E95" w:rsidRPr="00BD6E95">
              <w:rPr>
                <w:iCs/>
                <w:color w:val="000000"/>
                <w:spacing w:val="53"/>
                <w:shd w:val="solid" w:color="000000" w:fill="000000"/>
                <w:fitText w:val="330" w:id="-632054015"/>
                <w14:textFill>
                  <w14:solidFill>
                    <w14:srgbClr w14:val="000000">
                      <w14:alpha w14:val="100000"/>
                    </w14:srgbClr>
                  </w14:solidFill>
                </w14:textFill>
              </w:rPr>
              <w:t>|||</w:t>
            </w:r>
            <w:r w:rsidR="00BD6E95" w:rsidRPr="00BD6E95">
              <w:rPr>
                <w:iCs/>
                <w:color w:val="000000"/>
                <w:spacing w:val="1"/>
                <w:shd w:val="solid" w:color="000000" w:fill="000000"/>
                <w:fitText w:val="330" w:id="-632054015"/>
                <w14:textFill>
                  <w14:solidFill>
                    <w14:srgbClr w14:val="000000">
                      <w14:alpha w14:val="100000"/>
                    </w14:srgbClr>
                  </w14:solidFill>
                </w14:textFill>
              </w:rPr>
              <w:t>|</w:t>
            </w:r>
            <w:r w:rsidR="003071EE" w:rsidRPr="003071EE">
              <w:rPr>
                <w:iCs/>
                <w:vertAlign w:val="superscript"/>
              </w:rPr>
              <w:t>3</w:t>
            </w:r>
          </w:p>
        </w:tc>
        <w:tc>
          <w:tcPr>
            <w:tcW w:w="921" w:type="pct"/>
            <w:tcBorders>
              <w:top w:val="nil"/>
              <w:left w:val="nil"/>
              <w:bottom w:val="nil"/>
              <w:right w:val="single" w:sz="4" w:space="0" w:color="auto"/>
            </w:tcBorders>
            <w:vAlign w:val="top"/>
          </w:tcPr>
          <w:p w14:paraId="6F02251A" w14:textId="7F652353" w:rsidR="00FB1AA6" w:rsidRPr="00935CE1" w:rsidRDefault="00FB1AA6" w:rsidP="00FB1AA6">
            <w:pPr>
              <w:pStyle w:val="TableText0"/>
              <w:keepNext w:val="0"/>
              <w:jc w:val="center"/>
              <w:rPr>
                <w:b/>
                <w:bCs w:val="0"/>
                <w:iCs/>
              </w:rPr>
            </w:pPr>
            <w:r w:rsidRPr="00935CE1">
              <w:rPr>
                <w:iCs/>
              </w:rPr>
              <w:t>-</w:t>
            </w:r>
            <w:r w:rsidR="00BD6E95" w:rsidRPr="00BD6E95">
              <w:rPr>
                <w:iCs/>
                <w:color w:val="000000"/>
                <w:spacing w:val="53"/>
                <w:shd w:val="solid" w:color="000000" w:fill="000000"/>
                <w:fitText w:val="330" w:id="-632054014"/>
                <w14:textFill>
                  <w14:solidFill>
                    <w14:srgbClr w14:val="000000">
                      <w14:alpha w14:val="100000"/>
                    </w14:srgbClr>
                  </w14:solidFill>
                </w14:textFill>
              </w:rPr>
              <w:t>|||</w:t>
            </w:r>
            <w:r w:rsidR="00BD6E95" w:rsidRPr="00BD6E95">
              <w:rPr>
                <w:iCs/>
                <w:color w:val="000000"/>
                <w:spacing w:val="1"/>
                <w:shd w:val="solid" w:color="000000" w:fill="000000"/>
                <w:fitText w:val="330" w:id="-632054014"/>
                <w14:textFill>
                  <w14:solidFill>
                    <w14:srgbClr w14:val="000000">
                      <w14:alpha w14:val="100000"/>
                    </w14:srgbClr>
                  </w14:solidFill>
                </w14:textFill>
              </w:rPr>
              <w:t>|</w:t>
            </w:r>
            <w:r w:rsidRPr="00935CE1">
              <w:rPr>
                <w:iCs/>
              </w:rPr>
              <w:t>%</w:t>
            </w:r>
          </w:p>
        </w:tc>
      </w:tr>
      <w:tr w:rsidR="00FE25E8" w:rsidRPr="00935CE1" w14:paraId="39D2EA12" w14:textId="77777777" w:rsidTr="00BD2E60">
        <w:tc>
          <w:tcPr>
            <w:tcW w:w="2339" w:type="pct"/>
            <w:tcBorders>
              <w:top w:val="nil"/>
              <w:left w:val="single" w:sz="4" w:space="0" w:color="auto"/>
              <w:bottom w:val="single" w:sz="4" w:space="0" w:color="auto"/>
              <w:right w:val="nil"/>
            </w:tcBorders>
            <w:vAlign w:val="top"/>
          </w:tcPr>
          <w:p w14:paraId="68BA2288" w14:textId="77777777" w:rsidR="00FE25E8" w:rsidRPr="00935CE1" w:rsidRDefault="00FE25E8" w:rsidP="007368C9">
            <w:pPr>
              <w:pStyle w:val="TableText0"/>
              <w:keepNext w:val="0"/>
              <w:numPr>
                <w:ilvl w:val="0"/>
                <w:numId w:val="12"/>
              </w:numPr>
              <w:ind w:left="257" w:hanging="257"/>
              <w:rPr>
                <w:iCs/>
              </w:rPr>
            </w:pPr>
            <w:r w:rsidRPr="00935CE1">
              <w:rPr>
                <w:iCs/>
              </w:rPr>
              <w:t>3.5%</w:t>
            </w:r>
          </w:p>
        </w:tc>
        <w:tc>
          <w:tcPr>
            <w:tcW w:w="580" w:type="pct"/>
            <w:tcBorders>
              <w:top w:val="nil"/>
              <w:left w:val="nil"/>
              <w:bottom w:val="single" w:sz="4" w:space="0" w:color="auto"/>
              <w:right w:val="nil"/>
            </w:tcBorders>
            <w:vAlign w:val="top"/>
          </w:tcPr>
          <w:p w14:paraId="47CB9AB7" w14:textId="33F58A82"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13"/>
                <w14:textFill>
                  <w14:solidFill>
                    <w14:srgbClr w14:val="000000">
                      <w14:alpha w14:val="100000"/>
                    </w14:srgbClr>
                  </w14:solidFill>
                </w14:textFill>
              </w:rPr>
              <w:t>|||</w:t>
            </w:r>
            <w:r w:rsidR="00BD6E95" w:rsidRPr="00BD6E95">
              <w:rPr>
                <w:iCs/>
                <w:color w:val="000000"/>
                <w:spacing w:val="1"/>
                <w:shd w:val="solid" w:color="000000" w:fill="000000"/>
                <w:fitText w:val="330" w:id="-632054013"/>
                <w14:textFill>
                  <w14:solidFill>
                    <w14:srgbClr w14:val="000000">
                      <w14:alpha w14:val="100000"/>
                    </w14:srgbClr>
                  </w14:solidFill>
                </w14:textFill>
              </w:rPr>
              <w:t>|</w:t>
            </w:r>
          </w:p>
        </w:tc>
        <w:tc>
          <w:tcPr>
            <w:tcW w:w="580" w:type="pct"/>
            <w:tcBorders>
              <w:top w:val="nil"/>
              <w:left w:val="nil"/>
              <w:bottom w:val="single" w:sz="4" w:space="0" w:color="auto"/>
              <w:right w:val="nil"/>
            </w:tcBorders>
            <w:vAlign w:val="top"/>
          </w:tcPr>
          <w:p w14:paraId="68FB3A1E" w14:textId="77777777" w:rsidR="00FE25E8" w:rsidRPr="00935CE1" w:rsidRDefault="00FE25E8" w:rsidP="00977721">
            <w:pPr>
              <w:pStyle w:val="TableText0"/>
              <w:keepNext w:val="0"/>
              <w:jc w:val="center"/>
              <w:rPr>
                <w:iCs/>
              </w:rPr>
            </w:pPr>
            <w:r w:rsidRPr="00935CE1">
              <w:rPr>
                <w:iCs/>
              </w:rPr>
              <w:t>1.739</w:t>
            </w:r>
          </w:p>
        </w:tc>
        <w:tc>
          <w:tcPr>
            <w:tcW w:w="580" w:type="pct"/>
            <w:tcBorders>
              <w:top w:val="nil"/>
              <w:left w:val="nil"/>
              <w:bottom w:val="single" w:sz="4" w:space="0" w:color="auto"/>
              <w:right w:val="nil"/>
            </w:tcBorders>
            <w:vAlign w:val="top"/>
          </w:tcPr>
          <w:p w14:paraId="08F1705C" w14:textId="25D04AC9"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12"/>
                <w14:textFill>
                  <w14:solidFill>
                    <w14:srgbClr w14:val="000000">
                      <w14:alpha w14:val="100000"/>
                    </w14:srgbClr>
                  </w14:solidFill>
                </w14:textFill>
              </w:rPr>
              <w:t>|||</w:t>
            </w:r>
            <w:r w:rsidR="00BD6E95" w:rsidRPr="00BD6E95">
              <w:rPr>
                <w:iCs/>
                <w:color w:val="000000"/>
                <w:spacing w:val="1"/>
                <w:shd w:val="solid" w:color="000000" w:fill="000000"/>
                <w:fitText w:val="330" w:id="-632054012"/>
                <w14:textFill>
                  <w14:solidFill>
                    <w14:srgbClr w14:val="000000">
                      <w14:alpha w14:val="100000"/>
                    </w14:srgbClr>
                  </w14:solidFill>
                </w14:textFill>
              </w:rPr>
              <w:t>|</w:t>
            </w:r>
            <w:r w:rsidR="001C24CD" w:rsidRPr="001C24CD">
              <w:rPr>
                <w:iCs/>
                <w:vertAlign w:val="superscript"/>
              </w:rPr>
              <w:t>1</w:t>
            </w:r>
          </w:p>
        </w:tc>
        <w:tc>
          <w:tcPr>
            <w:tcW w:w="921" w:type="pct"/>
            <w:tcBorders>
              <w:top w:val="nil"/>
              <w:left w:val="nil"/>
              <w:bottom w:val="single" w:sz="4" w:space="0" w:color="auto"/>
              <w:right w:val="single" w:sz="4" w:space="0" w:color="auto"/>
            </w:tcBorders>
            <w:vAlign w:val="top"/>
          </w:tcPr>
          <w:p w14:paraId="31703CA2" w14:textId="147A8965"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11"/>
                <w14:textFill>
                  <w14:solidFill>
                    <w14:srgbClr w14:val="000000">
                      <w14:alpha w14:val="100000"/>
                    </w14:srgbClr>
                  </w14:solidFill>
                </w14:textFill>
              </w:rPr>
              <w:t>|||</w:t>
            </w:r>
            <w:r w:rsidR="00BD6E95" w:rsidRPr="00BD6E95">
              <w:rPr>
                <w:iCs/>
                <w:color w:val="000000"/>
                <w:spacing w:val="1"/>
                <w:shd w:val="solid" w:color="000000" w:fill="000000"/>
                <w:fitText w:val="330" w:id="-632054011"/>
                <w14:textFill>
                  <w14:solidFill>
                    <w14:srgbClr w14:val="000000">
                      <w14:alpha w14:val="100000"/>
                    </w14:srgbClr>
                  </w14:solidFill>
                </w14:textFill>
              </w:rPr>
              <w:t>|</w:t>
            </w:r>
            <w:r w:rsidRPr="00935CE1">
              <w:rPr>
                <w:iCs/>
              </w:rPr>
              <w:t>%</w:t>
            </w:r>
          </w:p>
        </w:tc>
      </w:tr>
      <w:tr w:rsidR="008E1C9F" w:rsidRPr="00935CE1" w14:paraId="56B9BA6B" w14:textId="77777777" w:rsidTr="008E1C9F">
        <w:tc>
          <w:tcPr>
            <w:tcW w:w="5000" w:type="pct"/>
            <w:gridSpan w:val="5"/>
            <w:tcBorders>
              <w:top w:val="single" w:sz="4" w:space="0" w:color="auto"/>
              <w:left w:val="single" w:sz="4" w:space="0" w:color="auto"/>
              <w:bottom w:val="nil"/>
              <w:right w:val="single" w:sz="4" w:space="0" w:color="auto"/>
            </w:tcBorders>
          </w:tcPr>
          <w:p w14:paraId="13559ECC" w14:textId="4AF7E9D6" w:rsidR="008E1C9F" w:rsidRPr="00935CE1" w:rsidRDefault="008E1C9F" w:rsidP="008E1C9F">
            <w:pPr>
              <w:pStyle w:val="TableText0"/>
              <w:keepNext w:val="0"/>
              <w:rPr>
                <w:iCs/>
              </w:rPr>
            </w:pPr>
            <w:r w:rsidRPr="00935CE1">
              <w:rPr>
                <w:b/>
                <w:bCs w:val="0"/>
                <w:iCs/>
              </w:rPr>
              <w:t>Extrapolations (base case log-normal PFS and OS)</w:t>
            </w:r>
          </w:p>
        </w:tc>
      </w:tr>
      <w:tr w:rsidR="00FE25E8" w:rsidRPr="00935CE1" w14:paraId="14C53EAD" w14:textId="77777777" w:rsidTr="00BD2E60">
        <w:tc>
          <w:tcPr>
            <w:tcW w:w="2339" w:type="pct"/>
            <w:tcBorders>
              <w:top w:val="nil"/>
              <w:left w:val="single" w:sz="4" w:space="0" w:color="auto"/>
              <w:bottom w:val="nil"/>
              <w:right w:val="nil"/>
            </w:tcBorders>
            <w:vAlign w:val="top"/>
          </w:tcPr>
          <w:p w14:paraId="223E497D" w14:textId="77777777" w:rsidR="00FE25E8" w:rsidRPr="00935CE1" w:rsidRDefault="00FE25E8" w:rsidP="007368C9">
            <w:pPr>
              <w:pStyle w:val="TableText0"/>
              <w:keepNext w:val="0"/>
              <w:numPr>
                <w:ilvl w:val="0"/>
                <w:numId w:val="12"/>
              </w:numPr>
              <w:ind w:left="257" w:hanging="257"/>
              <w:rPr>
                <w:iCs/>
              </w:rPr>
            </w:pPr>
            <w:r w:rsidRPr="00935CE1">
              <w:rPr>
                <w:iCs/>
              </w:rPr>
              <w:t>Log-logistic extrapolation for PFS</w:t>
            </w:r>
          </w:p>
        </w:tc>
        <w:tc>
          <w:tcPr>
            <w:tcW w:w="580" w:type="pct"/>
            <w:tcBorders>
              <w:top w:val="nil"/>
              <w:left w:val="nil"/>
              <w:bottom w:val="nil"/>
              <w:right w:val="nil"/>
            </w:tcBorders>
            <w:vAlign w:val="top"/>
          </w:tcPr>
          <w:p w14:paraId="4A95F9BB" w14:textId="78F37A89"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10"/>
                <w14:textFill>
                  <w14:solidFill>
                    <w14:srgbClr w14:val="000000">
                      <w14:alpha w14:val="100000"/>
                    </w14:srgbClr>
                  </w14:solidFill>
                </w14:textFill>
              </w:rPr>
              <w:t>|||</w:t>
            </w:r>
            <w:r w:rsidR="00BD6E95" w:rsidRPr="00BD6E95">
              <w:rPr>
                <w:iCs/>
                <w:color w:val="000000"/>
                <w:spacing w:val="1"/>
                <w:shd w:val="solid" w:color="000000" w:fill="000000"/>
                <w:fitText w:val="330" w:id="-632054010"/>
                <w14:textFill>
                  <w14:solidFill>
                    <w14:srgbClr w14:val="000000">
                      <w14:alpha w14:val="100000"/>
                    </w14:srgbClr>
                  </w14:solidFill>
                </w14:textFill>
              </w:rPr>
              <w:t>|</w:t>
            </w:r>
          </w:p>
        </w:tc>
        <w:tc>
          <w:tcPr>
            <w:tcW w:w="580" w:type="pct"/>
            <w:tcBorders>
              <w:top w:val="nil"/>
              <w:left w:val="nil"/>
              <w:bottom w:val="nil"/>
              <w:right w:val="nil"/>
            </w:tcBorders>
            <w:vAlign w:val="top"/>
          </w:tcPr>
          <w:p w14:paraId="769A530C" w14:textId="77777777" w:rsidR="00FE25E8" w:rsidRPr="00935CE1" w:rsidRDefault="00FE25E8" w:rsidP="00977721">
            <w:pPr>
              <w:pStyle w:val="TableText0"/>
              <w:keepNext w:val="0"/>
              <w:jc w:val="center"/>
              <w:rPr>
                <w:iCs/>
              </w:rPr>
            </w:pPr>
            <w:r w:rsidRPr="00935CE1">
              <w:rPr>
                <w:iCs/>
              </w:rPr>
              <w:t>1.559</w:t>
            </w:r>
          </w:p>
        </w:tc>
        <w:tc>
          <w:tcPr>
            <w:tcW w:w="580" w:type="pct"/>
            <w:tcBorders>
              <w:top w:val="nil"/>
              <w:left w:val="nil"/>
              <w:bottom w:val="nil"/>
              <w:right w:val="nil"/>
            </w:tcBorders>
            <w:vAlign w:val="top"/>
          </w:tcPr>
          <w:p w14:paraId="1970E494" w14:textId="0FA636DD"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09"/>
                <w14:textFill>
                  <w14:solidFill>
                    <w14:srgbClr w14:val="000000">
                      <w14:alpha w14:val="100000"/>
                    </w14:srgbClr>
                  </w14:solidFill>
                </w14:textFill>
              </w:rPr>
              <w:t>|||</w:t>
            </w:r>
            <w:r w:rsidR="00BD6E95" w:rsidRPr="00BD6E95">
              <w:rPr>
                <w:iCs/>
                <w:color w:val="000000"/>
                <w:spacing w:val="1"/>
                <w:shd w:val="solid" w:color="000000" w:fill="000000"/>
                <w:fitText w:val="330" w:id="-632054009"/>
                <w14:textFill>
                  <w14:solidFill>
                    <w14:srgbClr w14:val="000000">
                      <w14:alpha w14:val="100000"/>
                    </w14:srgbClr>
                  </w14:solidFill>
                </w14:textFill>
              </w:rPr>
              <w:t>|</w:t>
            </w:r>
            <w:r w:rsidR="001C24CD" w:rsidRPr="001C24CD">
              <w:rPr>
                <w:iCs/>
                <w:vertAlign w:val="superscript"/>
              </w:rPr>
              <w:t>1</w:t>
            </w:r>
          </w:p>
        </w:tc>
        <w:tc>
          <w:tcPr>
            <w:tcW w:w="921" w:type="pct"/>
            <w:tcBorders>
              <w:top w:val="nil"/>
              <w:left w:val="nil"/>
              <w:bottom w:val="nil"/>
              <w:right w:val="single" w:sz="4" w:space="0" w:color="auto"/>
            </w:tcBorders>
            <w:vAlign w:val="top"/>
          </w:tcPr>
          <w:p w14:paraId="1AFDC6ED" w14:textId="7E68C54F" w:rsidR="00FE25E8" w:rsidRPr="00935CE1" w:rsidRDefault="00BD6E95" w:rsidP="00977721">
            <w:pPr>
              <w:pStyle w:val="TableText0"/>
              <w:keepNext w:val="0"/>
              <w:jc w:val="center"/>
              <w:rPr>
                <w:iCs/>
              </w:rPr>
            </w:pPr>
            <w:r w:rsidRPr="00BD6E95">
              <w:rPr>
                <w:iCs/>
                <w:color w:val="000000"/>
                <w:spacing w:val="53"/>
                <w:shd w:val="solid" w:color="000000" w:fill="000000"/>
                <w:fitText w:val="330" w:id="-632054008"/>
                <w14:textFill>
                  <w14:solidFill>
                    <w14:srgbClr w14:val="000000">
                      <w14:alpha w14:val="100000"/>
                    </w14:srgbClr>
                  </w14:solidFill>
                </w14:textFill>
              </w:rPr>
              <w:t>|||</w:t>
            </w:r>
            <w:r w:rsidRPr="00BD6E95">
              <w:rPr>
                <w:iCs/>
                <w:color w:val="000000"/>
                <w:spacing w:val="1"/>
                <w:shd w:val="solid" w:color="000000" w:fill="000000"/>
                <w:fitText w:val="330" w:id="-632054008"/>
                <w14:textFill>
                  <w14:solidFill>
                    <w14:srgbClr w14:val="000000">
                      <w14:alpha w14:val="100000"/>
                    </w14:srgbClr>
                  </w14:solidFill>
                </w14:textFill>
              </w:rPr>
              <w:t>|</w:t>
            </w:r>
            <w:r w:rsidR="00FE25E8" w:rsidRPr="00935CE1">
              <w:rPr>
                <w:iCs/>
              </w:rPr>
              <w:t>%</w:t>
            </w:r>
          </w:p>
        </w:tc>
      </w:tr>
      <w:tr w:rsidR="00441D8E" w:rsidRPr="00935CE1" w14:paraId="17C371B6" w14:textId="77777777" w:rsidTr="00BD2E60">
        <w:tc>
          <w:tcPr>
            <w:tcW w:w="2339" w:type="pct"/>
            <w:tcBorders>
              <w:top w:val="nil"/>
              <w:left w:val="single" w:sz="4" w:space="0" w:color="auto"/>
              <w:bottom w:val="nil"/>
              <w:right w:val="nil"/>
            </w:tcBorders>
            <w:vAlign w:val="top"/>
          </w:tcPr>
          <w:p w14:paraId="5FA49AB1" w14:textId="2B45F888" w:rsidR="00441D8E" w:rsidRPr="00935CE1" w:rsidRDefault="00441D8E" w:rsidP="007368C9">
            <w:pPr>
              <w:pStyle w:val="TableText0"/>
              <w:keepNext w:val="0"/>
              <w:numPr>
                <w:ilvl w:val="0"/>
                <w:numId w:val="12"/>
              </w:numPr>
              <w:ind w:left="257" w:hanging="257"/>
              <w:rPr>
                <w:iCs/>
              </w:rPr>
            </w:pPr>
            <w:r w:rsidRPr="00935CE1">
              <w:rPr>
                <w:iCs/>
              </w:rPr>
              <w:t>Weibull extrapolation for PFS</w:t>
            </w:r>
          </w:p>
        </w:tc>
        <w:tc>
          <w:tcPr>
            <w:tcW w:w="580" w:type="pct"/>
            <w:tcBorders>
              <w:top w:val="nil"/>
              <w:left w:val="nil"/>
              <w:bottom w:val="nil"/>
              <w:right w:val="nil"/>
            </w:tcBorders>
            <w:vAlign w:val="top"/>
          </w:tcPr>
          <w:p w14:paraId="48CF68FE" w14:textId="0D10ECAF" w:rsidR="00441D8E" w:rsidRPr="00935CE1" w:rsidRDefault="00441D8E" w:rsidP="00441D8E">
            <w:pPr>
              <w:pStyle w:val="TableText0"/>
              <w:keepNext w:val="0"/>
              <w:jc w:val="center"/>
              <w:rPr>
                <w:iCs/>
              </w:rPr>
            </w:pPr>
            <w:r w:rsidRPr="00935CE1">
              <w:rPr>
                <w:iCs/>
              </w:rPr>
              <w:t>$</w:t>
            </w:r>
            <w:r w:rsidR="00BD6E95" w:rsidRPr="00BD6E95">
              <w:rPr>
                <w:iCs/>
                <w:color w:val="000000"/>
                <w:spacing w:val="53"/>
                <w:shd w:val="solid" w:color="000000" w:fill="000000"/>
                <w:fitText w:val="330" w:id="-632054007"/>
                <w14:textFill>
                  <w14:solidFill>
                    <w14:srgbClr w14:val="000000">
                      <w14:alpha w14:val="100000"/>
                    </w14:srgbClr>
                  </w14:solidFill>
                </w14:textFill>
              </w:rPr>
              <w:t>|||</w:t>
            </w:r>
            <w:r w:rsidR="00BD6E95" w:rsidRPr="00BD6E95">
              <w:rPr>
                <w:iCs/>
                <w:color w:val="000000"/>
                <w:spacing w:val="1"/>
                <w:shd w:val="solid" w:color="000000" w:fill="000000"/>
                <w:fitText w:val="330" w:id="-632054007"/>
                <w14:textFill>
                  <w14:solidFill>
                    <w14:srgbClr w14:val="000000">
                      <w14:alpha w14:val="100000"/>
                    </w14:srgbClr>
                  </w14:solidFill>
                </w14:textFill>
              </w:rPr>
              <w:t>|</w:t>
            </w:r>
          </w:p>
        </w:tc>
        <w:tc>
          <w:tcPr>
            <w:tcW w:w="580" w:type="pct"/>
            <w:tcBorders>
              <w:top w:val="nil"/>
              <w:left w:val="nil"/>
              <w:bottom w:val="nil"/>
              <w:right w:val="nil"/>
            </w:tcBorders>
            <w:vAlign w:val="top"/>
          </w:tcPr>
          <w:p w14:paraId="57FBB94E" w14:textId="2632A18D" w:rsidR="00441D8E" w:rsidRPr="00935CE1" w:rsidRDefault="00441D8E" w:rsidP="00441D8E">
            <w:pPr>
              <w:pStyle w:val="TableText0"/>
              <w:keepNext w:val="0"/>
              <w:jc w:val="center"/>
              <w:rPr>
                <w:iCs/>
              </w:rPr>
            </w:pPr>
            <w:r w:rsidRPr="00935CE1">
              <w:rPr>
                <w:iCs/>
              </w:rPr>
              <w:t>1.509</w:t>
            </w:r>
          </w:p>
        </w:tc>
        <w:tc>
          <w:tcPr>
            <w:tcW w:w="580" w:type="pct"/>
            <w:tcBorders>
              <w:top w:val="nil"/>
              <w:left w:val="nil"/>
              <w:bottom w:val="nil"/>
              <w:right w:val="nil"/>
            </w:tcBorders>
            <w:vAlign w:val="top"/>
          </w:tcPr>
          <w:p w14:paraId="6F00C7CA" w14:textId="79E6A1F3" w:rsidR="00441D8E" w:rsidRPr="00935CE1" w:rsidRDefault="00441D8E" w:rsidP="00441D8E">
            <w:pPr>
              <w:pStyle w:val="TableText0"/>
              <w:keepNext w:val="0"/>
              <w:jc w:val="center"/>
              <w:rPr>
                <w:iCs/>
              </w:rPr>
            </w:pPr>
            <w:r w:rsidRPr="00935CE1">
              <w:rPr>
                <w:iCs/>
              </w:rPr>
              <w:t>$</w:t>
            </w:r>
            <w:r w:rsidR="00BD6E95" w:rsidRPr="00BD6E95">
              <w:rPr>
                <w:iCs/>
                <w:color w:val="000000"/>
                <w:spacing w:val="53"/>
                <w:shd w:val="solid" w:color="000000" w:fill="000000"/>
                <w:fitText w:val="330" w:id="-632054006"/>
                <w14:textFill>
                  <w14:solidFill>
                    <w14:srgbClr w14:val="000000">
                      <w14:alpha w14:val="100000"/>
                    </w14:srgbClr>
                  </w14:solidFill>
                </w14:textFill>
              </w:rPr>
              <w:t>|||</w:t>
            </w:r>
            <w:r w:rsidR="00BD6E95" w:rsidRPr="00BD6E95">
              <w:rPr>
                <w:iCs/>
                <w:color w:val="000000"/>
                <w:spacing w:val="1"/>
                <w:shd w:val="solid" w:color="000000" w:fill="000000"/>
                <w:fitText w:val="330" w:id="-632054006"/>
                <w14:textFill>
                  <w14:solidFill>
                    <w14:srgbClr w14:val="000000">
                      <w14:alpha w14:val="100000"/>
                    </w14:srgbClr>
                  </w14:solidFill>
                </w14:textFill>
              </w:rPr>
              <w:t>|</w:t>
            </w:r>
            <w:r w:rsidR="0024178E" w:rsidRPr="00B1126B">
              <w:rPr>
                <w:iCs/>
                <w:vertAlign w:val="superscript"/>
              </w:rPr>
              <w:t>2</w:t>
            </w:r>
          </w:p>
        </w:tc>
        <w:tc>
          <w:tcPr>
            <w:tcW w:w="921" w:type="pct"/>
            <w:tcBorders>
              <w:top w:val="nil"/>
              <w:left w:val="nil"/>
              <w:bottom w:val="nil"/>
              <w:right w:val="single" w:sz="4" w:space="0" w:color="auto"/>
            </w:tcBorders>
            <w:vAlign w:val="top"/>
          </w:tcPr>
          <w:p w14:paraId="0BFD8427" w14:textId="398DD370" w:rsidR="00441D8E" w:rsidRPr="00935CE1" w:rsidRDefault="00BD6E95" w:rsidP="00441D8E">
            <w:pPr>
              <w:pStyle w:val="TableText0"/>
              <w:keepNext w:val="0"/>
              <w:jc w:val="center"/>
              <w:rPr>
                <w:iCs/>
              </w:rPr>
            </w:pPr>
            <w:r w:rsidRPr="00BD6E95">
              <w:rPr>
                <w:iCs/>
                <w:color w:val="000000"/>
                <w:spacing w:val="53"/>
                <w:shd w:val="solid" w:color="000000" w:fill="000000"/>
                <w:fitText w:val="330" w:id="-632054005"/>
                <w14:textFill>
                  <w14:solidFill>
                    <w14:srgbClr w14:val="000000">
                      <w14:alpha w14:val="100000"/>
                    </w14:srgbClr>
                  </w14:solidFill>
                </w14:textFill>
              </w:rPr>
              <w:t>|||</w:t>
            </w:r>
            <w:r w:rsidRPr="00BD6E95">
              <w:rPr>
                <w:iCs/>
                <w:color w:val="000000"/>
                <w:spacing w:val="1"/>
                <w:shd w:val="solid" w:color="000000" w:fill="000000"/>
                <w:fitText w:val="330" w:id="-632054005"/>
                <w14:textFill>
                  <w14:solidFill>
                    <w14:srgbClr w14:val="000000">
                      <w14:alpha w14:val="100000"/>
                    </w14:srgbClr>
                  </w14:solidFill>
                </w14:textFill>
              </w:rPr>
              <w:t>|</w:t>
            </w:r>
            <w:r w:rsidR="00441D8E" w:rsidRPr="00935CE1">
              <w:rPr>
                <w:iCs/>
              </w:rPr>
              <w:t>%</w:t>
            </w:r>
          </w:p>
        </w:tc>
      </w:tr>
      <w:tr w:rsidR="00FE25E8" w:rsidRPr="00935CE1" w14:paraId="644F675E" w14:textId="77777777" w:rsidTr="00BD2E60">
        <w:tc>
          <w:tcPr>
            <w:tcW w:w="2339" w:type="pct"/>
            <w:tcBorders>
              <w:top w:val="nil"/>
              <w:left w:val="single" w:sz="4" w:space="0" w:color="auto"/>
              <w:bottom w:val="nil"/>
              <w:right w:val="nil"/>
            </w:tcBorders>
            <w:vAlign w:val="top"/>
          </w:tcPr>
          <w:p w14:paraId="4455E466" w14:textId="77777777" w:rsidR="00FE25E8" w:rsidRPr="00935CE1" w:rsidRDefault="00FE25E8" w:rsidP="007368C9">
            <w:pPr>
              <w:pStyle w:val="TableText0"/>
              <w:keepNext w:val="0"/>
              <w:numPr>
                <w:ilvl w:val="0"/>
                <w:numId w:val="12"/>
              </w:numPr>
              <w:ind w:left="257" w:hanging="257"/>
              <w:rPr>
                <w:iCs/>
              </w:rPr>
            </w:pPr>
            <w:r w:rsidRPr="00935CE1">
              <w:rPr>
                <w:iCs/>
              </w:rPr>
              <w:t>Log-logistic extrapolation for OS</w:t>
            </w:r>
          </w:p>
        </w:tc>
        <w:tc>
          <w:tcPr>
            <w:tcW w:w="580" w:type="pct"/>
            <w:tcBorders>
              <w:top w:val="nil"/>
              <w:left w:val="nil"/>
              <w:bottom w:val="nil"/>
              <w:right w:val="nil"/>
            </w:tcBorders>
            <w:vAlign w:val="top"/>
          </w:tcPr>
          <w:p w14:paraId="2E27E630" w14:textId="6799D0D3"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04"/>
                <w14:textFill>
                  <w14:solidFill>
                    <w14:srgbClr w14:val="000000">
                      <w14:alpha w14:val="100000"/>
                    </w14:srgbClr>
                  </w14:solidFill>
                </w14:textFill>
              </w:rPr>
              <w:t>|||</w:t>
            </w:r>
            <w:r w:rsidR="00BD6E95" w:rsidRPr="00BD6E95">
              <w:rPr>
                <w:iCs/>
                <w:color w:val="000000"/>
                <w:spacing w:val="1"/>
                <w:shd w:val="solid" w:color="000000" w:fill="000000"/>
                <w:fitText w:val="330" w:id="-632054004"/>
                <w14:textFill>
                  <w14:solidFill>
                    <w14:srgbClr w14:val="000000">
                      <w14:alpha w14:val="100000"/>
                    </w14:srgbClr>
                  </w14:solidFill>
                </w14:textFill>
              </w:rPr>
              <w:t>|</w:t>
            </w:r>
          </w:p>
        </w:tc>
        <w:tc>
          <w:tcPr>
            <w:tcW w:w="580" w:type="pct"/>
            <w:tcBorders>
              <w:top w:val="nil"/>
              <w:left w:val="nil"/>
              <w:bottom w:val="nil"/>
              <w:right w:val="nil"/>
            </w:tcBorders>
            <w:vAlign w:val="top"/>
          </w:tcPr>
          <w:p w14:paraId="4BB67DB4" w14:textId="77777777" w:rsidR="00FE25E8" w:rsidRPr="00935CE1" w:rsidRDefault="00FE25E8" w:rsidP="00977721">
            <w:pPr>
              <w:pStyle w:val="TableText0"/>
              <w:keepNext w:val="0"/>
              <w:jc w:val="center"/>
              <w:rPr>
                <w:iCs/>
              </w:rPr>
            </w:pPr>
            <w:r w:rsidRPr="00935CE1">
              <w:rPr>
                <w:iCs/>
              </w:rPr>
              <w:t>1.415</w:t>
            </w:r>
          </w:p>
        </w:tc>
        <w:tc>
          <w:tcPr>
            <w:tcW w:w="580" w:type="pct"/>
            <w:tcBorders>
              <w:top w:val="nil"/>
              <w:left w:val="nil"/>
              <w:bottom w:val="nil"/>
              <w:right w:val="nil"/>
            </w:tcBorders>
            <w:vAlign w:val="top"/>
          </w:tcPr>
          <w:p w14:paraId="33013A0F" w14:textId="78DEED01" w:rsidR="00FE25E8" w:rsidRPr="00935CE1" w:rsidRDefault="00FE25E8" w:rsidP="00977721">
            <w:pPr>
              <w:pStyle w:val="TableText0"/>
              <w:keepNext w:val="0"/>
              <w:jc w:val="center"/>
              <w:rPr>
                <w:iCs/>
              </w:rPr>
            </w:pPr>
            <w:r w:rsidRPr="00935CE1">
              <w:rPr>
                <w:iCs/>
              </w:rPr>
              <w:t>$</w:t>
            </w:r>
            <w:r w:rsidR="00BD6E95" w:rsidRPr="00BD6E95">
              <w:rPr>
                <w:iCs/>
                <w:color w:val="000000"/>
                <w:spacing w:val="53"/>
                <w:shd w:val="solid" w:color="000000" w:fill="000000"/>
                <w:fitText w:val="330" w:id="-632054003"/>
                <w14:textFill>
                  <w14:solidFill>
                    <w14:srgbClr w14:val="000000">
                      <w14:alpha w14:val="100000"/>
                    </w14:srgbClr>
                  </w14:solidFill>
                </w14:textFill>
              </w:rPr>
              <w:t>|||</w:t>
            </w:r>
            <w:r w:rsidR="00BD6E95" w:rsidRPr="00BD6E95">
              <w:rPr>
                <w:iCs/>
                <w:color w:val="000000"/>
                <w:spacing w:val="1"/>
                <w:shd w:val="solid" w:color="000000" w:fill="000000"/>
                <w:fitText w:val="330" w:id="-632054003"/>
                <w14:textFill>
                  <w14:solidFill>
                    <w14:srgbClr w14:val="000000">
                      <w14:alpha w14:val="100000"/>
                    </w14:srgbClr>
                  </w14:solidFill>
                </w14:textFill>
              </w:rPr>
              <w:t>|</w:t>
            </w:r>
            <w:r w:rsidR="0024178E" w:rsidRPr="00B1126B">
              <w:rPr>
                <w:iCs/>
                <w:vertAlign w:val="superscript"/>
              </w:rPr>
              <w:t>2</w:t>
            </w:r>
          </w:p>
        </w:tc>
        <w:tc>
          <w:tcPr>
            <w:tcW w:w="921" w:type="pct"/>
            <w:tcBorders>
              <w:top w:val="nil"/>
              <w:left w:val="nil"/>
              <w:bottom w:val="nil"/>
              <w:right w:val="single" w:sz="4" w:space="0" w:color="auto"/>
            </w:tcBorders>
            <w:vAlign w:val="top"/>
          </w:tcPr>
          <w:p w14:paraId="511D18DB" w14:textId="233AE7B8" w:rsidR="00FE25E8" w:rsidRPr="00935CE1" w:rsidRDefault="00BD6E95" w:rsidP="00977721">
            <w:pPr>
              <w:pStyle w:val="TableText0"/>
              <w:keepNext w:val="0"/>
              <w:jc w:val="center"/>
              <w:rPr>
                <w:iCs/>
              </w:rPr>
            </w:pPr>
            <w:r w:rsidRPr="00BD6E95">
              <w:rPr>
                <w:iCs/>
                <w:color w:val="000000"/>
                <w:spacing w:val="53"/>
                <w:shd w:val="solid" w:color="000000" w:fill="000000"/>
                <w:fitText w:val="330" w:id="-632054002"/>
                <w14:textFill>
                  <w14:solidFill>
                    <w14:srgbClr w14:val="000000">
                      <w14:alpha w14:val="100000"/>
                    </w14:srgbClr>
                  </w14:solidFill>
                </w14:textFill>
              </w:rPr>
              <w:t>|||</w:t>
            </w:r>
            <w:r w:rsidRPr="00BD6E95">
              <w:rPr>
                <w:iCs/>
                <w:color w:val="000000"/>
                <w:spacing w:val="1"/>
                <w:shd w:val="solid" w:color="000000" w:fill="000000"/>
                <w:fitText w:val="330" w:id="-632054002"/>
                <w14:textFill>
                  <w14:solidFill>
                    <w14:srgbClr w14:val="000000">
                      <w14:alpha w14:val="100000"/>
                    </w14:srgbClr>
                  </w14:solidFill>
                </w14:textFill>
              </w:rPr>
              <w:t>|</w:t>
            </w:r>
            <w:r w:rsidR="00FE25E8" w:rsidRPr="00935CE1">
              <w:rPr>
                <w:iCs/>
              </w:rPr>
              <w:t>%</w:t>
            </w:r>
          </w:p>
        </w:tc>
      </w:tr>
      <w:tr w:rsidR="00441D8E" w:rsidRPr="00935CE1" w14:paraId="6EABECC1" w14:textId="77777777" w:rsidTr="00BD2E60">
        <w:tc>
          <w:tcPr>
            <w:tcW w:w="2339" w:type="pct"/>
            <w:tcBorders>
              <w:top w:val="nil"/>
              <w:left w:val="single" w:sz="4" w:space="0" w:color="auto"/>
              <w:bottom w:val="nil"/>
              <w:right w:val="nil"/>
            </w:tcBorders>
            <w:vAlign w:val="top"/>
          </w:tcPr>
          <w:p w14:paraId="71457B59" w14:textId="13F68626" w:rsidR="00441D8E" w:rsidRPr="00935CE1" w:rsidRDefault="00441D8E" w:rsidP="007368C9">
            <w:pPr>
              <w:pStyle w:val="TableText0"/>
              <w:keepNext w:val="0"/>
              <w:numPr>
                <w:ilvl w:val="0"/>
                <w:numId w:val="12"/>
              </w:numPr>
              <w:ind w:left="257" w:hanging="257"/>
              <w:rPr>
                <w:iCs/>
              </w:rPr>
            </w:pPr>
            <w:r w:rsidRPr="00935CE1">
              <w:rPr>
                <w:iCs/>
              </w:rPr>
              <w:t>Weibull extrapolation for OS</w:t>
            </w:r>
          </w:p>
        </w:tc>
        <w:tc>
          <w:tcPr>
            <w:tcW w:w="580" w:type="pct"/>
            <w:tcBorders>
              <w:top w:val="nil"/>
              <w:left w:val="nil"/>
              <w:bottom w:val="nil"/>
              <w:right w:val="nil"/>
            </w:tcBorders>
            <w:vAlign w:val="top"/>
          </w:tcPr>
          <w:p w14:paraId="1199F8F3" w14:textId="06C1C134" w:rsidR="00441D8E" w:rsidRPr="00935CE1" w:rsidRDefault="00441D8E" w:rsidP="00441D8E">
            <w:pPr>
              <w:pStyle w:val="TableText0"/>
              <w:keepNext w:val="0"/>
              <w:jc w:val="center"/>
              <w:rPr>
                <w:iCs/>
              </w:rPr>
            </w:pPr>
            <w:r w:rsidRPr="00935CE1">
              <w:rPr>
                <w:iCs/>
              </w:rPr>
              <w:t>$</w:t>
            </w:r>
            <w:r w:rsidR="00BD6E95" w:rsidRPr="00BD6E95">
              <w:rPr>
                <w:iCs/>
                <w:color w:val="000000"/>
                <w:spacing w:val="53"/>
                <w:shd w:val="solid" w:color="000000" w:fill="000000"/>
                <w:fitText w:val="330" w:id="-632054001"/>
                <w14:textFill>
                  <w14:solidFill>
                    <w14:srgbClr w14:val="000000">
                      <w14:alpha w14:val="100000"/>
                    </w14:srgbClr>
                  </w14:solidFill>
                </w14:textFill>
              </w:rPr>
              <w:t>|||</w:t>
            </w:r>
            <w:r w:rsidR="00BD6E95" w:rsidRPr="00BD6E95">
              <w:rPr>
                <w:iCs/>
                <w:color w:val="000000"/>
                <w:spacing w:val="1"/>
                <w:shd w:val="solid" w:color="000000" w:fill="000000"/>
                <w:fitText w:val="330" w:id="-632054001"/>
                <w14:textFill>
                  <w14:solidFill>
                    <w14:srgbClr w14:val="000000">
                      <w14:alpha w14:val="100000"/>
                    </w14:srgbClr>
                  </w14:solidFill>
                </w14:textFill>
              </w:rPr>
              <w:t>|</w:t>
            </w:r>
          </w:p>
        </w:tc>
        <w:tc>
          <w:tcPr>
            <w:tcW w:w="580" w:type="pct"/>
            <w:tcBorders>
              <w:top w:val="nil"/>
              <w:left w:val="nil"/>
              <w:bottom w:val="nil"/>
              <w:right w:val="nil"/>
            </w:tcBorders>
            <w:vAlign w:val="top"/>
          </w:tcPr>
          <w:p w14:paraId="5AF0403E" w14:textId="554393E3" w:rsidR="00441D8E" w:rsidRPr="00935CE1" w:rsidRDefault="00441D8E" w:rsidP="00441D8E">
            <w:pPr>
              <w:pStyle w:val="TableText0"/>
              <w:keepNext w:val="0"/>
              <w:jc w:val="center"/>
              <w:rPr>
                <w:iCs/>
              </w:rPr>
            </w:pPr>
            <w:r w:rsidRPr="00935CE1">
              <w:rPr>
                <w:iCs/>
              </w:rPr>
              <w:t>1.190</w:t>
            </w:r>
          </w:p>
        </w:tc>
        <w:tc>
          <w:tcPr>
            <w:tcW w:w="580" w:type="pct"/>
            <w:tcBorders>
              <w:top w:val="nil"/>
              <w:left w:val="nil"/>
              <w:bottom w:val="nil"/>
              <w:right w:val="nil"/>
            </w:tcBorders>
            <w:vAlign w:val="top"/>
          </w:tcPr>
          <w:p w14:paraId="4DDD6CAE" w14:textId="7F311903" w:rsidR="00441D8E" w:rsidRPr="00935CE1" w:rsidRDefault="00441D8E" w:rsidP="00441D8E">
            <w:pPr>
              <w:pStyle w:val="TableText0"/>
              <w:keepNext w:val="0"/>
              <w:jc w:val="center"/>
              <w:rPr>
                <w:iCs/>
              </w:rPr>
            </w:pPr>
            <w:r w:rsidRPr="00935CE1">
              <w:rPr>
                <w:iCs/>
              </w:rPr>
              <w:t>$</w:t>
            </w:r>
            <w:r w:rsidR="00BD6E95" w:rsidRPr="00BD6E95">
              <w:rPr>
                <w:iCs/>
                <w:color w:val="000000"/>
                <w:spacing w:val="53"/>
                <w:shd w:val="solid" w:color="000000" w:fill="000000"/>
                <w:fitText w:val="330" w:id="-632054000"/>
                <w14:textFill>
                  <w14:solidFill>
                    <w14:srgbClr w14:val="000000">
                      <w14:alpha w14:val="100000"/>
                    </w14:srgbClr>
                  </w14:solidFill>
                </w14:textFill>
              </w:rPr>
              <w:t>|||</w:t>
            </w:r>
            <w:r w:rsidR="00BD6E95" w:rsidRPr="00BD6E95">
              <w:rPr>
                <w:iCs/>
                <w:color w:val="000000"/>
                <w:spacing w:val="1"/>
                <w:shd w:val="solid" w:color="000000" w:fill="000000"/>
                <w:fitText w:val="330" w:id="-632054000"/>
                <w14:textFill>
                  <w14:solidFill>
                    <w14:srgbClr w14:val="000000">
                      <w14:alpha w14:val="100000"/>
                    </w14:srgbClr>
                  </w14:solidFill>
                </w14:textFill>
              </w:rPr>
              <w:t>|</w:t>
            </w:r>
            <w:r w:rsidR="001C3C5D" w:rsidRPr="001C3C5D">
              <w:rPr>
                <w:iCs/>
                <w:vertAlign w:val="superscript"/>
              </w:rPr>
              <w:t>4</w:t>
            </w:r>
          </w:p>
        </w:tc>
        <w:tc>
          <w:tcPr>
            <w:tcW w:w="921" w:type="pct"/>
            <w:tcBorders>
              <w:top w:val="nil"/>
              <w:left w:val="nil"/>
              <w:bottom w:val="nil"/>
              <w:right w:val="single" w:sz="4" w:space="0" w:color="auto"/>
            </w:tcBorders>
            <w:vAlign w:val="top"/>
          </w:tcPr>
          <w:p w14:paraId="429F271A" w14:textId="012CE528" w:rsidR="00441D8E" w:rsidRPr="00935CE1" w:rsidRDefault="00BD6E95" w:rsidP="00441D8E">
            <w:pPr>
              <w:pStyle w:val="TableText0"/>
              <w:keepNext w:val="0"/>
              <w:jc w:val="center"/>
              <w:rPr>
                <w:iCs/>
              </w:rPr>
            </w:pPr>
            <w:r w:rsidRPr="00BD6E95">
              <w:rPr>
                <w:iCs/>
                <w:color w:val="000000"/>
                <w:spacing w:val="51"/>
                <w:shd w:val="solid" w:color="000000" w:fill="000000"/>
                <w:fitText w:val="324" w:id="-632054016"/>
                <w14:textFill>
                  <w14:solidFill>
                    <w14:srgbClr w14:val="000000">
                      <w14:alpha w14:val="100000"/>
                    </w14:srgbClr>
                  </w14:solidFill>
                </w14:textFill>
              </w:rPr>
              <w:t>|||</w:t>
            </w:r>
            <w:r w:rsidRPr="00BD6E95">
              <w:rPr>
                <w:iCs/>
                <w:color w:val="000000"/>
                <w:spacing w:val="1"/>
                <w:shd w:val="solid" w:color="000000" w:fill="000000"/>
                <w:fitText w:val="324" w:id="-632054016"/>
                <w14:textFill>
                  <w14:solidFill>
                    <w14:srgbClr w14:val="000000">
                      <w14:alpha w14:val="100000"/>
                    </w14:srgbClr>
                  </w14:solidFill>
                </w14:textFill>
              </w:rPr>
              <w:t>|</w:t>
            </w:r>
            <w:r w:rsidR="00441D8E" w:rsidRPr="00935CE1">
              <w:rPr>
                <w:iCs/>
              </w:rPr>
              <w:t>0%</w:t>
            </w:r>
          </w:p>
        </w:tc>
      </w:tr>
      <w:tr w:rsidR="002E255C" w:rsidRPr="00935CE1" w14:paraId="328C5A67" w14:textId="77777777" w:rsidTr="00BD2E60">
        <w:tc>
          <w:tcPr>
            <w:tcW w:w="2339" w:type="pct"/>
            <w:tcBorders>
              <w:top w:val="nil"/>
              <w:left w:val="single" w:sz="4" w:space="0" w:color="auto"/>
              <w:bottom w:val="nil"/>
              <w:right w:val="nil"/>
            </w:tcBorders>
            <w:vAlign w:val="top"/>
          </w:tcPr>
          <w:p w14:paraId="114F87D0" w14:textId="1E9D5D0C" w:rsidR="002E255C" w:rsidRPr="00935CE1" w:rsidRDefault="002E255C" w:rsidP="007368C9">
            <w:pPr>
              <w:pStyle w:val="TableText0"/>
              <w:keepNext w:val="0"/>
              <w:numPr>
                <w:ilvl w:val="0"/>
                <w:numId w:val="12"/>
              </w:numPr>
              <w:ind w:left="257" w:hanging="257"/>
              <w:rPr>
                <w:iCs/>
              </w:rPr>
            </w:pPr>
            <w:r w:rsidRPr="00935CE1">
              <w:rPr>
                <w:iCs/>
              </w:rPr>
              <w:t>Log-logistic extrapolation of PFS and OS</w:t>
            </w:r>
          </w:p>
        </w:tc>
        <w:tc>
          <w:tcPr>
            <w:tcW w:w="580" w:type="pct"/>
            <w:tcBorders>
              <w:top w:val="nil"/>
              <w:left w:val="nil"/>
              <w:bottom w:val="nil"/>
              <w:right w:val="nil"/>
            </w:tcBorders>
            <w:vAlign w:val="top"/>
          </w:tcPr>
          <w:p w14:paraId="3319E4DF" w14:textId="5F01CF15" w:rsidR="002E255C" w:rsidRPr="00935CE1" w:rsidRDefault="002E255C" w:rsidP="002E255C">
            <w:pPr>
              <w:pStyle w:val="TableText0"/>
              <w:keepNext w:val="0"/>
              <w:jc w:val="center"/>
              <w:rPr>
                <w:iCs/>
                <w:highlight w:val="yellow"/>
              </w:rPr>
            </w:pPr>
            <w:r w:rsidRPr="00935CE1">
              <w:rPr>
                <w:iCs/>
              </w:rPr>
              <w:t>$</w:t>
            </w:r>
            <w:r w:rsidR="00BD6E95" w:rsidRPr="00BD6E95">
              <w:rPr>
                <w:iCs/>
                <w:color w:val="000000"/>
                <w:spacing w:val="53"/>
                <w:shd w:val="solid" w:color="000000" w:fill="000000"/>
                <w:fitText w:val="330" w:id="-632054015"/>
                <w14:textFill>
                  <w14:solidFill>
                    <w14:srgbClr w14:val="000000">
                      <w14:alpha w14:val="100000"/>
                    </w14:srgbClr>
                  </w14:solidFill>
                </w14:textFill>
              </w:rPr>
              <w:t>|||</w:t>
            </w:r>
            <w:r w:rsidR="00BD6E95" w:rsidRPr="00BD6E95">
              <w:rPr>
                <w:iCs/>
                <w:color w:val="000000"/>
                <w:spacing w:val="1"/>
                <w:shd w:val="solid" w:color="000000" w:fill="000000"/>
                <w:fitText w:val="330" w:id="-632054015"/>
                <w14:textFill>
                  <w14:solidFill>
                    <w14:srgbClr w14:val="000000">
                      <w14:alpha w14:val="100000"/>
                    </w14:srgbClr>
                  </w14:solidFill>
                </w14:textFill>
              </w:rPr>
              <w:t>|</w:t>
            </w:r>
          </w:p>
        </w:tc>
        <w:tc>
          <w:tcPr>
            <w:tcW w:w="580" w:type="pct"/>
            <w:tcBorders>
              <w:top w:val="nil"/>
              <w:left w:val="nil"/>
              <w:bottom w:val="nil"/>
              <w:right w:val="nil"/>
            </w:tcBorders>
            <w:vAlign w:val="top"/>
          </w:tcPr>
          <w:p w14:paraId="036DFC3B" w14:textId="536620CE" w:rsidR="002E255C" w:rsidRPr="00935CE1" w:rsidRDefault="002E255C" w:rsidP="002E255C">
            <w:pPr>
              <w:pStyle w:val="TableText0"/>
              <w:keepNext w:val="0"/>
              <w:jc w:val="center"/>
              <w:rPr>
                <w:iCs/>
                <w:highlight w:val="yellow"/>
              </w:rPr>
            </w:pPr>
            <w:r w:rsidRPr="00935CE1">
              <w:rPr>
                <w:iCs/>
              </w:rPr>
              <w:t>1.407</w:t>
            </w:r>
          </w:p>
        </w:tc>
        <w:tc>
          <w:tcPr>
            <w:tcW w:w="580" w:type="pct"/>
            <w:tcBorders>
              <w:top w:val="nil"/>
              <w:left w:val="nil"/>
              <w:bottom w:val="nil"/>
              <w:right w:val="nil"/>
            </w:tcBorders>
            <w:vAlign w:val="top"/>
          </w:tcPr>
          <w:p w14:paraId="2D722645" w14:textId="1B64E7BC" w:rsidR="002E255C" w:rsidRPr="00935CE1" w:rsidRDefault="002E255C" w:rsidP="002E255C">
            <w:pPr>
              <w:pStyle w:val="TableText0"/>
              <w:keepNext w:val="0"/>
              <w:jc w:val="center"/>
              <w:rPr>
                <w:iCs/>
                <w:highlight w:val="yellow"/>
              </w:rPr>
            </w:pPr>
            <w:r w:rsidRPr="00935CE1">
              <w:rPr>
                <w:iCs/>
              </w:rPr>
              <w:t>$</w:t>
            </w:r>
            <w:r w:rsidR="00BD6E95" w:rsidRPr="00BD6E95">
              <w:rPr>
                <w:iCs/>
                <w:color w:val="000000"/>
                <w:spacing w:val="53"/>
                <w:shd w:val="solid" w:color="000000" w:fill="000000"/>
                <w:fitText w:val="330" w:id="-632054014"/>
                <w14:textFill>
                  <w14:solidFill>
                    <w14:srgbClr w14:val="000000">
                      <w14:alpha w14:val="100000"/>
                    </w14:srgbClr>
                  </w14:solidFill>
                </w14:textFill>
              </w:rPr>
              <w:t>|||</w:t>
            </w:r>
            <w:r w:rsidR="00BD6E95" w:rsidRPr="00BD6E95">
              <w:rPr>
                <w:iCs/>
                <w:color w:val="000000"/>
                <w:spacing w:val="1"/>
                <w:shd w:val="solid" w:color="000000" w:fill="000000"/>
                <w:fitText w:val="330" w:id="-632054014"/>
                <w14:textFill>
                  <w14:solidFill>
                    <w14:srgbClr w14:val="000000">
                      <w14:alpha w14:val="100000"/>
                    </w14:srgbClr>
                  </w14:solidFill>
                </w14:textFill>
              </w:rPr>
              <w:t>|</w:t>
            </w:r>
            <w:r w:rsidR="0024178E" w:rsidRPr="00B1126B">
              <w:rPr>
                <w:iCs/>
                <w:vertAlign w:val="superscript"/>
              </w:rPr>
              <w:t>2</w:t>
            </w:r>
          </w:p>
        </w:tc>
        <w:tc>
          <w:tcPr>
            <w:tcW w:w="921" w:type="pct"/>
            <w:tcBorders>
              <w:top w:val="nil"/>
              <w:left w:val="nil"/>
              <w:bottom w:val="nil"/>
              <w:right w:val="single" w:sz="4" w:space="0" w:color="auto"/>
            </w:tcBorders>
            <w:vAlign w:val="top"/>
          </w:tcPr>
          <w:p w14:paraId="0F32FFCF" w14:textId="342C075F" w:rsidR="002E255C" w:rsidRPr="00935CE1" w:rsidRDefault="00BD6E95" w:rsidP="002E255C">
            <w:pPr>
              <w:pStyle w:val="TableText0"/>
              <w:keepNext w:val="0"/>
              <w:jc w:val="center"/>
              <w:rPr>
                <w:iCs/>
                <w:highlight w:val="yellow"/>
              </w:rPr>
            </w:pPr>
            <w:r w:rsidRPr="00BD6E95">
              <w:rPr>
                <w:iCs/>
                <w:color w:val="000000"/>
                <w:spacing w:val="51"/>
                <w:shd w:val="solid" w:color="000000" w:fill="000000"/>
                <w:fitText w:val="324" w:id="-632054013"/>
                <w14:textFill>
                  <w14:solidFill>
                    <w14:srgbClr w14:val="000000">
                      <w14:alpha w14:val="100000"/>
                    </w14:srgbClr>
                  </w14:solidFill>
                </w14:textFill>
              </w:rPr>
              <w:t>|||</w:t>
            </w:r>
            <w:r w:rsidRPr="00BD6E95">
              <w:rPr>
                <w:iCs/>
                <w:color w:val="000000"/>
                <w:spacing w:val="1"/>
                <w:shd w:val="solid" w:color="000000" w:fill="000000"/>
                <w:fitText w:val="324" w:id="-632054013"/>
                <w14:textFill>
                  <w14:solidFill>
                    <w14:srgbClr w14:val="000000">
                      <w14:alpha w14:val="100000"/>
                    </w14:srgbClr>
                  </w14:solidFill>
                </w14:textFill>
              </w:rPr>
              <w:t>|</w:t>
            </w:r>
            <w:r w:rsidR="002E255C" w:rsidRPr="00935CE1">
              <w:rPr>
                <w:iCs/>
              </w:rPr>
              <w:t>5%</w:t>
            </w:r>
          </w:p>
        </w:tc>
      </w:tr>
      <w:tr w:rsidR="002E255C" w:rsidRPr="00935CE1" w14:paraId="3992D795" w14:textId="77777777" w:rsidTr="00BD2E60">
        <w:tc>
          <w:tcPr>
            <w:tcW w:w="2339" w:type="pct"/>
            <w:tcBorders>
              <w:top w:val="nil"/>
              <w:left w:val="single" w:sz="4" w:space="0" w:color="auto"/>
              <w:bottom w:val="nil"/>
              <w:right w:val="nil"/>
            </w:tcBorders>
            <w:vAlign w:val="top"/>
          </w:tcPr>
          <w:p w14:paraId="768A8954" w14:textId="4935A9B0" w:rsidR="002E255C" w:rsidRPr="00935CE1" w:rsidRDefault="002E255C" w:rsidP="007368C9">
            <w:pPr>
              <w:pStyle w:val="TableText0"/>
              <w:keepNext w:val="0"/>
              <w:numPr>
                <w:ilvl w:val="0"/>
                <w:numId w:val="12"/>
              </w:numPr>
              <w:ind w:left="257" w:hanging="257"/>
              <w:rPr>
                <w:iCs/>
              </w:rPr>
            </w:pPr>
            <w:r w:rsidRPr="00935CE1">
              <w:rPr>
                <w:iCs/>
              </w:rPr>
              <w:t>Weibull extrapolation of PFS and OS</w:t>
            </w:r>
          </w:p>
        </w:tc>
        <w:tc>
          <w:tcPr>
            <w:tcW w:w="580" w:type="pct"/>
            <w:tcBorders>
              <w:top w:val="nil"/>
              <w:left w:val="nil"/>
              <w:bottom w:val="nil"/>
              <w:right w:val="nil"/>
            </w:tcBorders>
            <w:vAlign w:val="top"/>
          </w:tcPr>
          <w:p w14:paraId="3BC34D8F" w14:textId="57C24B25" w:rsidR="002E255C" w:rsidRPr="00935CE1" w:rsidRDefault="002E255C" w:rsidP="002E255C">
            <w:pPr>
              <w:pStyle w:val="TableText0"/>
              <w:keepNext w:val="0"/>
              <w:jc w:val="center"/>
              <w:rPr>
                <w:iCs/>
                <w:highlight w:val="yellow"/>
              </w:rPr>
            </w:pPr>
            <w:r w:rsidRPr="00935CE1">
              <w:rPr>
                <w:iCs/>
              </w:rPr>
              <w:t>$</w:t>
            </w:r>
            <w:r w:rsidR="00BD6E95" w:rsidRPr="00BD6E95">
              <w:rPr>
                <w:iCs/>
                <w:color w:val="000000"/>
                <w:spacing w:val="53"/>
                <w:shd w:val="solid" w:color="000000" w:fill="000000"/>
                <w:fitText w:val="330" w:id="-632054012"/>
                <w14:textFill>
                  <w14:solidFill>
                    <w14:srgbClr w14:val="000000">
                      <w14:alpha w14:val="100000"/>
                    </w14:srgbClr>
                  </w14:solidFill>
                </w14:textFill>
              </w:rPr>
              <w:t>|||</w:t>
            </w:r>
            <w:r w:rsidR="00BD6E95" w:rsidRPr="00BD6E95">
              <w:rPr>
                <w:iCs/>
                <w:color w:val="000000"/>
                <w:spacing w:val="1"/>
                <w:shd w:val="solid" w:color="000000" w:fill="000000"/>
                <w:fitText w:val="330" w:id="-632054012"/>
                <w14:textFill>
                  <w14:solidFill>
                    <w14:srgbClr w14:val="000000">
                      <w14:alpha w14:val="100000"/>
                    </w14:srgbClr>
                  </w14:solidFill>
                </w14:textFill>
              </w:rPr>
              <w:t>|</w:t>
            </w:r>
          </w:p>
        </w:tc>
        <w:tc>
          <w:tcPr>
            <w:tcW w:w="580" w:type="pct"/>
            <w:tcBorders>
              <w:top w:val="nil"/>
              <w:left w:val="nil"/>
              <w:bottom w:val="nil"/>
              <w:right w:val="nil"/>
            </w:tcBorders>
            <w:vAlign w:val="top"/>
          </w:tcPr>
          <w:p w14:paraId="4E832C1C" w14:textId="23FCC076" w:rsidR="002E255C" w:rsidRPr="00935CE1" w:rsidRDefault="002E255C" w:rsidP="002E255C">
            <w:pPr>
              <w:pStyle w:val="TableText0"/>
              <w:keepNext w:val="0"/>
              <w:jc w:val="center"/>
              <w:rPr>
                <w:iCs/>
                <w:highlight w:val="yellow"/>
              </w:rPr>
            </w:pPr>
            <w:r w:rsidRPr="00935CE1">
              <w:rPr>
                <w:iCs/>
              </w:rPr>
              <w:t>1.132</w:t>
            </w:r>
          </w:p>
        </w:tc>
        <w:tc>
          <w:tcPr>
            <w:tcW w:w="580" w:type="pct"/>
            <w:tcBorders>
              <w:top w:val="nil"/>
              <w:left w:val="nil"/>
              <w:bottom w:val="nil"/>
              <w:right w:val="nil"/>
            </w:tcBorders>
            <w:vAlign w:val="top"/>
          </w:tcPr>
          <w:p w14:paraId="193FFAC0" w14:textId="437EF1D5" w:rsidR="002E255C" w:rsidRPr="00935CE1" w:rsidRDefault="002E255C" w:rsidP="002E255C">
            <w:pPr>
              <w:pStyle w:val="TableText0"/>
              <w:keepNext w:val="0"/>
              <w:jc w:val="center"/>
              <w:rPr>
                <w:iCs/>
                <w:highlight w:val="yellow"/>
              </w:rPr>
            </w:pPr>
            <w:r w:rsidRPr="00935CE1">
              <w:rPr>
                <w:iCs/>
              </w:rPr>
              <w:t>$</w:t>
            </w:r>
            <w:r w:rsidR="00BD6E95" w:rsidRPr="00BD6E95">
              <w:rPr>
                <w:iCs/>
                <w:color w:val="000000"/>
                <w:spacing w:val="53"/>
                <w:shd w:val="solid" w:color="000000" w:fill="000000"/>
                <w:fitText w:val="330" w:id="-632054011"/>
                <w14:textFill>
                  <w14:solidFill>
                    <w14:srgbClr w14:val="000000">
                      <w14:alpha w14:val="100000"/>
                    </w14:srgbClr>
                  </w14:solidFill>
                </w14:textFill>
              </w:rPr>
              <w:t>|||</w:t>
            </w:r>
            <w:r w:rsidR="00BD6E95" w:rsidRPr="00BD6E95">
              <w:rPr>
                <w:iCs/>
                <w:color w:val="000000"/>
                <w:spacing w:val="1"/>
                <w:shd w:val="solid" w:color="000000" w:fill="000000"/>
                <w:fitText w:val="330" w:id="-632054011"/>
                <w14:textFill>
                  <w14:solidFill>
                    <w14:srgbClr w14:val="000000">
                      <w14:alpha w14:val="100000"/>
                    </w14:srgbClr>
                  </w14:solidFill>
                </w14:textFill>
              </w:rPr>
              <w:t>|</w:t>
            </w:r>
            <w:r w:rsidR="00B96959" w:rsidRPr="001C3C5D">
              <w:rPr>
                <w:iCs/>
                <w:vertAlign w:val="superscript"/>
              </w:rPr>
              <w:t>4</w:t>
            </w:r>
          </w:p>
        </w:tc>
        <w:tc>
          <w:tcPr>
            <w:tcW w:w="921" w:type="pct"/>
            <w:tcBorders>
              <w:top w:val="nil"/>
              <w:left w:val="nil"/>
              <w:bottom w:val="nil"/>
              <w:right w:val="single" w:sz="4" w:space="0" w:color="auto"/>
            </w:tcBorders>
            <w:vAlign w:val="top"/>
          </w:tcPr>
          <w:p w14:paraId="468363A7" w14:textId="11713008" w:rsidR="002E255C" w:rsidRPr="00935CE1" w:rsidRDefault="00BD6E95" w:rsidP="002E255C">
            <w:pPr>
              <w:pStyle w:val="TableText0"/>
              <w:keepNext w:val="0"/>
              <w:jc w:val="center"/>
              <w:rPr>
                <w:iCs/>
                <w:highlight w:val="yellow"/>
              </w:rPr>
            </w:pPr>
            <w:r w:rsidRPr="00BD6E95">
              <w:rPr>
                <w:iCs/>
                <w:color w:val="000000"/>
                <w:spacing w:val="53"/>
                <w:shd w:val="solid" w:color="000000" w:fill="000000"/>
                <w:fitText w:val="330" w:id="-632054010"/>
                <w14:textFill>
                  <w14:solidFill>
                    <w14:srgbClr w14:val="000000">
                      <w14:alpha w14:val="100000"/>
                    </w14:srgbClr>
                  </w14:solidFill>
                </w14:textFill>
              </w:rPr>
              <w:t>|||</w:t>
            </w:r>
            <w:r w:rsidRPr="00BD6E95">
              <w:rPr>
                <w:iCs/>
                <w:color w:val="000000"/>
                <w:spacing w:val="1"/>
                <w:shd w:val="solid" w:color="000000" w:fill="000000"/>
                <w:fitText w:val="330" w:id="-632054010"/>
                <w14:textFill>
                  <w14:solidFill>
                    <w14:srgbClr w14:val="000000">
                      <w14:alpha w14:val="100000"/>
                    </w14:srgbClr>
                  </w14:solidFill>
                </w14:textFill>
              </w:rPr>
              <w:t>|</w:t>
            </w:r>
            <w:r w:rsidR="002E255C" w:rsidRPr="00935CE1">
              <w:rPr>
                <w:iCs/>
              </w:rPr>
              <w:t>%</w:t>
            </w:r>
          </w:p>
        </w:tc>
      </w:tr>
      <w:tr w:rsidR="00B245E5" w:rsidRPr="00935CE1" w14:paraId="43CEB7C4" w14:textId="77777777" w:rsidTr="00BD2E60">
        <w:tc>
          <w:tcPr>
            <w:tcW w:w="2339" w:type="pct"/>
            <w:tcBorders>
              <w:top w:val="nil"/>
              <w:left w:val="single" w:sz="4" w:space="0" w:color="auto"/>
              <w:bottom w:val="single" w:sz="4" w:space="0" w:color="auto"/>
              <w:right w:val="nil"/>
            </w:tcBorders>
            <w:vAlign w:val="top"/>
          </w:tcPr>
          <w:p w14:paraId="094FD421" w14:textId="36A3D188" w:rsidR="00B245E5" w:rsidRPr="00935CE1" w:rsidRDefault="00B245E5" w:rsidP="007368C9">
            <w:pPr>
              <w:pStyle w:val="TableText0"/>
              <w:keepNext w:val="0"/>
              <w:numPr>
                <w:ilvl w:val="0"/>
                <w:numId w:val="12"/>
              </w:numPr>
              <w:ind w:left="257" w:hanging="257"/>
              <w:rPr>
                <w:iCs/>
              </w:rPr>
            </w:pPr>
            <w:r w:rsidRPr="00935CE1">
              <w:rPr>
                <w:iCs/>
              </w:rPr>
              <w:t>Exponential extrapolation of PFS and OS</w:t>
            </w:r>
          </w:p>
        </w:tc>
        <w:tc>
          <w:tcPr>
            <w:tcW w:w="580" w:type="pct"/>
            <w:tcBorders>
              <w:top w:val="nil"/>
              <w:left w:val="nil"/>
              <w:bottom w:val="single" w:sz="4" w:space="0" w:color="auto"/>
              <w:right w:val="nil"/>
            </w:tcBorders>
            <w:vAlign w:val="top"/>
          </w:tcPr>
          <w:p w14:paraId="5689B23B" w14:textId="55511477" w:rsidR="00B245E5" w:rsidRPr="00935CE1" w:rsidRDefault="00B245E5" w:rsidP="00B245E5">
            <w:pPr>
              <w:pStyle w:val="TableText0"/>
              <w:keepNext w:val="0"/>
              <w:jc w:val="center"/>
              <w:rPr>
                <w:iCs/>
              </w:rPr>
            </w:pPr>
            <w:r w:rsidRPr="00935CE1">
              <w:rPr>
                <w:iCs/>
              </w:rPr>
              <w:t>$</w:t>
            </w:r>
            <w:r w:rsidR="00BD6E95" w:rsidRPr="00BD6E95">
              <w:rPr>
                <w:iCs/>
                <w:color w:val="000000"/>
                <w:spacing w:val="53"/>
                <w:shd w:val="solid" w:color="000000" w:fill="000000"/>
                <w:fitText w:val="330" w:id="-632054009"/>
                <w14:textFill>
                  <w14:solidFill>
                    <w14:srgbClr w14:val="000000">
                      <w14:alpha w14:val="100000"/>
                    </w14:srgbClr>
                  </w14:solidFill>
                </w14:textFill>
              </w:rPr>
              <w:t>|||</w:t>
            </w:r>
            <w:r w:rsidR="00BD6E95" w:rsidRPr="00BD6E95">
              <w:rPr>
                <w:iCs/>
                <w:color w:val="000000"/>
                <w:spacing w:val="1"/>
                <w:shd w:val="solid" w:color="000000" w:fill="000000"/>
                <w:fitText w:val="330" w:id="-632054009"/>
                <w14:textFill>
                  <w14:solidFill>
                    <w14:srgbClr w14:val="000000">
                      <w14:alpha w14:val="100000"/>
                    </w14:srgbClr>
                  </w14:solidFill>
                </w14:textFill>
              </w:rPr>
              <w:t>|</w:t>
            </w:r>
          </w:p>
        </w:tc>
        <w:tc>
          <w:tcPr>
            <w:tcW w:w="580" w:type="pct"/>
            <w:tcBorders>
              <w:top w:val="nil"/>
              <w:left w:val="nil"/>
              <w:bottom w:val="single" w:sz="4" w:space="0" w:color="auto"/>
              <w:right w:val="nil"/>
            </w:tcBorders>
            <w:vAlign w:val="top"/>
          </w:tcPr>
          <w:p w14:paraId="7B875CC5" w14:textId="35774B10" w:rsidR="00B245E5" w:rsidRPr="00935CE1" w:rsidRDefault="00B245E5" w:rsidP="00B245E5">
            <w:pPr>
              <w:pStyle w:val="TableText0"/>
              <w:keepNext w:val="0"/>
              <w:jc w:val="center"/>
              <w:rPr>
                <w:iCs/>
              </w:rPr>
            </w:pPr>
            <w:r w:rsidRPr="00935CE1">
              <w:rPr>
                <w:iCs/>
              </w:rPr>
              <w:t>0.801</w:t>
            </w:r>
          </w:p>
        </w:tc>
        <w:tc>
          <w:tcPr>
            <w:tcW w:w="580" w:type="pct"/>
            <w:tcBorders>
              <w:top w:val="nil"/>
              <w:left w:val="nil"/>
              <w:bottom w:val="single" w:sz="4" w:space="0" w:color="auto"/>
              <w:right w:val="nil"/>
            </w:tcBorders>
            <w:vAlign w:val="top"/>
          </w:tcPr>
          <w:p w14:paraId="12FEDB85" w14:textId="635996AB" w:rsidR="00B245E5" w:rsidRPr="00935CE1" w:rsidRDefault="00B245E5" w:rsidP="00B245E5">
            <w:pPr>
              <w:pStyle w:val="TableText0"/>
              <w:keepNext w:val="0"/>
              <w:jc w:val="center"/>
              <w:rPr>
                <w:iCs/>
              </w:rPr>
            </w:pPr>
            <w:r w:rsidRPr="00935CE1">
              <w:rPr>
                <w:iCs/>
              </w:rPr>
              <w:t>$</w:t>
            </w:r>
            <w:r w:rsidR="00BD6E95" w:rsidRPr="00BD6E95">
              <w:rPr>
                <w:iCs/>
                <w:color w:val="000000"/>
                <w:spacing w:val="53"/>
                <w:shd w:val="solid" w:color="000000" w:fill="000000"/>
                <w:fitText w:val="330" w:id="-632054008"/>
                <w14:textFill>
                  <w14:solidFill>
                    <w14:srgbClr w14:val="000000">
                      <w14:alpha w14:val="100000"/>
                    </w14:srgbClr>
                  </w14:solidFill>
                </w14:textFill>
              </w:rPr>
              <w:t>|||</w:t>
            </w:r>
            <w:r w:rsidR="00BD6E95" w:rsidRPr="00BD6E95">
              <w:rPr>
                <w:iCs/>
                <w:color w:val="000000"/>
                <w:spacing w:val="1"/>
                <w:shd w:val="solid" w:color="000000" w:fill="000000"/>
                <w:fitText w:val="330" w:id="-632054008"/>
                <w14:textFill>
                  <w14:solidFill>
                    <w14:srgbClr w14:val="000000">
                      <w14:alpha w14:val="100000"/>
                    </w14:srgbClr>
                  </w14:solidFill>
                </w14:textFill>
              </w:rPr>
              <w:t>|</w:t>
            </w:r>
            <w:r w:rsidR="009D794C" w:rsidRPr="009D794C">
              <w:rPr>
                <w:iCs/>
                <w:vertAlign w:val="superscript"/>
              </w:rPr>
              <w:t>5</w:t>
            </w:r>
          </w:p>
        </w:tc>
        <w:tc>
          <w:tcPr>
            <w:tcW w:w="921" w:type="pct"/>
            <w:tcBorders>
              <w:top w:val="nil"/>
              <w:left w:val="nil"/>
              <w:bottom w:val="single" w:sz="4" w:space="0" w:color="auto"/>
              <w:right w:val="single" w:sz="4" w:space="0" w:color="auto"/>
            </w:tcBorders>
            <w:vAlign w:val="top"/>
          </w:tcPr>
          <w:p w14:paraId="56382ACC" w14:textId="6385EDDD" w:rsidR="00B245E5" w:rsidRPr="00935CE1" w:rsidRDefault="00BD6E95" w:rsidP="00B245E5">
            <w:pPr>
              <w:pStyle w:val="TableText0"/>
              <w:keepNext w:val="0"/>
              <w:jc w:val="center"/>
              <w:rPr>
                <w:iCs/>
              </w:rPr>
            </w:pPr>
            <w:r w:rsidRPr="00BD6E95">
              <w:rPr>
                <w:iCs/>
                <w:color w:val="000000"/>
                <w:spacing w:val="53"/>
                <w:shd w:val="solid" w:color="000000" w:fill="000000"/>
                <w:fitText w:val="330" w:id="-632054007"/>
                <w14:textFill>
                  <w14:solidFill>
                    <w14:srgbClr w14:val="000000">
                      <w14:alpha w14:val="100000"/>
                    </w14:srgbClr>
                  </w14:solidFill>
                </w14:textFill>
              </w:rPr>
              <w:t>|||</w:t>
            </w:r>
            <w:r w:rsidRPr="00BD6E95">
              <w:rPr>
                <w:iCs/>
                <w:color w:val="000000"/>
                <w:spacing w:val="1"/>
                <w:shd w:val="solid" w:color="000000" w:fill="000000"/>
                <w:fitText w:val="330" w:id="-632054007"/>
                <w14:textFill>
                  <w14:solidFill>
                    <w14:srgbClr w14:val="000000">
                      <w14:alpha w14:val="100000"/>
                    </w14:srgbClr>
                  </w14:solidFill>
                </w14:textFill>
              </w:rPr>
              <w:t>|</w:t>
            </w:r>
            <w:r w:rsidR="00B245E5" w:rsidRPr="00935CE1">
              <w:rPr>
                <w:iCs/>
              </w:rPr>
              <w:t>%</w:t>
            </w:r>
          </w:p>
        </w:tc>
      </w:tr>
      <w:tr w:rsidR="0013702B" w:rsidRPr="00935CE1" w14:paraId="3039D22B" w14:textId="77777777" w:rsidTr="00D50AE2">
        <w:tc>
          <w:tcPr>
            <w:tcW w:w="5000" w:type="pct"/>
            <w:gridSpan w:val="5"/>
            <w:tcBorders>
              <w:top w:val="single" w:sz="4" w:space="0" w:color="auto"/>
              <w:left w:val="single" w:sz="4" w:space="0" w:color="auto"/>
              <w:bottom w:val="nil"/>
              <w:right w:val="single" w:sz="4" w:space="0" w:color="auto"/>
            </w:tcBorders>
          </w:tcPr>
          <w:p w14:paraId="553D6ADF" w14:textId="0395B122" w:rsidR="0013702B" w:rsidRPr="00935CE1" w:rsidRDefault="0013702B" w:rsidP="0013702B">
            <w:pPr>
              <w:pStyle w:val="TableText0"/>
              <w:keepNext w:val="0"/>
              <w:rPr>
                <w:b/>
                <w:bCs w:val="0"/>
                <w:iCs/>
              </w:rPr>
            </w:pPr>
            <w:r w:rsidRPr="00935CE1">
              <w:rPr>
                <w:b/>
                <w:bCs w:val="0"/>
                <w:iCs/>
              </w:rPr>
              <w:t>Time points for Kaplan-Meier truncation (base case: maximum follow-up in shortest arm)</w:t>
            </w:r>
          </w:p>
        </w:tc>
      </w:tr>
      <w:tr w:rsidR="0013702B" w:rsidRPr="00935CE1" w14:paraId="738DAA99" w14:textId="77777777" w:rsidTr="00BD2E60">
        <w:tc>
          <w:tcPr>
            <w:tcW w:w="2339" w:type="pct"/>
            <w:tcBorders>
              <w:top w:val="nil"/>
              <w:left w:val="single" w:sz="4" w:space="0" w:color="auto"/>
              <w:bottom w:val="nil"/>
              <w:right w:val="nil"/>
            </w:tcBorders>
            <w:vAlign w:val="top"/>
          </w:tcPr>
          <w:p w14:paraId="35407757" w14:textId="77777777" w:rsidR="0013702B" w:rsidRPr="00935CE1" w:rsidRDefault="0013702B" w:rsidP="007368C9">
            <w:pPr>
              <w:pStyle w:val="TableText0"/>
              <w:keepNext w:val="0"/>
              <w:numPr>
                <w:ilvl w:val="0"/>
                <w:numId w:val="12"/>
              </w:numPr>
              <w:ind w:left="257" w:hanging="257"/>
              <w:rPr>
                <w:iCs/>
              </w:rPr>
            </w:pPr>
            <w:r w:rsidRPr="00935CE1">
              <w:rPr>
                <w:iCs/>
              </w:rPr>
              <w:t>Mean overall follow-up for PFS (15.7) &amp; OS (20.7)</w:t>
            </w:r>
          </w:p>
        </w:tc>
        <w:tc>
          <w:tcPr>
            <w:tcW w:w="580" w:type="pct"/>
            <w:tcBorders>
              <w:top w:val="nil"/>
              <w:left w:val="nil"/>
              <w:bottom w:val="nil"/>
              <w:right w:val="nil"/>
            </w:tcBorders>
            <w:vAlign w:val="top"/>
          </w:tcPr>
          <w:p w14:paraId="052F1588" w14:textId="66E7B842"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4006"/>
                <w14:textFill>
                  <w14:solidFill>
                    <w14:srgbClr w14:val="000000">
                      <w14:alpha w14:val="100000"/>
                    </w14:srgbClr>
                  </w14:solidFill>
                </w14:textFill>
              </w:rPr>
              <w:t>|||</w:t>
            </w:r>
            <w:r w:rsidR="00BD6E95" w:rsidRPr="00BD6E95">
              <w:rPr>
                <w:iCs/>
                <w:color w:val="000000"/>
                <w:spacing w:val="1"/>
                <w:shd w:val="solid" w:color="000000" w:fill="000000"/>
                <w:fitText w:val="330" w:id="-632054006"/>
                <w14:textFill>
                  <w14:solidFill>
                    <w14:srgbClr w14:val="000000">
                      <w14:alpha w14:val="100000"/>
                    </w14:srgbClr>
                  </w14:solidFill>
                </w14:textFill>
              </w:rPr>
              <w:t>|</w:t>
            </w:r>
          </w:p>
        </w:tc>
        <w:tc>
          <w:tcPr>
            <w:tcW w:w="580" w:type="pct"/>
            <w:tcBorders>
              <w:top w:val="nil"/>
              <w:left w:val="nil"/>
              <w:bottom w:val="nil"/>
              <w:right w:val="nil"/>
            </w:tcBorders>
            <w:vAlign w:val="top"/>
          </w:tcPr>
          <w:p w14:paraId="7A59BC79" w14:textId="77777777" w:rsidR="0013702B" w:rsidRPr="00935CE1" w:rsidRDefault="0013702B" w:rsidP="0013702B">
            <w:pPr>
              <w:pStyle w:val="TableText0"/>
              <w:keepNext w:val="0"/>
              <w:jc w:val="center"/>
              <w:rPr>
                <w:iCs/>
              </w:rPr>
            </w:pPr>
            <w:r w:rsidRPr="00935CE1">
              <w:rPr>
                <w:iCs/>
              </w:rPr>
              <w:t>1.489</w:t>
            </w:r>
          </w:p>
        </w:tc>
        <w:tc>
          <w:tcPr>
            <w:tcW w:w="580" w:type="pct"/>
            <w:tcBorders>
              <w:top w:val="nil"/>
              <w:left w:val="nil"/>
              <w:bottom w:val="nil"/>
              <w:right w:val="nil"/>
            </w:tcBorders>
            <w:vAlign w:val="top"/>
          </w:tcPr>
          <w:p w14:paraId="5FA06564" w14:textId="62D16628"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4005"/>
                <w14:textFill>
                  <w14:solidFill>
                    <w14:srgbClr w14:val="000000">
                      <w14:alpha w14:val="100000"/>
                    </w14:srgbClr>
                  </w14:solidFill>
                </w14:textFill>
              </w:rPr>
              <w:t>|||</w:t>
            </w:r>
            <w:r w:rsidR="00BD6E95" w:rsidRPr="00BD6E95">
              <w:rPr>
                <w:iCs/>
                <w:color w:val="000000"/>
                <w:spacing w:val="1"/>
                <w:shd w:val="solid" w:color="000000" w:fill="000000"/>
                <w:fitText w:val="330" w:id="-632054005"/>
                <w14:textFill>
                  <w14:solidFill>
                    <w14:srgbClr w14:val="000000">
                      <w14:alpha w14:val="100000"/>
                    </w14:srgbClr>
                  </w14:solidFill>
                </w14:textFill>
              </w:rPr>
              <w:t>|</w:t>
            </w:r>
            <w:r w:rsidR="0024178E" w:rsidRPr="00B1126B">
              <w:rPr>
                <w:iCs/>
                <w:vertAlign w:val="superscript"/>
              </w:rPr>
              <w:t>2</w:t>
            </w:r>
          </w:p>
        </w:tc>
        <w:tc>
          <w:tcPr>
            <w:tcW w:w="921" w:type="pct"/>
            <w:tcBorders>
              <w:top w:val="nil"/>
              <w:left w:val="nil"/>
              <w:bottom w:val="nil"/>
              <w:right w:val="single" w:sz="4" w:space="0" w:color="auto"/>
            </w:tcBorders>
            <w:vAlign w:val="top"/>
          </w:tcPr>
          <w:p w14:paraId="275E9BD9" w14:textId="2AA01B34" w:rsidR="0013702B" w:rsidRPr="00935CE1" w:rsidRDefault="00BD6E95" w:rsidP="0013702B">
            <w:pPr>
              <w:pStyle w:val="TableText0"/>
              <w:keepNext w:val="0"/>
              <w:jc w:val="center"/>
              <w:rPr>
                <w:iCs/>
              </w:rPr>
            </w:pPr>
            <w:r w:rsidRPr="00BD6E95">
              <w:rPr>
                <w:iCs/>
                <w:color w:val="000000"/>
                <w:spacing w:val="53"/>
                <w:shd w:val="solid" w:color="000000" w:fill="000000"/>
                <w:fitText w:val="330" w:id="-632054004"/>
                <w14:textFill>
                  <w14:solidFill>
                    <w14:srgbClr w14:val="000000">
                      <w14:alpha w14:val="100000"/>
                    </w14:srgbClr>
                  </w14:solidFill>
                </w14:textFill>
              </w:rPr>
              <w:t>|||</w:t>
            </w:r>
            <w:r w:rsidRPr="00BD6E95">
              <w:rPr>
                <w:iCs/>
                <w:color w:val="000000"/>
                <w:spacing w:val="1"/>
                <w:shd w:val="solid" w:color="000000" w:fill="000000"/>
                <w:fitText w:val="330" w:id="-632054004"/>
                <w14:textFill>
                  <w14:solidFill>
                    <w14:srgbClr w14:val="000000">
                      <w14:alpha w14:val="100000"/>
                    </w14:srgbClr>
                  </w14:solidFill>
                </w14:textFill>
              </w:rPr>
              <w:t>|</w:t>
            </w:r>
            <w:r w:rsidR="0013702B" w:rsidRPr="00935CE1">
              <w:rPr>
                <w:iCs/>
              </w:rPr>
              <w:t>%</w:t>
            </w:r>
          </w:p>
        </w:tc>
      </w:tr>
      <w:tr w:rsidR="0013702B" w:rsidRPr="00935CE1" w14:paraId="03DFF845" w14:textId="77777777" w:rsidTr="00BD2E60">
        <w:tc>
          <w:tcPr>
            <w:tcW w:w="2339" w:type="pct"/>
            <w:tcBorders>
              <w:top w:val="nil"/>
              <w:left w:val="single" w:sz="4" w:space="0" w:color="auto"/>
              <w:bottom w:val="nil"/>
              <w:right w:val="nil"/>
            </w:tcBorders>
            <w:vAlign w:val="top"/>
          </w:tcPr>
          <w:p w14:paraId="20519276" w14:textId="77777777" w:rsidR="0013702B" w:rsidRPr="00935CE1" w:rsidRDefault="0013702B" w:rsidP="007368C9">
            <w:pPr>
              <w:pStyle w:val="TableText0"/>
              <w:keepNext w:val="0"/>
              <w:numPr>
                <w:ilvl w:val="0"/>
                <w:numId w:val="12"/>
              </w:numPr>
              <w:ind w:left="257" w:hanging="257"/>
              <w:rPr>
                <w:iCs/>
              </w:rPr>
            </w:pPr>
            <w:r w:rsidRPr="00935CE1">
              <w:rPr>
                <w:iCs/>
              </w:rPr>
              <w:t>Mean overall follow-up for PFS (15.7)</w:t>
            </w:r>
          </w:p>
        </w:tc>
        <w:tc>
          <w:tcPr>
            <w:tcW w:w="580" w:type="pct"/>
            <w:tcBorders>
              <w:top w:val="nil"/>
              <w:left w:val="nil"/>
              <w:bottom w:val="nil"/>
              <w:right w:val="nil"/>
            </w:tcBorders>
            <w:vAlign w:val="top"/>
          </w:tcPr>
          <w:p w14:paraId="746C7C90" w14:textId="75FFBEF8"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4003"/>
                <w14:textFill>
                  <w14:solidFill>
                    <w14:srgbClr w14:val="000000">
                      <w14:alpha w14:val="100000"/>
                    </w14:srgbClr>
                  </w14:solidFill>
                </w14:textFill>
              </w:rPr>
              <w:t>|||</w:t>
            </w:r>
            <w:r w:rsidR="00BD6E95" w:rsidRPr="00BD6E95">
              <w:rPr>
                <w:iCs/>
                <w:color w:val="000000"/>
                <w:spacing w:val="1"/>
                <w:shd w:val="solid" w:color="000000" w:fill="000000"/>
                <w:fitText w:val="330" w:id="-632054003"/>
                <w14:textFill>
                  <w14:solidFill>
                    <w14:srgbClr w14:val="000000">
                      <w14:alpha w14:val="100000"/>
                    </w14:srgbClr>
                  </w14:solidFill>
                </w14:textFill>
              </w:rPr>
              <w:t>|</w:t>
            </w:r>
          </w:p>
        </w:tc>
        <w:tc>
          <w:tcPr>
            <w:tcW w:w="580" w:type="pct"/>
            <w:tcBorders>
              <w:top w:val="nil"/>
              <w:left w:val="nil"/>
              <w:bottom w:val="nil"/>
              <w:right w:val="nil"/>
            </w:tcBorders>
            <w:vAlign w:val="top"/>
          </w:tcPr>
          <w:p w14:paraId="00F391A5" w14:textId="77777777" w:rsidR="0013702B" w:rsidRPr="00935CE1" w:rsidRDefault="0013702B" w:rsidP="0013702B">
            <w:pPr>
              <w:pStyle w:val="TableText0"/>
              <w:keepNext w:val="0"/>
              <w:jc w:val="center"/>
              <w:rPr>
                <w:iCs/>
              </w:rPr>
            </w:pPr>
            <w:r w:rsidRPr="00935CE1">
              <w:rPr>
                <w:iCs/>
              </w:rPr>
              <w:t>1.548</w:t>
            </w:r>
          </w:p>
        </w:tc>
        <w:tc>
          <w:tcPr>
            <w:tcW w:w="580" w:type="pct"/>
            <w:tcBorders>
              <w:top w:val="nil"/>
              <w:left w:val="nil"/>
              <w:bottom w:val="nil"/>
              <w:right w:val="nil"/>
            </w:tcBorders>
            <w:vAlign w:val="top"/>
          </w:tcPr>
          <w:p w14:paraId="1B272369" w14:textId="4501E2FE"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4002"/>
                <w14:textFill>
                  <w14:solidFill>
                    <w14:srgbClr w14:val="000000">
                      <w14:alpha w14:val="100000"/>
                    </w14:srgbClr>
                  </w14:solidFill>
                </w14:textFill>
              </w:rPr>
              <w:t>|||</w:t>
            </w:r>
            <w:r w:rsidR="00BD6E95" w:rsidRPr="00BD6E95">
              <w:rPr>
                <w:iCs/>
                <w:color w:val="000000"/>
                <w:spacing w:val="1"/>
                <w:shd w:val="solid" w:color="000000" w:fill="000000"/>
                <w:fitText w:val="330" w:id="-632054002"/>
                <w14:textFill>
                  <w14:solidFill>
                    <w14:srgbClr w14:val="000000">
                      <w14:alpha w14:val="100000"/>
                    </w14:srgbClr>
                  </w14:solidFill>
                </w14:textFill>
              </w:rPr>
              <w:t>|</w:t>
            </w:r>
            <w:r w:rsidR="0024178E" w:rsidRPr="00B1126B">
              <w:rPr>
                <w:iCs/>
                <w:vertAlign w:val="superscript"/>
              </w:rPr>
              <w:t>2</w:t>
            </w:r>
          </w:p>
        </w:tc>
        <w:tc>
          <w:tcPr>
            <w:tcW w:w="921" w:type="pct"/>
            <w:tcBorders>
              <w:top w:val="nil"/>
              <w:left w:val="nil"/>
              <w:bottom w:val="nil"/>
              <w:right w:val="single" w:sz="4" w:space="0" w:color="auto"/>
            </w:tcBorders>
            <w:vAlign w:val="top"/>
          </w:tcPr>
          <w:p w14:paraId="47863D06" w14:textId="2D355AEA" w:rsidR="0013702B" w:rsidRPr="00935CE1" w:rsidRDefault="00BD6E95" w:rsidP="0013702B">
            <w:pPr>
              <w:pStyle w:val="TableText0"/>
              <w:keepNext w:val="0"/>
              <w:jc w:val="center"/>
              <w:rPr>
                <w:iCs/>
              </w:rPr>
            </w:pPr>
            <w:r w:rsidRPr="00BD6E95">
              <w:rPr>
                <w:iCs/>
                <w:color w:val="000000"/>
                <w:spacing w:val="53"/>
                <w:shd w:val="solid" w:color="000000" w:fill="000000"/>
                <w:fitText w:val="330" w:id="-632054001"/>
                <w14:textFill>
                  <w14:solidFill>
                    <w14:srgbClr w14:val="000000">
                      <w14:alpha w14:val="100000"/>
                    </w14:srgbClr>
                  </w14:solidFill>
                </w14:textFill>
              </w:rPr>
              <w:t>|||</w:t>
            </w:r>
            <w:r w:rsidRPr="00BD6E95">
              <w:rPr>
                <w:iCs/>
                <w:color w:val="000000"/>
                <w:spacing w:val="1"/>
                <w:shd w:val="solid" w:color="000000" w:fill="000000"/>
                <w:fitText w:val="330" w:id="-632054001"/>
                <w14:textFill>
                  <w14:solidFill>
                    <w14:srgbClr w14:val="000000">
                      <w14:alpha w14:val="100000"/>
                    </w14:srgbClr>
                  </w14:solidFill>
                </w14:textFill>
              </w:rPr>
              <w:t>|</w:t>
            </w:r>
            <w:r w:rsidR="0013702B" w:rsidRPr="00935CE1">
              <w:rPr>
                <w:iCs/>
              </w:rPr>
              <w:t>%</w:t>
            </w:r>
          </w:p>
        </w:tc>
      </w:tr>
      <w:tr w:rsidR="00A93AF5" w:rsidRPr="00935CE1" w14:paraId="00CFBAA0" w14:textId="77777777" w:rsidTr="00BD2E60">
        <w:tc>
          <w:tcPr>
            <w:tcW w:w="2339" w:type="pct"/>
            <w:tcBorders>
              <w:top w:val="nil"/>
              <w:left w:val="single" w:sz="4" w:space="0" w:color="auto"/>
              <w:bottom w:val="nil"/>
              <w:right w:val="nil"/>
            </w:tcBorders>
            <w:vAlign w:val="top"/>
          </w:tcPr>
          <w:p w14:paraId="42442C35" w14:textId="77777777" w:rsidR="00A93AF5" w:rsidRPr="00935CE1" w:rsidRDefault="00A93AF5" w:rsidP="007368C9">
            <w:pPr>
              <w:pStyle w:val="TableText0"/>
              <w:keepNext w:val="0"/>
              <w:numPr>
                <w:ilvl w:val="0"/>
                <w:numId w:val="12"/>
              </w:numPr>
              <w:ind w:left="257" w:hanging="257"/>
              <w:rPr>
                <w:iCs/>
              </w:rPr>
            </w:pPr>
            <w:r w:rsidRPr="00935CE1">
              <w:rPr>
                <w:iCs/>
              </w:rPr>
              <w:t>Mean treatment-specific follow-up for PFS (16.3 for Glofit-GemOx and 8.6 months for R-</w:t>
            </w:r>
            <w:proofErr w:type="spellStart"/>
            <w:r w:rsidRPr="00935CE1">
              <w:rPr>
                <w:iCs/>
              </w:rPr>
              <w:t>GemOx</w:t>
            </w:r>
            <w:proofErr w:type="spellEnd"/>
            <w:r w:rsidRPr="00935CE1">
              <w:rPr>
                <w:iCs/>
              </w:rPr>
              <w:t>)</w:t>
            </w:r>
          </w:p>
        </w:tc>
        <w:tc>
          <w:tcPr>
            <w:tcW w:w="580" w:type="pct"/>
            <w:tcBorders>
              <w:top w:val="nil"/>
              <w:left w:val="nil"/>
              <w:bottom w:val="nil"/>
              <w:right w:val="nil"/>
            </w:tcBorders>
            <w:vAlign w:val="top"/>
          </w:tcPr>
          <w:p w14:paraId="4C60CF7C" w14:textId="42E276F3" w:rsidR="00A93AF5" w:rsidRPr="00935CE1" w:rsidRDefault="00A93AF5" w:rsidP="00A93AF5">
            <w:pPr>
              <w:pStyle w:val="TableText0"/>
              <w:keepNext w:val="0"/>
              <w:jc w:val="center"/>
              <w:rPr>
                <w:iCs/>
              </w:rPr>
            </w:pPr>
            <w:r w:rsidRPr="00935CE1">
              <w:rPr>
                <w:iCs/>
              </w:rPr>
              <w:t>$</w:t>
            </w:r>
            <w:r w:rsidR="00BD6E95" w:rsidRPr="00BD6E95">
              <w:rPr>
                <w:iCs/>
                <w:color w:val="000000"/>
                <w:spacing w:val="53"/>
                <w:shd w:val="solid" w:color="000000" w:fill="000000"/>
                <w:fitText w:val="330" w:id="-632054000"/>
                <w14:textFill>
                  <w14:solidFill>
                    <w14:srgbClr w14:val="000000">
                      <w14:alpha w14:val="100000"/>
                    </w14:srgbClr>
                  </w14:solidFill>
                </w14:textFill>
              </w:rPr>
              <w:t>|||</w:t>
            </w:r>
            <w:r w:rsidR="00BD6E95" w:rsidRPr="00BD6E95">
              <w:rPr>
                <w:iCs/>
                <w:color w:val="000000"/>
                <w:spacing w:val="1"/>
                <w:shd w:val="solid" w:color="000000" w:fill="000000"/>
                <w:fitText w:val="330" w:id="-632054000"/>
                <w14:textFill>
                  <w14:solidFill>
                    <w14:srgbClr w14:val="000000">
                      <w14:alpha w14:val="100000"/>
                    </w14:srgbClr>
                  </w14:solidFill>
                </w14:textFill>
              </w:rPr>
              <w:t>|</w:t>
            </w:r>
          </w:p>
        </w:tc>
        <w:tc>
          <w:tcPr>
            <w:tcW w:w="580" w:type="pct"/>
            <w:tcBorders>
              <w:top w:val="nil"/>
              <w:left w:val="nil"/>
              <w:bottom w:val="nil"/>
              <w:right w:val="nil"/>
            </w:tcBorders>
            <w:vAlign w:val="top"/>
          </w:tcPr>
          <w:p w14:paraId="3904A6E8" w14:textId="742AE4EC" w:rsidR="00A93AF5" w:rsidRPr="00935CE1" w:rsidRDefault="00A93AF5" w:rsidP="00A93AF5">
            <w:pPr>
              <w:pStyle w:val="TableText0"/>
              <w:keepNext w:val="0"/>
              <w:jc w:val="center"/>
              <w:rPr>
                <w:iCs/>
              </w:rPr>
            </w:pPr>
            <w:r w:rsidRPr="00935CE1">
              <w:rPr>
                <w:iCs/>
              </w:rPr>
              <w:t>1.554</w:t>
            </w:r>
          </w:p>
        </w:tc>
        <w:tc>
          <w:tcPr>
            <w:tcW w:w="580" w:type="pct"/>
            <w:tcBorders>
              <w:top w:val="nil"/>
              <w:left w:val="nil"/>
              <w:bottom w:val="nil"/>
              <w:right w:val="nil"/>
            </w:tcBorders>
            <w:vAlign w:val="top"/>
          </w:tcPr>
          <w:p w14:paraId="0283EA7A" w14:textId="554EC1FB" w:rsidR="00A93AF5" w:rsidRPr="00935CE1" w:rsidRDefault="00A93AF5" w:rsidP="00A93AF5">
            <w:pPr>
              <w:pStyle w:val="TableText0"/>
              <w:keepNext w:val="0"/>
              <w:jc w:val="center"/>
              <w:rPr>
                <w:iCs/>
              </w:rPr>
            </w:pPr>
            <w:r w:rsidRPr="00935CE1">
              <w:rPr>
                <w:iCs/>
              </w:rPr>
              <w:t>$</w:t>
            </w:r>
            <w:r w:rsidR="00BD6E95" w:rsidRPr="00BD6E95">
              <w:rPr>
                <w:iCs/>
                <w:color w:val="000000"/>
                <w:spacing w:val="53"/>
                <w:shd w:val="solid" w:color="000000" w:fill="000000"/>
                <w:fitText w:val="330" w:id="-632054016"/>
                <w14:textFill>
                  <w14:solidFill>
                    <w14:srgbClr w14:val="000000">
                      <w14:alpha w14:val="100000"/>
                    </w14:srgbClr>
                  </w14:solidFill>
                </w14:textFill>
              </w:rPr>
              <w:t>|||</w:t>
            </w:r>
            <w:r w:rsidR="00BD6E95" w:rsidRPr="00BD6E95">
              <w:rPr>
                <w:iCs/>
                <w:color w:val="000000"/>
                <w:spacing w:val="1"/>
                <w:shd w:val="solid" w:color="000000" w:fill="000000"/>
                <w:fitText w:val="330" w:id="-632054016"/>
                <w14:textFill>
                  <w14:solidFill>
                    <w14:srgbClr w14:val="000000">
                      <w14:alpha w14:val="100000"/>
                    </w14:srgbClr>
                  </w14:solidFill>
                </w14:textFill>
              </w:rPr>
              <w:t>|</w:t>
            </w:r>
            <w:r w:rsidR="0024178E" w:rsidRPr="00B1126B">
              <w:rPr>
                <w:iCs/>
                <w:vertAlign w:val="superscript"/>
              </w:rPr>
              <w:t>2</w:t>
            </w:r>
          </w:p>
        </w:tc>
        <w:tc>
          <w:tcPr>
            <w:tcW w:w="921" w:type="pct"/>
            <w:tcBorders>
              <w:top w:val="nil"/>
              <w:left w:val="nil"/>
              <w:bottom w:val="nil"/>
              <w:right w:val="single" w:sz="4" w:space="0" w:color="auto"/>
            </w:tcBorders>
            <w:vAlign w:val="top"/>
          </w:tcPr>
          <w:p w14:paraId="19C6F5C8" w14:textId="5C3F6081" w:rsidR="00A93AF5" w:rsidRPr="00935CE1" w:rsidRDefault="00BD6E95" w:rsidP="00A93AF5">
            <w:pPr>
              <w:pStyle w:val="TableText0"/>
              <w:keepNext w:val="0"/>
              <w:jc w:val="center"/>
              <w:rPr>
                <w:iCs/>
              </w:rPr>
            </w:pPr>
            <w:r w:rsidRPr="00BD6E95">
              <w:rPr>
                <w:iCs/>
                <w:color w:val="000000"/>
                <w:spacing w:val="53"/>
                <w:shd w:val="solid" w:color="000000" w:fill="000000"/>
                <w:fitText w:val="330" w:id="-632053760"/>
                <w14:textFill>
                  <w14:solidFill>
                    <w14:srgbClr w14:val="000000">
                      <w14:alpha w14:val="100000"/>
                    </w14:srgbClr>
                  </w14:solidFill>
                </w14:textFill>
              </w:rPr>
              <w:t>|||</w:t>
            </w:r>
            <w:r w:rsidRPr="00BD6E95">
              <w:rPr>
                <w:iCs/>
                <w:color w:val="000000"/>
                <w:spacing w:val="1"/>
                <w:shd w:val="solid" w:color="000000" w:fill="000000"/>
                <w:fitText w:val="330" w:id="-632053760"/>
                <w14:textFill>
                  <w14:solidFill>
                    <w14:srgbClr w14:val="000000">
                      <w14:alpha w14:val="100000"/>
                    </w14:srgbClr>
                  </w14:solidFill>
                </w14:textFill>
              </w:rPr>
              <w:t>|</w:t>
            </w:r>
            <w:r w:rsidR="00A93AF5" w:rsidRPr="00935CE1">
              <w:rPr>
                <w:iCs/>
              </w:rPr>
              <w:t>%</w:t>
            </w:r>
          </w:p>
        </w:tc>
      </w:tr>
      <w:tr w:rsidR="0013702B" w:rsidRPr="00935CE1" w14:paraId="5D48B78A" w14:textId="77777777" w:rsidTr="00BD2E60">
        <w:tc>
          <w:tcPr>
            <w:tcW w:w="2339" w:type="pct"/>
            <w:tcBorders>
              <w:top w:val="nil"/>
              <w:left w:val="single" w:sz="4" w:space="0" w:color="auto"/>
              <w:bottom w:val="nil"/>
              <w:right w:val="nil"/>
            </w:tcBorders>
            <w:vAlign w:val="top"/>
          </w:tcPr>
          <w:p w14:paraId="3C3742C0" w14:textId="77777777" w:rsidR="0013702B" w:rsidRPr="00935CE1" w:rsidRDefault="0013702B" w:rsidP="007368C9">
            <w:pPr>
              <w:pStyle w:val="TableText0"/>
              <w:keepNext w:val="0"/>
              <w:numPr>
                <w:ilvl w:val="0"/>
                <w:numId w:val="12"/>
              </w:numPr>
              <w:ind w:left="257" w:hanging="257"/>
              <w:rPr>
                <w:iCs/>
              </w:rPr>
            </w:pPr>
            <w:r w:rsidRPr="00935CE1">
              <w:rPr>
                <w:iCs/>
              </w:rPr>
              <w:t>Mean overall follow-up for OS (20.7)</w:t>
            </w:r>
          </w:p>
        </w:tc>
        <w:tc>
          <w:tcPr>
            <w:tcW w:w="580" w:type="pct"/>
            <w:tcBorders>
              <w:top w:val="nil"/>
              <w:left w:val="nil"/>
              <w:bottom w:val="nil"/>
              <w:right w:val="nil"/>
            </w:tcBorders>
            <w:vAlign w:val="top"/>
          </w:tcPr>
          <w:p w14:paraId="2F088330" w14:textId="64617FBE"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9"/>
                <w14:textFill>
                  <w14:solidFill>
                    <w14:srgbClr w14:val="000000">
                      <w14:alpha w14:val="100000"/>
                    </w14:srgbClr>
                  </w14:solidFill>
                </w14:textFill>
              </w:rPr>
              <w:t>|||</w:t>
            </w:r>
            <w:r w:rsidR="00BD6E95" w:rsidRPr="00BD6E95">
              <w:rPr>
                <w:iCs/>
                <w:color w:val="000000"/>
                <w:spacing w:val="1"/>
                <w:shd w:val="solid" w:color="000000" w:fill="000000"/>
                <w:fitText w:val="330" w:id="-632053759"/>
                <w14:textFill>
                  <w14:solidFill>
                    <w14:srgbClr w14:val="000000">
                      <w14:alpha w14:val="100000"/>
                    </w14:srgbClr>
                  </w14:solidFill>
                </w14:textFill>
              </w:rPr>
              <w:t>|</w:t>
            </w:r>
          </w:p>
        </w:tc>
        <w:tc>
          <w:tcPr>
            <w:tcW w:w="580" w:type="pct"/>
            <w:tcBorders>
              <w:top w:val="nil"/>
              <w:left w:val="nil"/>
              <w:bottom w:val="nil"/>
              <w:right w:val="nil"/>
            </w:tcBorders>
            <w:vAlign w:val="top"/>
          </w:tcPr>
          <w:p w14:paraId="749D99A8" w14:textId="77777777" w:rsidR="0013702B" w:rsidRPr="00935CE1" w:rsidRDefault="0013702B" w:rsidP="0013702B">
            <w:pPr>
              <w:pStyle w:val="TableText0"/>
              <w:keepNext w:val="0"/>
              <w:jc w:val="center"/>
              <w:rPr>
                <w:iCs/>
              </w:rPr>
            </w:pPr>
            <w:r w:rsidRPr="00935CE1">
              <w:rPr>
                <w:iCs/>
              </w:rPr>
              <w:t>1.508</w:t>
            </w:r>
          </w:p>
        </w:tc>
        <w:tc>
          <w:tcPr>
            <w:tcW w:w="580" w:type="pct"/>
            <w:tcBorders>
              <w:top w:val="nil"/>
              <w:left w:val="nil"/>
              <w:bottom w:val="nil"/>
              <w:right w:val="nil"/>
            </w:tcBorders>
            <w:vAlign w:val="top"/>
          </w:tcPr>
          <w:p w14:paraId="5D1CBE56" w14:textId="0AC14FE6"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8"/>
                <w14:textFill>
                  <w14:solidFill>
                    <w14:srgbClr w14:val="000000">
                      <w14:alpha w14:val="100000"/>
                    </w14:srgbClr>
                  </w14:solidFill>
                </w14:textFill>
              </w:rPr>
              <w:t>|||</w:t>
            </w:r>
            <w:r w:rsidR="00BD6E95" w:rsidRPr="00BD6E95">
              <w:rPr>
                <w:iCs/>
                <w:color w:val="000000"/>
                <w:spacing w:val="1"/>
                <w:shd w:val="solid" w:color="000000" w:fill="000000"/>
                <w:fitText w:val="330" w:id="-632053758"/>
                <w14:textFill>
                  <w14:solidFill>
                    <w14:srgbClr w14:val="000000">
                      <w14:alpha w14:val="100000"/>
                    </w14:srgbClr>
                  </w14:solidFill>
                </w14:textFill>
              </w:rPr>
              <w:t>|</w:t>
            </w:r>
            <w:r w:rsidR="0024178E" w:rsidRPr="00B1126B">
              <w:rPr>
                <w:iCs/>
                <w:vertAlign w:val="superscript"/>
              </w:rPr>
              <w:t>2</w:t>
            </w:r>
          </w:p>
        </w:tc>
        <w:tc>
          <w:tcPr>
            <w:tcW w:w="921" w:type="pct"/>
            <w:tcBorders>
              <w:top w:val="nil"/>
              <w:left w:val="nil"/>
              <w:bottom w:val="nil"/>
              <w:right w:val="single" w:sz="4" w:space="0" w:color="auto"/>
            </w:tcBorders>
            <w:vAlign w:val="top"/>
          </w:tcPr>
          <w:p w14:paraId="32BED045" w14:textId="144913A6" w:rsidR="0013702B" w:rsidRPr="00935CE1" w:rsidRDefault="00BD6E95" w:rsidP="0013702B">
            <w:pPr>
              <w:pStyle w:val="TableText0"/>
              <w:keepNext w:val="0"/>
              <w:jc w:val="center"/>
              <w:rPr>
                <w:iCs/>
              </w:rPr>
            </w:pPr>
            <w:r w:rsidRPr="00BD6E95">
              <w:rPr>
                <w:iCs/>
                <w:color w:val="000000"/>
                <w:spacing w:val="53"/>
                <w:shd w:val="solid" w:color="000000" w:fill="000000"/>
                <w:fitText w:val="330" w:id="-632053757"/>
                <w14:textFill>
                  <w14:solidFill>
                    <w14:srgbClr w14:val="000000">
                      <w14:alpha w14:val="100000"/>
                    </w14:srgbClr>
                  </w14:solidFill>
                </w14:textFill>
              </w:rPr>
              <w:t>|||</w:t>
            </w:r>
            <w:r w:rsidRPr="00BD6E95">
              <w:rPr>
                <w:iCs/>
                <w:color w:val="000000"/>
                <w:spacing w:val="1"/>
                <w:shd w:val="solid" w:color="000000" w:fill="000000"/>
                <w:fitText w:val="330" w:id="-632053757"/>
                <w14:textFill>
                  <w14:solidFill>
                    <w14:srgbClr w14:val="000000">
                      <w14:alpha w14:val="100000"/>
                    </w14:srgbClr>
                  </w14:solidFill>
                </w14:textFill>
              </w:rPr>
              <w:t>|</w:t>
            </w:r>
            <w:r w:rsidR="0013702B" w:rsidRPr="00935CE1">
              <w:rPr>
                <w:iCs/>
              </w:rPr>
              <w:t>%</w:t>
            </w:r>
          </w:p>
        </w:tc>
      </w:tr>
      <w:tr w:rsidR="00A93AF5" w:rsidRPr="00935CE1" w14:paraId="64108B98" w14:textId="77777777" w:rsidTr="00BD2E60">
        <w:tc>
          <w:tcPr>
            <w:tcW w:w="2339" w:type="pct"/>
            <w:tcBorders>
              <w:top w:val="nil"/>
              <w:left w:val="single" w:sz="4" w:space="0" w:color="auto"/>
              <w:bottom w:val="single" w:sz="4" w:space="0" w:color="auto"/>
              <w:right w:val="nil"/>
            </w:tcBorders>
            <w:vAlign w:val="top"/>
          </w:tcPr>
          <w:p w14:paraId="49B6061E" w14:textId="77777777" w:rsidR="00A93AF5" w:rsidRPr="00935CE1" w:rsidRDefault="00A93AF5" w:rsidP="007368C9">
            <w:pPr>
              <w:pStyle w:val="TableText0"/>
              <w:keepNext w:val="0"/>
              <w:numPr>
                <w:ilvl w:val="0"/>
                <w:numId w:val="12"/>
              </w:numPr>
              <w:ind w:left="257" w:hanging="257"/>
              <w:rPr>
                <w:iCs/>
              </w:rPr>
            </w:pPr>
            <w:r w:rsidRPr="00935CE1">
              <w:rPr>
                <w:iCs/>
              </w:rPr>
              <w:t>Mean treatment-specific follow-up for OS (22.5 for Glofit-GemOx and 19.7 months for R-</w:t>
            </w:r>
            <w:proofErr w:type="spellStart"/>
            <w:r w:rsidRPr="00935CE1">
              <w:rPr>
                <w:iCs/>
              </w:rPr>
              <w:t>GemOx</w:t>
            </w:r>
            <w:proofErr w:type="spellEnd"/>
            <w:r w:rsidRPr="00935CE1">
              <w:rPr>
                <w:iCs/>
              </w:rPr>
              <w:t>)</w:t>
            </w:r>
          </w:p>
        </w:tc>
        <w:tc>
          <w:tcPr>
            <w:tcW w:w="580" w:type="pct"/>
            <w:tcBorders>
              <w:top w:val="nil"/>
              <w:left w:val="nil"/>
              <w:bottom w:val="single" w:sz="4" w:space="0" w:color="auto"/>
              <w:right w:val="nil"/>
            </w:tcBorders>
            <w:vAlign w:val="top"/>
          </w:tcPr>
          <w:p w14:paraId="671596B2" w14:textId="43851FD7" w:rsidR="00A93AF5" w:rsidRPr="00935CE1" w:rsidRDefault="00A93AF5" w:rsidP="00A93AF5">
            <w:pPr>
              <w:pStyle w:val="TableText0"/>
              <w:keepNext w:val="0"/>
              <w:jc w:val="center"/>
              <w:rPr>
                <w:iCs/>
              </w:rPr>
            </w:pPr>
            <w:r w:rsidRPr="00935CE1">
              <w:rPr>
                <w:iCs/>
              </w:rPr>
              <w:t>$</w:t>
            </w:r>
            <w:r w:rsidR="00BD6E95" w:rsidRPr="00BD6E95">
              <w:rPr>
                <w:iCs/>
                <w:color w:val="000000"/>
                <w:spacing w:val="53"/>
                <w:shd w:val="solid" w:color="000000" w:fill="000000"/>
                <w:fitText w:val="330" w:id="-632053756"/>
                <w14:textFill>
                  <w14:solidFill>
                    <w14:srgbClr w14:val="000000">
                      <w14:alpha w14:val="100000"/>
                    </w14:srgbClr>
                  </w14:solidFill>
                </w14:textFill>
              </w:rPr>
              <w:t>|||</w:t>
            </w:r>
            <w:r w:rsidR="00BD6E95" w:rsidRPr="00BD6E95">
              <w:rPr>
                <w:iCs/>
                <w:color w:val="000000"/>
                <w:spacing w:val="1"/>
                <w:shd w:val="solid" w:color="000000" w:fill="000000"/>
                <w:fitText w:val="330" w:id="-632053756"/>
                <w14:textFill>
                  <w14:solidFill>
                    <w14:srgbClr w14:val="000000">
                      <w14:alpha w14:val="100000"/>
                    </w14:srgbClr>
                  </w14:solidFill>
                </w14:textFill>
              </w:rPr>
              <w:t>|</w:t>
            </w:r>
          </w:p>
        </w:tc>
        <w:tc>
          <w:tcPr>
            <w:tcW w:w="580" w:type="pct"/>
            <w:tcBorders>
              <w:top w:val="nil"/>
              <w:left w:val="nil"/>
              <w:bottom w:val="single" w:sz="4" w:space="0" w:color="auto"/>
              <w:right w:val="nil"/>
            </w:tcBorders>
            <w:vAlign w:val="top"/>
          </w:tcPr>
          <w:p w14:paraId="424316C9" w14:textId="61766896" w:rsidR="00A93AF5" w:rsidRPr="00935CE1" w:rsidRDefault="00A93AF5" w:rsidP="00A93AF5">
            <w:pPr>
              <w:pStyle w:val="TableText0"/>
              <w:keepNext w:val="0"/>
              <w:jc w:val="center"/>
              <w:rPr>
                <w:iCs/>
              </w:rPr>
            </w:pPr>
            <w:r w:rsidRPr="00935CE1">
              <w:rPr>
                <w:iCs/>
              </w:rPr>
              <w:t>1.517</w:t>
            </w:r>
          </w:p>
        </w:tc>
        <w:tc>
          <w:tcPr>
            <w:tcW w:w="580" w:type="pct"/>
            <w:tcBorders>
              <w:top w:val="nil"/>
              <w:left w:val="nil"/>
              <w:bottom w:val="single" w:sz="4" w:space="0" w:color="auto"/>
              <w:right w:val="nil"/>
            </w:tcBorders>
            <w:vAlign w:val="top"/>
          </w:tcPr>
          <w:p w14:paraId="22CDFAFB" w14:textId="5D97DFED" w:rsidR="00A93AF5" w:rsidRPr="00935CE1" w:rsidRDefault="00A93AF5" w:rsidP="00A93AF5">
            <w:pPr>
              <w:pStyle w:val="TableText0"/>
              <w:keepNext w:val="0"/>
              <w:jc w:val="center"/>
              <w:rPr>
                <w:iCs/>
              </w:rPr>
            </w:pPr>
            <w:r w:rsidRPr="00935CE1">
              <w:rPr>
                <w:iCs/>
              </w:rPr>
              <w:t>$</w:t>
            </w:r>
            <w:r w:rsidR="00BD6E95" w:rsidRPr="00BD6E95">
              <w:rPr>
                <w:iCs/>
                <w:color w:val="000000"/>
                <w:spacing w:val="53"/>
                <w:shd w:val="solid" w:color="000000" w:fill="000000"/>
                <w:fitText w:val="330" w:id="-632053755"/>
                <w14:textFill>
                  <w14:solidFill>
                    <w14:srgbClr w14:val="000000">
                      <w14:alpha w14:val="100000"/>
                    </w14:srgbClr>
                  </w14:solidFill>
                </w14:textFill>
              </w:rPr>
              <w:t>|||</w:t>
            </w:r>
            <w:r w:rsidR="00BD6E95" w:rsidRPr="00BD6E95">
              <w:rPr>
                <w:iCs/>
                <w:color w:val="000000"/>
                <w:spacing w:val="1"/>
                <w:shd w:val="solid" w:color="000000" w:fill="000000"/>
                <w:fitText w:val="330" w:id="-632053755"/>
                <w14:textFill>
                  <w14:solidFill>
                    <w14:srgbClr w14:val="000000">
                      <w14:alpha w14:val="100000"/>
                    </w14:srgbClr>
                  </w14:solidFill>
                </w14:textFill>
              </w:rPr>
              <w:t>|</w:t>
            </w:r>
            <w:r w:rsidR="0024178E" w:rsidRPr="00B1126B">
              <w:rPr>
                <w:iCs/>
                <w:vertAlign w:val="superscript"/>
              </w:rPr>
              <w:t>2</w:t>
            </w:r>
          </w:p>
        </w:tc>
        <w:tc>
          <w:tcPr>
            <w:tcW w:w="921" w:type="pct"/>
            <w:tcBorders>
              <w:top w:val="nil"/>
              <w:left w:val="nil"/>
              <w:bottom w:val="single" w:sz="4" w:space="0" w:color="auto"/>
              <w:right w:val="single" w:sz="4" w:space="0" w:color="auto"/>
            </w:tcBorders>
            <w:vAlign w:val="top"/>
          </w:tcPr>
          <w:p w14:paraId="5322407B" w14:textId="131A5B21" w:rsidR="00A93AF5" w:rsidRPr="00935CE1" w:rsidRDefault="00BD6E95" w:rsidP="00A93AF5">
            <w:pPr>
              <w:pStyle w:val="TableText0"/>
              <w:keepNext w:val="0"/>
              <w:jc w:val="center"/>
              <w:rPr>
                <w:iCs/>
              </w:rPr>
            </w:pPr>
            <w:r w:rsidRPr="00BD6E95">
              <w:rPr>
                <w:iCs/>
                <w:color w:val="000000"/>
                <w:spacing w:val="53"/>
                <w:shd w:val="solid" w:color="000000" w:fill="000000"/>
                <w:fitText w:val="330" w:id="-632053754"/>
                <w14:textFill>
                  <w14:solidFill>
                    <w14:srgbClr w14:val="000000">
                      <w14:alpha w14:val="100000"/>
                    </w14:srgbClr>
                  </w14:solidFill>
                </w14:textFill>
              </w:rPr>
              <w:t>|||</w:t>
            </w:r>
            <w:r w:rsidRPr="00BD6E95">
              <w:rPr>
                <w:iCs/>
                <w:color w:val="000000"/>
                <w:spacing w:val="1"/>
                <w:shd w:val="solid" w:color="000000" w:fill="000000"/>
                <w:fitText w:val="330" w:id="-632053754"/>
                <w14:textFill>
                  <w14:solidFill>
                    <w14:srgbClr w14:val="000000">
                      <w14:alpha w14:val="100000"/>
                    </w14:srgbClr>
                  </w14:solidFill>
                </w14:textFill>
              </w:rPr>
              <w:t>|</w:t>
            </w:r>
            <w:r w:rsidR="00A93AF5" w:rsidRPr="00935CE1">
              <w:rPr>
                <w:iCs/>
              </w:rPr>
              <w:t>%</w:t>
            </w:r>
          </w:p>
        </w:tc>
      </w:tr>
      <w:tr w:rsidR="0013702B" w:rsidRPr="00935CE1" w14:paraId="3EDBA19A" w14:textId="77777777" w:rsidTr="0038153B">
        <w:tc>
          <w:tcPr>
            <w:tcW w:w="5000" w:type="pct"/>
            <w:gridSpan w:val="5"/>
            <w:tcBorders>
              <w:top w:val="single" w:sz="4" w:space="0" w:color="auto"/>
              <w:left w:val="single" w:sz="4" w:space="0" w:color="auto"/>
              <w:bottom w:val="nil"/>
              <w:right w:val="single" w:sz="4" w:space="0" w:color="auto"/>
            </w:tcBorders>
          </w:tcPr>
          <w:p w14:paraId="69C8290C" w14:textId="77777777" w:rsidR="0013702B" w:rsidRPr="00935CE1" w:rsidRDefault="0013702B" w:rsidP="0013702B">
            <w:pPr>
              <w:pStyle w:val="TableText0"/>
              <w:keepNext w:val="0"/>
              <w:rPr>
                <w:b/>
                <w:bCs w:val="0"/>
                <w:iCs/>
              </w:rPr>
            </w:pPr>
            <w:r w:rsidRPr="00935CE1">
              <w:rPr>
                <w:b/>
                <w:bCs w:val="0"/>
                <w:iCs/>
              </w:rPr>
              <w:t>Utility (base case, PFS-on treatment: 0.716, PFS-off treatment: 0.713, PD: 0.630)</w:t>
            </w:r>
          </w:p>
        </w:tc>
      </w:tr>
      <w:tr w:rsidR="0013702B" w:rsidRPr="00935CE1" w14:paraId="555EE84C" w14:textId="77777777" w:rsidTr="00BD2E60">
        <w:tc>
          <w:tcPr>
            <w:tcW w:w="2339" w:type="pct"/>
            <w:tcBorders>
              <w:top w:val="nil"/>
              <w:left w:val="single" w:sz="4" w:space="0" w:color="auto"/>
              <w:bottom w:val="nil"/>
              <w:right w:val="nil"/>
            </w:tcBorders>
            <w:vAlign w:val="top"/>
          </w:tcPr>
          <w:p w14:paraId="0AD36E89" w14:textId="77777777" w:rsidR="0013702B" w:rsidRPr="00935CE1" w:rsidRDefault="0013702B" w:rsidP="007368C9">
            <w:pPr>
              <w:pStyle w:val="TableText0"/>
              <w:keepNext w:val="0"/>
              <w:numPr>
                <w:ilvl w:val="0"/>
                <w:numId w:val="12"/>
              </w:numPr>
              <w:ind w:left="257" w:hanging="257"/>
              <w:rPr>
                <w:iCs/>
              </w:rPr>
            </w:pPr>
            <w:r w:rsidRPr="00935CE1">
              <w:rPr>
                <w:iCs/>
              </w:rPr>
              <w:t xml:space="preserve">NICE, 2020 </w:t>
            </w:r>
            <w:r w:rsidRPr="00935CE1">
              <w:rPr>
                <w:rStyle w:val="FootnoteReference"/>
                <w:iCs/>
              </w:rPr>
              <w:footnoteReference w:id="8"/>
            </w:r>
            <w:r w:rsidRPr="00935CE1">
              <w:rPr>
                <w:iCs/>
              </w:rPr>
              <w:t>: PFS-on treatment: 0.720, PFS-off treatment: 0.650, PD: 0.630</w:t>
            </w:r>
          </w:p>
        </w:tc>
        <w:tc>
          <w:tcPr>
            <w:tcW w:w="580" w:type="pct"/>
            <w:tcBorders>
              <w:top w:val="nil"/>
              <w:left w:val="nil"/>
              <w:bottom w:val="nil"/>
              <w:right w:val="nil"/>
            </w:tcBorders>
            <w:vAlign w:val="top"/>
          </w:tcPr>
          <w:p w14:paraId="6C442C39" w14:textId="426E87B4"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3"/>
                <w14:textFill>
                  <w14:solidFill>
                    <w14:srgbClr w14:val="000000">
                      <w14:alpha w14:val="100000"/>
                    </w14:srgbClr>
                  </w14:solidFill>
                </w14:textFill>
              </w:rPr>
              <w:t>|||</w:t>
            </w:r>
            <w:r w:rsidR="00BD6E95" w:rsidRPr="00BD6E95">
              <w:rPr>
                <w:iCs/>
                <w:color w:val="000000"/>
                <w:spacing w:val="1"/>
                <w:shd w:val="solid" w:color="000000" w:fill="000000"/>
                <w:fitText w:val="330" w:id="-632053753"/>
                <w14:textFill>
                  <w14:solidFill>
                    <w14:srgbClr w14:val="000000">
                      <w14:alpha w14:val="100000"/>
                    </w14:srgbClr>
                  </w14:solidFill>
                </w14:textFill>
              </w:rPr>
              <w:t>|</w:t>
            </w:r>
          </w:p>
        </w:tc>
        <w:tc>
          <w:tcPr>
            <w:tcW w:w="580" w:type="pct"/>
            <w:tcBorders>
              <w:top w:val="nil"/>
              <w:left w:val="nil"/>
              <w:bottom w:val="nil"/>
              <w:right w:val="nil"/>
            </w:tcBorders>
            <w:vAlign w:val="top"/>
          </w:tcPr>
          <w:p w14:paraId="0E61783A" w14:textId="77777777" w:rsidR="0013702B" w:rsidRPr="00935CE1" w:rsidRDefault="0013702B" w:rsidP="0013702B">
            <w:pPr>
              <w:pStyle w:val="TableText0"/>
              <w:keepNext w:val="0"/>
              <w:jc w:val="center"/>
              <w:rPr>
                <w:iCs/>
              </w:rPr>
            </w:pPr>
            <w:r w:rsidRPr="00935CE1">
              <w:rPr>
                <w:iCs/>
              </w:rPr>
              <w:t>1.448</w:t>
            </w:r>
          </w:p>
        </w:tc>
        <w:tc>
          <w:tcPr>
            <w:tcW w:w="580" w:type="pct"/>
            <w:tcBorders>
              <w:top w:val="nil"/>
              <w:left w:val="nil"/>
              <w:bottom w:val="nil"/>
              <w:right w:val="nil"/>
            </w:tcBorders>
            <w:vAlign w:val="top"/>
          </w:tcPr>
          <w:p w14:paraId="4C4E03BD" w14:textId="3AEF05B4"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2"/>
                <w14:textFill>
                  <w14:solidFill>
                    <w14:srgbClr w14:val="000000">
                      <w14:alpha w14:val="100000"/>
                    </w14:srgbClr>
                  </w14:solidFill>
                </w14:textFill>
              </w:rPr>
              <w:t>|||</w:t>
            </w:r>
            <w:r w:rsidR="00BD6E95" w:rsidRPr="00BD6E95">
              <w:rPr>
                <w:iCs/>
                <w:color w:val="000000"/>
                <w:spacing w:val="1"/>
                <w:shd w:val="solid" w:color="000000" w:fill="000000"/>
                <w:fitText w:val="330" w:id="-632053752"/>
                <w14:textFill>
                  <w14:solidFill>
                    <w14:srgbClr w14:val="000000">
                      <w14:alpha w14:val="100000"/>
                    </w14:srgbClr>
                  </w14:solidFill>
                </w14:textFill>
              </w:rPr>
              <w:t>|</w:t>
            </w:r>
            <w:r w:rsidR="002E2886" w:rsidRPr="00B1126B">
              <w:rPr>
                <w:iCs/>
                <w:vertAlign w:val="superscript"/>
              </w:rPr>
              <w:t>2</w:t>
            </w:r>
          </w:p>
        </w:tc>
        <w:tc>
          <w:tcPr>
            <w:tcW w:w="921" w:type="pct"/>
            <w:tcBorders>
              <w:top w:val="nil"/>
              <w:left w:val="nil"/>
              <w:bottom w:val="nil"/>
              <w:right w:val="single" w:sz="4" w:space="0" w:color="auto"/>
            </w:tcBorders>
            <w:vAlign w:val="top"/>
          </w:tcPr>
          <w:p w14:paraId="67F24C1D" w14:textId="7554B33B" w:rsidR="0013702B" w:rsidRPr="00935CE1" w:rsidRDefault="00BD6E95" w:rsidP="0013702B">
            <w:pPr>
              <w:pStyle w:val="TableText0"/>
              <w:keepNext w:val="0"/>
              <w:jc w:val="center"/>
              <w:rPr>
                <w:iCs/>
              </w:rPr>
            </w:pPr>
            <w:r w:rsidRPr="00BD6E95">
              <w:rPr>
                <w:iCs/>
                <w:color w:val="000000"/>
                <w:spacing w:val="53"/>
                <w:shd w:val="solid" w:color="000000" w:fill="000000"/>
                <w:fitText w:val="330" w:id="-632053751"/>
                <w14:textFill>
                  <w14:solidFill>
                    <w14:srgbClr w14:val="000000">
                      <w14:alpha w14:val="100000"/>
                    </w14:srgbClr>
                  </w14:solidFill>
                </w14:textFill>
              </w:rPr>
              <w:t>|||</w:t>
            </w:r>
            <w:r w:rsidRPr="00BD6E95">
              <w:rPr>
                <w:iCs/>
                <w:color w:val="000000"/>
                <w:spacing w:val="1"/>
                <w:shd w:val="solid" w:color="000000" w:fill="000000"/>
                <w:fitText w:val="330" w:id="-632053751"/>
                <w14:textFill>
                  <w14:solidFill>
                    <w14:srgbClr w14:val="000000">
                      <w14:alpha w14:val="100000"/>
                    </w14:srgbClr>
                  </w14:solidFill>
                </w14:textFill>
              </w:rPr>
              <w:t>|</w:t>
            </w:r>
            <w:r w:rsidR="0013702B" w:rsidRPr="00935CE1">
              <w:rPr>
                <w:iCs/>
              </w:rPr>
              <w:t>%</w:t>
            </w:r>
          </w:p>
        </w:tc>
      </w:tr>
      <w:tr w:rsidR="0013702B" w:rsidRPr="00935CE1" w14:paraId="1BAEE511" w14:textId="77777777" w:rsidTr="00BD2E60">
        <w:tc>
          <w:tcPr>
            <w:tcW w:w="2339" w:type="pct"/>
            <w:tcBorders>
              <w:top w:val="nil"/>
              <w:left w:val="single" w:sz="4" w:space="0" w:color="auto"/>
              <w:bottom w:val="nil"/>
              <w:right w:val="nil"/>
            </w:tcBorders>
            <w:vAlign w:val="top"/>
          </w:tcPr>
          <w:p w14:paraId="35029DCD" w14:textId="77777777" w:rsidR="0013702B" w:rsidRPr="00935CE1" w:rsidRDefault="0013702B" w:rsidP="007368C9">
            <w:pPr>
              <w:pStyle w:val="TableText0"/>
              <w:keepNext w:val="0"/>
              <w:numPr>
                <w:ilvl w:val="0"/>
                <w:numId w:val="12"/>
              </w:numPr>
              <w:ind w:left="257" w:hanging="257"/>
              <w:rPr>
                <w:iCs/>
              </w:rPr>
            </w:pPr>
            <w:r w:rsidRPr="00935CE1">
              <w:rPr>
                <w:iCs/>
              </w:rPr>
              <w:t xml:space="preserve">NICE, 2018 </w:t>
            </w:r>
            <w:r w:rsidRPr="00935CE1">
              <w:rPr>
                <w:rStyle w:val="FootnoteReference"/>
                <w:iCs/>
              </w:rPr>
              <w:footnoteReference w:id="9"/>
            </w:r>
            <w:r w:rsidRPr="00935CE1">
              <w:rPr>
                <w:iCs/>
              </w:rPr>
              <w:t xml:space="preserve"> , </w:t>
            </w:r>
            <w:r w:rsidRPr="00935CE1">
              <w:rPr>
                <w:rStyle w:val="FootnoteReference"/>
                <w:iCs/>
              </w:rPr>
              <w:footnoteReference w:id="10"/>
            </w:r>
            <w:r w:rsidRPr="00935CE1">
              <w:rPr>
                <w:iCs/>
              </w:rPr>
              <w:t>: PFS-on treatment: 0.720, PFS-off treatment: 0.680, PD: 0.650</w:t>
            </w:r>
          </w:p>
        </w:tc>
        <w:tc>
          <w:tcPr>
            <w:tcW w:w="580" w:type="pct"/>
            <w:tcBorders>
              <w:top w:val="nil"/>
              <w:left w:val="nil"/>
              <w:bottom w:val="nil"/>
              <w:right w:val="nil"/>
            </w:tcBorders>
            <w:vAlign w:val="top"/>
          </w:tcPr>
          <w:p w14:paraId="406C946B" w14:textId="789A68C2"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0"/>
                <w14:textFill>
                  <w14:solidFill>
                    <w14:srgbClr w14:val="000000">
                      <w14:alpha w14:val="100000"/>
                    </w14:srgbClr>
                  </w14:solidFill>
                </w14:textFill>
              </w:rPr>
              <w:t>|||</w:t>
            </w:r>
            <w:r w:rsidR="00BD6E95" w:rsidRPr="00BD6E95">
              <w:rPr>
                <w:iCs/>
                <w:color w:val="000000"/>
                <w:spacing w:val="1"/>
                <w:shd w:val="solid" w:color="000000" w:fill="000000"/>
                <w:fitText w:val="330" w:id="-632053750"/>
                <w14:textFill>
                  <w14:solidFill>
                    <w14:srgbClr w14:val="000000">
                      <w14:alpha w14:val="100000"/>
                    </w14:srgbClr>
                  </w14:solidFill>
                </w14:textFill>
              </w:rPr>
              <w:t>|</w:t>
            </w:r>
          </w:p>
        </w:tc>
        <w:tc>
          <w:tcPr>
            <w:tcW w:w="580" w:type="pct"/>
            <w:tcBorders>
              <w:top w:val="nil"/>
              <w:left w:val="nil"/>
              <w:bottom w:val="nil"/>
              <w:right w:val="nil"/>
            </w:tcBorders>
            <w:vAlign w:val="top"/>
          </w:tcPr>
          <w:p w14:paraId="2086A9A2" w14:textId="77777777" w:rsidR="0013702B" w:rsidRPr="00935CE1" w:rsidRDefault="0013702B" w:rsidP="0013702B">
            <w:pPr>
              <w:pStyle w:val="TableText0"/>
              <w:keepNext w:val="0"/>
              <w:jc w:val="center"/>
              <w:rPr>
                <w:iCs/>
              </w:rPr>
            </w:pPr>
            <w:r w:rsidRPr="00935CE1">
              <w:rPr>
                <w:iCs/>
              </w:rPr>
              <w:t>1.506</w:t>
            </w:r>
          </w:p>
        </w:tc>
        <w:tc>
          <w:tcPr>
            <w:tcW w:w="580" w:type="pct"/>
            <w:tcBorders>
              <w:top w:val="nil"/>
              <w:left w:val="nil"/>
              <w:bottom w:val="nil"/>
              <w:right w:val="nil"/>
            </w:tcBorders>
            <w:vAlign w:val="top"/>
          </w:tcPr>
          <w:p w14:paraId="692680BE" w14:textId="17FEFC11"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49"/>
                <w14:textFill>
                  <w14:solidFill>
                    <w14:srgbClr w14:val="000000">
                      <w14:alpha w14:val="100000"/>
                    </w14:srgbClr>
                  </w14:solidFill>
                </w14:textFill>
              </w:rPr>
              <w:t>|||</w:t>
            </w:r>
            <w:r w:rsidR="00BD6E95" w:rsidRPr="00BD6E95">
              <w:rPr>
                <w:iCs/>
                <w:color w:val="000000"/>
                <w:spacing w:val="1"/>
                <w:shd w:val="solid" w:color="000000" w:fill="000000"/>
                <w:fitText w:val="330" w:id="-632053749"/>
                <w14:textFill>
                  <w14:solidFill>
                    <w14:srgbClr w14:val="000000">
                      <w14:alpha w14:val="100000"/>
                    </w14:srgbClr>
                  </w14:solidFill>
                </w14:textFill>
              </w:rPr>
              <w:t>|</w:t>
            </w:r>
            <w:r w:rsidR="002E2886" w:rsidRPr="00B1126B">
              <w:rPr>
                <w:iCs/>
                <w:vertAlign w:val="superscript"/>
              </w:rPr>
              <w:t>2</w:t>
            </w:r>
          </w:p>
        </w:tc>
        <w:tc>
          <w:tcPr>
            <w:tcW w:w="921" w:type="pct"/>
            <w:tcBorders>
              <w:top w:val="nil"/>
              <w:left w:val="nil"/>
              <w:bottom w:val="nil"/>
              <w:right w:val="single" w:sz="4" w:space="0" w:color="auto"/>
            </w:tcBorders>
            <w:vAlign w:val="top"/>
          </w:tcPr>
          <w:p w14:paraId="0525F183" w14:textId="3B354892" w:rsidR="0013702B" w:rsidRPr="00935CE1" w:rsidRDefault="00BD6E95" w:rsidP="0013702B">
            <w:pPr>
              <w:pStyle w:val="TableText0"/>
              <w:keepNext w:val="0"/>
              <w:jc w:val="center"/>
              <w:rPr>
                <w:iCs/>
              </w:rPr>
            </w:pPr>
            <w:r w:rsidRPr="00BD6E95">
              <w:rPr>
                <w:iCs/>
                <w:color w:val="000000"/>
                <w:spacing w:val="53"/>
                <w:shd w:val="solid" w:color="000000" w:fill="000000"/>
                <w:fitText w:val="330" w:id="-632053748"/>
                <w14:textFill>
                  <w14:solidFill>
                    <w14:srgbClr w14:val="000000">
                      <w14:alpha w14:val="100000"/>
                    </w14:srgbClr>
                  </w14:solidFill>
                </w14:textFill>
              </w:rPr>
              <w:t>|||</w:t>
            </w:r>
            <w:r w:rsidRPr="00BD6E95">
              <w:rPr>
                <w:iCs/>
                <w:color w:val="000000"/>
                <w:spacing w:val="1"/>
                <w:shd w:val="solid" w:color="000000" w:fill="000000"/>
                <w:fitText w:val="330" w:id="-632053748"/>
                <w14:textFill>
                  <w14:solidFill>
                    <w14:srgbClr w14:val="000000">
                      <w14:alpha w14:val="100000"/>
                    </w14:srgbClr>
                  </w14:solidFill>
                </w14:textFill>
              </w:rPr>
              <w:t>|</w:t>
            </w:r>
            <w:r w:rsidR="0013702B" w:rsidRPr="00935CE1">
              <w:rPr>
                <w:iCs/>
              </w:rPr>
              <w:t>%</w:t>
            </w:r>
          </w:p>
        </w:tc>
      </w:tr>
      <w:tr w:rsidR="0013702B" w:rsidRPr="00935CE1" w14:paraId="31A7F216" w14:textId="77777777" w:rsidTr="00BD2E60">
        <w:tc>
          <w:tcPr>
            <w:tcW w:w="2339" w:type="pct"/>
            <w:tcBorders>
              <w:top w:val="nil"/>
              <w:left w:val="single" w:sz="4" w:space="0" w:color="auto"/>
              <w:bottom w:val="nil"/>
              <w:right w:val="nil"/>
            </w:tcBorders>
            <w:vAlign w:val="top"/>
          </w:tcPr>
          <w:p w14:paraId="1F9672AD" w14:textId="77777777" w:rsidR="0013702B" w:rsidRPr="00935CE1" w:rsidRDefault="0013702B" w:rsidP="007368C9">
            <w:pPr>
              <w:pStyle w:val="TableText0"/>
              <w:keepNext w:val="0"/>
              <w:numPr>
                <w:ilvl w:val="0"/>
                <w:numId w:val="12"/>
              </w:numPr>
              <w:ind w:left="257" w:hanging="257"/>
              <w:rPr>
                <w:iCs/>
              </w:rPr>
            </w:pPr>
            <w:r w:rsidRPr="00935CE1">
              <w:rPr>
                <w:iCs/>
              </w:rPr>
              <w:t xml:space="preserve">Roth, 2018 </w:t>
            </w:r>
            <w:r w:rsidRPr="00935CE1">
              <w:rPr>
                <w:rStyle w:val="FootnoteReference"/>
                <w:iCs/>
              </w:rPr>
              <w:footnoteReference w:id="11"/>
            </w:r>
            <w:r w:rsidRPr="00935CE1">
              <w:rPr>
                <w:iCs/>
              </w:rPr>
              <w:t>: PFS-on treatment: 0.720, PFS-off treatment: 0.650, PD: 0.630</w:t>
            </w:r>
          </w:p>
        </w:tc>
        <w:tc>
          <w:tcPr>
            <w:tcW w:w="580" w:type="pct"/>
            <w:tcBorders>
              <w:top w:val="nil"/>
              <w:left w:val="nil"/>
              <w:bottom w:val="nil"/>
              <w:right w:val="nil"/>
            </w:tcBorders>
            <w:vAlign w:val="top"/>
          </w:tcPr>
          <w:p w14:paraId="69BA24D9" w14:textId="13B221AD"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47"/>
                <w14:textFill>
                  <w14:solidFill>
                    <w14:srgbClr w14:val="000000">
                      <w14:alpha w14:val="100000"/>
                    </w14:srgbClr>
                  </w14:solidFill>
                </w14:textFill>
              </w:rPr>
              <w:t>|||</w:t>
            </w:r>
            <w:r w:rsidR="00BD6E95" w:rsidRPr="00BD6E95">
              <w:rPr>
                <w:iCs/>
                <w:color w:val="000000"/>
                <w:spacing w:val="1"/>
                <w:shd w:val="solid" w:color="000000" w:fill="000000"/>
                <w:fitText w:val="330" w:id="-632053747"/>
                <w14:textFill>
                  <w14:solidFill>
                    <w14:srgbClr w14:val="000000">
                      <w14:alpha w14:val="100000"/>
                    </w14:srgbClr>
                  </w14:solidFill>
                </w14:textFill>
              </w:rPr>
              <w:t>|</w:t>
            </w:r>
          </w:p>
        </w:tc>
        <w:tc>
          <w:tcPr>
            <w:tcW w:w="580" w:type="pct"/>
            <w:tcBorders>
              <w:top w:val="nil"/>
              <w:left w:val="nil"/>
              <w:bottom w:val="nil"/>
              <w:right w:val="nil"/>
            </w:tcBorders>
            <w:vAlign w:val="top"/>
          </w:tcPr>
          <w:p w14:paraId="2524760B" w14:textId="77777777" w:rsidR="0013702B" w:rsidRPr="00935CE1" w:rsidRDefault="0013702B" w:rsidP="0013702B">
            <w:pPr>
              <w:pStyle w:val="TableText0"/>
              <w:keepNext w:val="0"/>
              <w:jc w:val="center"/>
              <w:rPr>
                <w:iCs/>
              </w:rPr>
            </w:pPr>
            <w:r w:rsidRPr="00935CE1">
              <w:rPr>
                <w:iCs/>
              </w:rPr>
              <w:t>1.675</w:t>
            </w:r>
          </w:p>
        </w:tc>
        <w:tc>
          <w:tcPr>
            <w:tcW w:w="580" w:type="pct"/>
            <w:tcBorders>
              <w:top w:val="nil"/>
              <w:left w:val="nil"/>
              <w:bottom w:val="nil"/>
              <w:right w:val="nil"/>
            </w:tcBorders>
            <w:vAlign w:val="top"/>
          </w:tcPr>
          <w:p w14:paraId="02D15C57" w14:textId="3D11A024"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46"/>
                <w14:textFill>
                  <w14:solidFill>
                    <w14:srgbClr w14:val="000000">
                      <w14:alpha w14:val="100000"/>
                    </w14:srgbClr>
                  </w14:solidFill>
                </w14:textFill>
              </w:rPr>
              <w:t>|||</w:t>
            </w:r>
            <w:r w:rsidR="00BD6E95" w:rsidRPr="00BD6E95">
              <w:rPr>
                <w:iCs/>
                <w:color w:val="000000"/>
                <w:spacing w:val="1"/>
                <w:shd w:val="solid" w:color="000000" w:fill="000000"/>
                <w:fitText w:val="330" w:id="-632053746"/>
                <w14:textFill>
                  <w14:solidFill>
                    <w14:srgbClr w14:val="000000">
                      <w14:alpha w14:val="100000"/>
                    </w14:srgbClr>
                  </w14:solidFill>
                </w14:textFill>
              </w:rPr>
              <w:t>|</w:t>
            </w:r>
            <w:r w:rsidR="00B1126B" w:rsidRPr="001C24CD">
              <w:rPr>
                <w:iCs/>
                <w:vertAlign w:val="superscript"/>
              </w:rPr>
              <w:t>1</w:t>
            </w:r>
          </w:p>
        </w:tc>
        <w:tc>
          <w:tcPr>
            <w:tcW w:w="921" w:type="pct"/>
            <w:tcBorders>
              <w:top w:val="nil"/>
              <w:left w:val="nil"/>
              <w:bottom w:val="nil"/>
              <w:right w:val="single" w:sz="4" w:space="0" w:color="auto"/>
            </w:tcBorders>
            <w:vAlign w:val="top"/>
          </w:tcPr>
          <w:p w14:paraId="34D02F00" w14:textId="240F19CD"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45"/>
                <w14:textFill>
                  <w14:solidFill>
                    <w14:srgbClr w14:val="000000">
                      <w14:alpha w14:val="100000"/>
                    </w14:srgbClr>
                  </w14:solidFill>
                </w14:textFill>
              </w:rPr>
              <w:t>|||</w:t>
            </w:r>
            <w:r w:rsidR="00BD6E95" w:rsidRPr="00BD6E95">
              <w:rPr>
                <w:iCs/>
                <w:color w:val="000000"/>
                <w:spacing w:val="1"/>
                <w:shd w:val="solid" w:color="000000" w:fill="000000"/>
                <w:fitText w:val="330" w:id="-632053745"/>
                <w14:textFill>
                  <w14:solidFill>
                    <w14:srgbClr w14:val="000000">
                      <w14:alpha w14:val="100000"/>
                    </w14:srgbClr>
                  </w14:solidFill>
                </w14:textFill>
              </w:rPr>
              <w:t>|</w:t>
            </w:r>
            <w:r w:rsidRPr="00935CE1">
              <w:rPr>
                <w:iCs/>
              </w:rPr>
              <w:t>6%</w:t>
            </w:r>
          </w:p>
        </w:tc>
      </w:tr>
      <w:tr w:rsidR="0013702B" w:rsidRPr="00935CE1" w14:paraId="4FA9A055" w14:textId="77777777" w:rsidTr="00BD2E60">
        <w:tc>
          <w:tcPr>
            <w:tcW w:w="2339" w:type="pct"/>
            <w:tcBorders>
              <w:top w:val="nil"/>
              <w:left w:val="single" w:sz="4" w:space="0" w:color="auto"/>
              <w:bottom w:val="nil"/>
              <w:right w:val="nil"/>
            </w:tcBorders>
            <w:vAlign w:val="top"/>
          </w:tcPr>
          <w:p w14:paraId="12FF13BB" w14:textId="77777777" w:rsidR="0013702B" w:rsidRPr="00935CE1" w:rsidRDefault="0013702B" w:rsidP="007368C9">
            <w:pPr>
              <w:pStyle w:val="TableText0"/>
              <w:keepNext w:val="0"/>
              <w:numPr>
                <w:ilvl w:val="0"/>
                <w:numId w:val="12"/>
              </w:numPr>
              <w:ind w:left="257" w:hanging="257"/>
              <w:rPr>
                <w:iCs/>
              </w:rPr>
            </w:pPr>
            <w:r w:rsidRPr="00935CE1">
              <w:rPr>
                <w:iCs/>
              </w:rPr>
              <w:t>Wang 2018 EQ-5D-5L</w:t>
            </w:r>
            <w:r w:rsidRPr="00935CE1">
              <w:rPr>
                <w:rStyle w:val="FootnoteReference"/>
                <w:iCs/>
              </w:rPr>
              <w:footnoteReference w:id="12"/>
            </w:r>
            <w:r w:rsidRPr="00935CE1">
              <w:rPr>
                <w:iCs/>
              </w:rPr>
              <w:t>: PFS-on treatment: 0.630, PFS-off treatment: 0.760, PD: 0.710</w:t>
            </w:r>
          </w:p>
        </w:tc>
        <w:tc>
          <w:tcPr>
            <w:tcW w:w="580" w:type="pct"/>
            <w:tcBorders>
              <w:top w:val="nil"/>
              <w:left w:val="nil"/>
              <w:bottom w:val="nil"/>
              <w:right w:val="nil"/>
            </w:tcBorders>
            <w:vAlign w:val="top"/>
          </w:tcPr>
          <w:p w14:paraId="5EA4A953" w14:textId="525F0612"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44"/>
                <w14:textFill>
                  <w14:solidFill>
                    <w14:srgbClr w14:val="000000">
                      <w14:alpha w14:val="100000"/>
                    </w14:srgbClr>
                  </w14:solidFill>
                </w14:textFill>
              </w:rPr>
              <w:t>|||</w:t>
            </w:r>
            <w:r w:rsidR="00BD6E95" w:rsidRPr="00BD6E95">
              <w:rPr>
                <w:iCs/>
                <w:color w:val="000000"/>
                <w:spacing w:val="1"/>
                <w:shd w:val="solid" w:color="000000" w:fill="000000"/>
                <w:fitText w:val="330" w:id="-632053744"/>
                <w14:textFill>
                  <w14:solidFill>
                    <w14:srgbClr w14:val="000000">
                      <w14:alpha w14:val="100000"/>
                    </w14:srgbClr>
                  </w14:solidFill>
                </w14:textFill>
              </w:rPr>
              <w:t>|</w:t>
            </w:r>
          </w:p>
        </w:tc>
        <w:tc>
          <w:tcPr>
            <w:tcW w:w="580" w:type="pct"/>
            <w:tcBorders>
              <w:top w:val="nil"/>
              <w:left w:val="nil"/>
              <w:bottom w:val="nil"/>
              <w:right w:val="nil"/>
            </w:tcBorders>
            <w:vAlign w:val="top"/>
          </w:tcPr>
          <w:p w14:paraId="6E00BE6D" w14:textId="77777777" w:rsidR="0013702B" w:rsidRPr="00935CE1" w:rsidRDefault="0013702B" w:rsidP="0013702B">
            <w:pPr>
              <w:pStyle w:val="TableText0"/>
              <w:keepNext w:val="0"/>
              <w:jc w:val="center"/>
              <w:rPr>
                <w:iCs/>
              </w:rPr>
            </w:pPr>
            <w:r w:rsidRPr="00935CE1">
              <w:rPr>
                <w:iCs/>
              </w:rPr>
              <w:t>1.648</w:t>
            </w:r>
          </w:p>
        </w:tc>
        <w:tc>
          <w:tcPr>
            <w:tcW w:w="580" w:type="pct"/>
            <w:tcBorders>
              <w:top w:val="nil"/>
              <w:left w:val="nil"/>
              <w:bottom w:val="nil"/>
              <w:right w:val="nil"/>
            </w:tcBorders>
            <w:vAlign w:val="top"/>
          </w:tcPr>
          <w:p w14:paraId="2D963D4E" w14:textId="4B89BBDF"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60"/>
                <w14:textFill>
                  <w14:solidFill>
                    <w14:srgbClr w14:val="000000">
                      <w14:alpha w14:val="100000"/>
                    </w14:srgbClr>
                  </w14:solidFill>
                </w14:textFill>
              </w:rPr>
              <w:t>|||</w:t>
            </w:r>
            <w:r w:rsidR="00BD6E95" w:rsidRPr="00BD6E95">
              <w:rPr>
                <w:iCs/>
                <w:color w:val="000000"/>
                <w:spacing w:val="1"/>
                <w:shd w:val="solid" w:color="000000" w:fill="000000"/>
                <w:fitText w:val="330" w:id="-632053760"/>
                <w14:textFill>
                  <w14:solidFill>
                    <w14:srgbClr w14:val="000000">
                      <w14:alpha w14:val="100000"/>
                    </w14:srgbClr>
                  </w14:solidFill>
                </w14:textFill>
              </w:rPr>
              <w:t>|</w:t>
            </w:r>
            <w:r w:rsidR="00B1126B" w:rsidRPr="001C24CD">
              <w:rPr>
                <w:iCs/>
                <w:vertAlign w:val="superscript"/>
              </w:rPr>
              <w:t>1</w:t>
            </w:r>
          </w:p>
        </w:tc>
        <w:tc>
          <w:tcPr>
            <w:tcW w:w="921" w:type="pct"/>
            <w:tcBorders>
              <w:top w:val="nil"/>
              <w:left w:val="nil"/>
              <w:bottom w:val="nil"/>
              <w:right w:val="single" w:sz="4" w:space="0" w:color="auto"/>
            </w:tcBorders>
            <w:vAlign w:val="top"/>
          </w:tcPr>
          <w:p w14:paraId="77BAADC7" w14:textId="5336B60C"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9"/>
                <w14:textFill>
                  <w14:solidFill>
                    <w14:srgbClr w14:val="000000">
                      <w14:alpha w14:val="100000"/>
                    </w14:srgbClr>
                  </w14:solidFill>
                </w14:textFill>
              </w:rPr>
              <w:t>|||</w:t>
            </w:r>
            <w:r w:rsidR="00BD6E95" w:rsidRPr="00BD6E95">
              <w:rPr>
                <w:iCs/>
                <w:color w:val="000000"/>
                <w:spacing w:val="1"/>
                <w:shd w:val="solid" w:color="000000" w:fill="000000"/>
                <w:fitText w:val="330" w:id="-632053759"/>
                <w14:textFill>
                  <w14:solidFill>
                    <w14:srgbClr w14:val="000000">
                      <w14:alpha w14:val="100000"/>
                    </w14:srgbClr>
                  </w14:solidFill>
                </w14:textFill>
              </w:rPr>
              <w:t>|</w:t>
            </w:r>
            <w:r w:rsidRPr="00935CE1">
              <w:rPr>
                <w:iCs/>
              </w:rPr>
              <w:t>%</w:t>
            </w:r>
          </w:p>
        </w:tc>
      </w:tr>
      <w:tr w:rsidR="0013702B" w:rsidRPr="00935CE1" w14:paraId="096FA673" w14:textId="77777777" w:rsidTr="00BD2E60">
        <w:tc>
          <w:tcPr>
            <w:tcW w:w="2339" w:type="pct"/>
            <w:tcBorders>
              <w:top w:val="nil"/>
              <w:left w:val="single" w:sz="4" w:space="0" w:color="auto"/>
              <w:bottom w:val="nil"/>
              <w:right w:val="nil"/>
            </w:tcBorders>
            <w:vAlign w:val="top"/>
          </w:tcPr>
          <w:p w14:paraId="3978AC3B" w14:textId="77777777" w:rsidR="0013702B" w:rsidRPr="00935CE1" w:rsidRDefault="0013702B" w:rsidP="007368C9">
            <w:pPr>
              <w:pStyle w:val="TableText0"/>
              <w:keepNext w:val="0"/>
              <w:numPr>
                <w:ilvl w:val="0"/>
                <w:numId w:val="12"/>
              </w:numPr>
              <w:ind w:left="257" w:hanging="257"/>
              <w:rPr>
                <w:iCs/>
              </w:rPr>
            </w:pPr>
            <w:r w:rsidRPr="00935CE1">
              <w:rPr>
                <w:iCs/>
              </w:rPr>
              <w:t>Wang 2018 EQ-5D-3L: PFS-on treatment: 0.530, PFS-off treatment: 0.640, PD: 0.390</w:t>
            </w:r>
          </w:p>
        </w:tc>
        <w:tc>
          <w:tcPr>
            <w:tcW w:w="580" w:type="pct"/>
            <w:tcBorders>
              <w:top w:val="nil"/>
              <w:left w:val="nil"/>
              <w:bottom w:val="nil"/>
              <w:right w:val="nil"/>
            </w:tcBorders>
            <w:vAlign w:val="top"/>
          </w:tcPr>
          <w:p w14:paraId="6574149F" w14:textId="7560A121"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8"/>
                <w14:textFill>
                  <w14:solidFill>
                    <w14:srgbClr w14:val="000000">
                      <w14:alpha w14:val="100000"/>
                    </w14:srgbClr>
                  </w14:solidFill>
                </w14:textFill>
              </w:rPr>
              <w:t>|||</w:t>
            </w:r>
            <w:r w:rsidR="00BD6E95" w:rsidRPr="00BD6E95">
              <w:rPr>
                <w:iCs/>
                <w:color w:val="000000"/>
                <w:spacing w:val="1"/>
                <w:shd w:val="solid" w:color="000000" w:fill="000000"/>
                <w:fitText w:val="330" w:id="-632053758"/>
                <w14:textFill>
                  <w14:solidFill>
                    <w14:srgbClr w14:val="000000">
                      <w14:alpha w14:val="100000"/>
                    </w14:srgbClr>
                  </w14:solidFill>
                </w14:textFill>
              </w:rPr>
              <w:t>|</w:t>
            </w:r>
          </w:p>
        </w:tc>
        <w:tc>
          <w:tcPr>
            <w:tcW w:w="580" w:type="pct"/>
            <w:tcBorders>
              <w:top w:val="nil"/>
              <w:left w:val="nil"/>
              <w:bottom w:val="nil"/>
              <w:right w:val="nil"/>
            </w:tcBorders>
            <w:vAlign w:val="top"/>
          </w:tcPr>
          <w:p w14:paraId="3147F2A7" w14:textId="77777777" w:rsidR="0013702B" w:rsidRPr="00935CE1" w:rsidRDefault="0013702B" w:rsidP="0013702B">
            <w:pPr>
              <w:pStyle w:val="TableText0"/>
              <w:keepNext w:val="0"/>
              <w:jc w:val="center"/>
              <w:rPr>
                <w:iCs/>
              </w:rPr>
            </w:pPr>
            <w:r w:rsidRPr="00935CE1">
              <w:rPr>
                <w:iCs/>
              </w:rPr>
              <w:t>1.370</w:t>
            </w:r>
          </w:p>
        </w:tc>
        <w:tc>
          <w:tcPr>
            <w:tcW w:w="580" w:type="pct"/>
            <w:tcBorders>
              <w:top w:val="nil"/>
              <w:left w:val="nil"/>
              <w:bottom w:val="nil"/>
              <w:right w:val="nil"/>
            </w:tcBorders>
            <w:vAlign w:val="top"/>
          </w:tcPr>
          <w:p w14:paraId="3034B0CF" w14:textId="639329D0"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7"/>
                <w14:textFill>
                  <w14:solidFill>
                    <w14:srgbClr w14:val="000000">
                      <w14:alpha w14:val="100000"/>
                    </w14:srgbClr>
                  </w14:solidFill>
                </w14:textFill>
              </w:rPr>
              <w:t>|||</w:t>
            </w:r>
            <w:r w:rsidR="00BD6E95" w:rsidRPr="00BD6E95">
              <w:rPr>
                <w:iCs/>
                <w:color w:val="000000"/>
                <w:spacing w:val="1"/>
                <w:shd w:val="solid" w:color="000000" w:fill="000000"/>
                <w:fitText w:val="330" w:id="-632053757"/>
                <w14:textFill>
                  <w14:solidFill>
                    <w14:srgbClr w14:val="000000">
                      <w14:alpha w14:val="100000"/>
                    </w14:srgbClr>
                  </w14:solidFill>
                </w14:textFill>
              </w:rPr>
              <w:t>|</w:t>
            </w:r>
            <w:r w:rsidR="002E2886" w:rsidRPr="00B1126B">
              <w:rPr>
                <w:iCs/>
                <w:vertAlign w:val="superscript"/>
              </w:rPr>
              <w:t>2</w:t>
            </w:r>
          </w:p>
        </w:tc>
        <w:tc>
          <w:tcPr>
            <w:tcW w:w="921" w:type="pct"/>
            <w:tcBorders>
              <w:top w:val="nil"/>
              <w:left w:val="nil"/>
              <w:bottom w:val="nil"/>
              <w:right w:val="single" w:sz="4" w:space="0" w:color="auto"/>
            </w:tcBorders>
            <w:vAlign w:val="top"/>
          </w:tcPr>
          <w:p w14:paraId="706FBB41" w14:textId="5C694413" w:rsidR="0013702B" w:rsidRPr="00935CE1" w:rsidRDefault="00BD6E95" w:rsidP="0013702B">
            <w:pPr>
              <w:pStyle w:val="TableText0"/>
              <w:keepNext w:val="0"/>
              <w:jc w:val="center"/>
              <w:rPr>
                <w:iCs/>
              </w:rPr>
            </w:pPr>
            <w:r w:rsidRPr="00BD6E95">
              <w:rPr>
                <w:iCs/>
                <w:color w:val="000000"/>
                <w:spacing w:val="53"/>
                <w:shd w:val="solid" w:color="000000" w:fill="000000"/>
                <w:fitText w:val="330" w:id="-632053756"/>
                <w14:textFill>
                  <w14:solidFill>
                    <w14:srgbClr w14:val="000000">
                      <w14:alpha w14:val="100000"/>
                    </w14:srgbClr>
                  </w14:solidFill>
                </w14:textFill>
              </w:rPr>
              <w:t>|||</w:t>
            </w:r>
            <w:r w:rsidRPr="00BD6E95">
              <w:rPr>
                <w:iCs/>
                <w:color w:val="000000"/>
                <w:spacing w:val="1"/>
                <w:shd w:val="solid" w:color="000000" w:fill="000000"/>
                <w:fitText w:val="330" w:id="-632053756"/>
                <w14:textFill>
                  <w14:solidFill>
                    <w14:srgbClr w14:val="000000">
                      <w14:alpha w14:val="100000"/>
                    </w14:srgbClr>
                  </w14:solidFill>
                </w14:textFill>
              </w:rPr>
              <w:t>|</w:t>
            </w:r>
            <w:r w:rsidR="0013702B" w:rsidRPr="00935CE1">
              <w:rPr>
                <w:iCs/>
              </w:rPr>
              <w:t>%</w:t>
            </w:r>
          </w:p>
        </w:tc>
      </w:tr>
      <w:tr w:rsidR="0013702B" w:rsidRPr="00935CE1" w14:paraId="5BA27157" w14:textId="77777777" w:rsidTr="00BD2E60">
        <w:tc>
          <w:tcPr>
            <w:tcW w:w="2339" w:type="pct"/>
            <w:tcBorders>
              <w:top w:val="nil"/>
              <w:left w:val="single" w:sz="4" w:space="0" w:color="auto"/>
              <w:bottom w:val="single" w:sz="4" w:space="0" w:color="auto"/>
              <w:right w:val="nil"/>
            </w:tcBorders>
            <w:vAlign w:val="top"/>
          </w:tcPr>
          <w:p w14:paraId="1B514ABE" w14:textId="77777777" w:rsidR="0013702B" w:rsidRPr="00935CE1" w:rsidRDefault="0013702B" w:rsidP="007368C9">
            <w:pPr>
              <w:pStyle w:val="TableText0"/>
              <w:keepNext w:val="0"/>
              <w:numPr>
                <w:ilvl w:val="0"/>
                <w:numId w:val="12"/>
              </w:numPr>
              <w:ind w:left="257" w:hanging="257"/>
              <w:rPr>
                <w:iCs/>
              </w:rPr>
            </w:pPr>
            <w:r w:rsidRPr="00935CE1">
              <w:rPr>
                <w:iCs/>
              </w:rPr>
              <w:t>MSAC 2024 EQ-5D-5L: PFS-on treatment: 0.883, PFS-off treatment: 0.891, PD: 0.818.</w:t>
            </w:r>
          </w:p>
        </w:tc>
        <w:tc>
          <w:tcPr>
            <w:tcW w:w="580" w:type="pct"/>
            <w:tcBorders>
              <w:top w:val="nil"/>
              <w:left w:val="nil"/>
              <w:bottom w:val="single" w:sz="4" w:space="0" w:color="auto"/>
              <w:right w:val="nil"/>
            </w:tcBorders>
            <w:vAlign w:val="top"/>
          </w:tcPr>
          <w:p w14:paraId="18AD2102" w14:textId="4BE945F9"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5"/>
                <w14:textFill>
                  <w14:solidFill>
                    <w14:srgbClr w14:val="000000">
                      <w14:alpha w14:val="100000"/>
                    </w14:srgbClr>
                  </w14:solidFill>
                </w14:textFill>
              </w:rPr>
              <w:t>|||</w:t>
            </w:r>
            <w:r w:rsidR="00BD6E95" w:rsidRPr="00BD6E95">
              <w:rPr>
                <w:iCs/>
                <w:color w:val="000000"/>
                <w:spacing w:val="1"/>
                <w:shd w:val="solid" w:color="000000" w:fill="000000"/>
                <w:fitText w:val="330" w:id="-632053755"/>
                <w14:textFill>
                  <w14:solidFill>
                    <w14:srgbClr w14:val="000000">
                      <w14:alpha w14:val="100000"/>
                    </w14:srgbClr>
                  </w14:solidFill>
                </w14:textFill>
              </w:rPr>
              <w:t>|</w:t>
            </w:r>
          </w:p>
        </w:tc>
        <w:tc>
          <w:tcPr>
            <w:tcW w:w="580" w:type="pct"/>
            <w:tcBorders>
              <w:top w:val="nil"/>
              <w:left w:val="nil"/>
              <w:bottom w:val="single" w:sz="4" w:space="0" w:color="auto"/>
              <w:right w:val="nil"/>
            </w:tcBorders>
            <w:vAlign w:val="top"/>
          </w:tcPr>
          <w:p w14:paraId="44D8163A" w14:textId="77777777" w:rsidR="0013702B" w:rsidRPr="00935CE1" w:rsidRDefault="0013702B" w:rsidP="0013702B">
            <w:pPr>
              <w:pStyle w:val="TableText0"/>
              <w:keepNext w:val="0"/>
              <w:jc w:val="center"/>
              <w:rPr>
                <w:iCs/>
              </w:rPr>
            </w:pPr>
            <w:r w:rsidRPr="00935CE1">
              <w:rPr>
                <w:iCs/>
              </w:rPr>
              <w:t>1.954</w:t>
            </w:r>
          </w:p>
        </w:tc>
        <w:tc>
          <w:tcPr>
            <w:tcW w:w="580" w:type="pct"/>
            <w:tcBorders>
              <w:top w:val="nil"/>
              <w:left w:val="nil"/>
              <w:bottom w:val="single" w:sz="4" w:space="0" w:color="auto"/>
              <w:right w:val="nil"/>
            </w:tcBorders>
            <w:vAlign w:val="top"/>
          </w:tcPr>
          <w:p w14:paraId="30D99A5E" w14:textId="47CCCF64"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4"/>
                <w14:textFill>
                  <w14:solidFill>
                    <w14:srgbClr w14:val="000000">
                      <w14:alpha w14:val="100000"/>
                    </w14:srgbClr>
                  </w14:solidFill>
                </w14:textFill>
              </w:rPr>
              <w:t>|||</w:t>
            </w:r>
            <w:r w:rsidR="00BD6E95" w:rsidRPr="00BD6E95">
              <w:rPr>
                <w:iCs/>
                <w:color w:val="000000"/>
                <w:spacing w:val="1"/>
                <w:shd w:val="solid" w:color="000000" w:fill="000000"/>
                <w:fitText w:val="330" w:id="-632053754"/>
                <w14:textFill>
                  <w14:solidFill>
                    <w14:srgbClr w14:val="000000">
                      <w14:alpha w14:val="100000"/>
                    </w14:srgbClr>
                  </w14:solidFill>
                </w14:textFill>
              </w:rPr>
              <w:t>|</w:t>
            </w:r>
            <w:r w:rsidR="00B1126B" w:rsidRPr="001C24CD">
              <w:rPr>
                <w:iCs/>
                <w:vertAlign w:val="superscript"/>
              </w:rPr>
              <w:t>1</w:t>
            </w:r>
          </w:p>
        </w:tc>
        <w:tc>
          <w:tcPr>
            <w:tcW w:w="921" w:type="pct"/>
            <w:tcBorders>
              <w:top w:val="nil"/>
              <w:left w:val="nil"/>
              <w:bottom w:val="single" w:sz="4" w:space="0" w:color="auto"/>
              <w:right w:val="single" w:sz="4" w:space="0" w:color="auto"/>
            </w:tcBorders>
            <w:vAlign w:val="top"/>
          </w:tcPr>
          <w:p w14:paraId="2703E62F" w14:textId="757C1A33"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3"/>
                <w14:textFill>
                  <w14:solidFill>
                    <w14:srgbClr w14:val="000000">
                      <w14:alpha w14:val="100000"/>
                    </w14:srgbClr>
                  </w14:solidFill>
                </w14:textFill>
              </w:rPr>
              <w:t>|||</w:t>
            </w:r>
            <w:r w:rsidR="00BD6E95" w:rsidRPr="00BD6E95">
              <w:rPr>
                <w:iCs/>
                <w:color w:val="000000"/>
                <w:spacing w:val="1"/>
                <w:shd w:val="solid" w:color="000000" w:fill="000000"/>
                <w:fitText w:val="330" w:id="-632053753"/>
                <w14:textFill>
                  <w14:solidFill>
                    <w14:srgbClr w14:val="000000">
                      <w14:alpha w14:val="100000"/>
                    </w14:srgbClr>
                  </w14:solidFill>
                </w14:textFill>
              </w:rPr>
              <w:t>|</w:t>
            </w:r>
            <w:r w:rsidRPr="00935CE1">
              <w:rPr>
                <w:iCs/>
              </w:rPr>
              <w:t>1%</w:t>
            </w:r>
          </w:p>
        </w:tc>
      </w:tr>
      <w:tr w:rsidR="0013702B" w:rsidRPr="00935CE1" w14:paraId="226BF20B" w14:textId="77777777" w:rsidTr="0038153B">
        <w:tc>
          <w:tcPr>
            <w:tcW w:w="5000" w:type="pct"/>
            <w:gridSpan w:val="5"/>
            <w:tcBorders>
              <w:top w:val="single" w:sz="4" w:space="0" w:color="auto"/>
              <w:left w:val="single" w:sz="4" w:space="0" w:color="auto"/>
              <w:bottom w:val="nil"/>
              <w:right w:val="single" w:sz="4" w:space="0" w:color="auto"/>
            </w:tcBorders>
            <w:vAlign w:val="top"/>
          </w:tcPr>
          <w:p w14:paraId="40EB6AC6" w14:textId="77777777" w:rsidR="0013702B" w:rsidRPr="00935CE1" w:rsidRDefault="0013702B" w:rsidP="0013702B">
            <w:pPr>
              <w:pStyle w:val="TableText0"/>
              <w:keepNext w:val="0"/>
              <w:rPr>
                <w:iCs/>
              </w:rPr>
            </w:pPr>
            <w:r w:rsidRPr="00935CE1">
              <w:rPr>
                <w:b/>
                <w:bCs w:val="0"/>
                <w:iCs/>
              </w:rPr>
              <w:t xml:space="preserve">Glofitamab cycles of treatment (base </w:t>
            </w:r>
            <w:r w:rsidRPr="00766526">
              <w:rPr>
                <w:b/>
                <w:bCs w:val="0"/>
                <w:iCs/>
              </w:rPr>
              <w:t xml:space="preserve">case: 8.13 </w:t>
            </w:r>
            <w:r w:rsidRPr="00766526">
              <w:rPr>
                <w:b/>
                <w:bCs w:val="0"/>
                <w:iCs/>
                <w:vertAlign w:val="superscript"/>
              </w:rPr>
              <w:t>a</w:t>
            </w:r>
            <w:r w:rsidRPr="00766526">
              <w:rPr>
                <w:b/>
                <w:bCs w:val="0"/>
                <w:iCs/>
              </w:rPr>
              <w:t>)</w:t>
            </w:r>
          </w:p>
        </w:tc>
      </w:tr>
      <w:tr w:rsidR="0013702B" w:rsidRPr="00935CE1" w14:paraId="66872DB1" w14:textId="77777777" w:rsidTr="00BD2E60">
        <w:tc>
          <w:tcPr>
            <w:tcW w:w="2339" w:type="pct"/>
            <w:tcBorders>
              <w:top w:val="nil"/>
              <w:left w:val="single" w:sz="4" w:space="0" w:color="auto"/>
              <w:bottom w:val="nil"/>
              <w:right w:val="nil"/>
            </w:tcBorders>
            <w:vAlign w:val="bottom"/>
          </w:tcPr>
          <w:p w14:paraId="223147BF" w14:textId="77777777" w:rsidR="0013702B" w:rsidRPr="00935CE1" w:rsidRDefault="0013702B" w:rsidP="007368C9">
            <w:pPr>
              <w:pStyle w:val="TableText0"/>
              <w:keepNext w:val="0"/>
              <w:numPr>
                <w:ilvl w:val="0"/>
                <w:numId w:val="12"/>
              </w:numPr>
              <w:ind w:left="257" w:hanging="257"/>
              <w:rPr>
                <w:iCs/>
              </w:rPr>
            </w:pPr>
            <w:r w:rsidRPr="00935CE1">
              <w:rPr>
                <w:iCs/>
              </w:rPr>
              <w:t xml:space="preserve">Using mean TTD for </w:t>
            </w:r>
            <w:proofErr w:type="spellStart"/>
            <w:r w:rsidRPr="00935CE1">
              <w:rPr>
                <w:iCs/>
              </w:rPr>
              <w:t>glofit</w:t>
            </w:r>
            <w:proofErr w:type="spellEnd"/>
            <w:r w:rsidRPr="00935CE1">
              <w:rPr>
                <w:iCs/>
              </w:rPr>
              <w:t xml:space="preserve"> (8.5)</w:t>
            </w:r>
          </w:p>
        </w:tc>
        <w:tc>
          <w:tcPr>
            <w:tcW w:w="580" w:type="pct"/>
            <w:tcBorders>
              <w:top w:val="nil"/>
              <w:left w:val="nil"/>
              <w:bottom w:val="nil"/>
              <w:right w:val="nil"/>
            </w:tcBorders>
            <w:vAlign w:val="top"/>
          </w:tcPr>
          <w:p w14:paraId="579A2342" w14:textId="70BFEC49"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2"/>
                <w14:textFill>
                  <w14:solidFill>
                    <w14:srgbClr w14:val="000000">
                      <w14:alpha w14:val="100000"/>
                    </w14:srgbClr>
                  </w14:solidFill>
                </w14:textFill>
              </w:rPr>
              <w:t>|||</w:t>
            </w:r>
            <w:r w:rsidR="00BD6E95" w:rsidRPr="00BD6E95">
              <w:rPr>
                <w:iCs/>
                <w:color w:val="000000"/>
                <w:spacing w:val="1"/>
                <w:shd w:val="solid" w:color="000000" w:fill="000000"/>
                <w:fitText w:val="330" w:id="-632053752"/>
                <w14:textFill>
                  <w14:solidFill>
                    <w14:srgbClr w14:val="000000">
                      <w14:alpha w14:val="100000"/>
                    </w14:srgbClr>
                  </w14:solidFill>
                </w14:textFill>
              </w:rPr>
              <w:t>|</w:t>
            </w:r>
          </w:p>
        </w:tc>
        <w:tc>
          <w:tcPr>
            <w:tcW w:w="580" w:type="pct"/>
            <w:tcBorders>
              <w:top w:val="nil"/>
              <w:left w:val="nil"/>
              <w:bottom w:val="nil"/>
              <w:right w:val="nil"/>
            </w:tcBorders>
            <w:vAlign w:val="top"/>
          </w:tcPr>
          <w:p w14:paraId="4F476FA5" w14:textId="77777777" w:rsidR="0013702B" w:rsidRPr="00935CE1" w:rsidRDefault="0013702B" w:rsidP="0013702B">
            <w:pPr>
              <w:pStyle w:val="TableText0"/>
              <w:keepNext w:val="0"/>
              <w:jc w:val="center"/>
              <w:rPr>
                <w:iCs/>
              </w:rPr>
            </w:pPr>
            <w:r w:rsidRPr="00935CE1">
              <w:rPr>
                <w:iCs/>
              </w:rPr>
              <w:t>1.567</w:t>
            </w:r>
          </w:p>
        </w:tc>
        <w:tc>
          <w:tcPr>
            <w:tcW w:w="580" w:type="pct"/>
            <w:tcBorders>
              <w:top w:val="nil"/>
              <w:left w:val="nil"/>
              <w:bottom w:val="nil"/>
              <w:right w:val="nil"/>
            </w:tcBorders>
            <w:vAlign w:val="top"/>
          </w:tcPr>
          <w:p w14:paraId="0292F086" w14:textId="6CD176A6"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1"/>
                <w14:textFill>
                  <w14:solidFill>
                    <w14:srgbClr w14:val="000000">
                      <w14:alpha w14:val="100000"/>
                    </w14:srgbClr>
                  </w14:solidFill>
                </w14:textFill>
              </w:rPr>
              <w:t>|||</w:t>
            </w:r>
            <w:r w:rsidR="00BD6E95" w:rsidRPr="00BD6E95">
              <w:rPr>
                <w:iCs/>
                <w:color w:val="000000"/>
                <w:spacing w:val="1"/>
                <w:shd w:val="solid" w:color="000000" w:fill="000000"/>
                <w:fitText w:val="330" w:id="-632053751"/>
                <w14:textFill>
                  <w14:solidFill>
                    <w14:srgbClr w14:val="000000">
                      <w14:alpha w14:val="100000"/>
                    </w14:srgbClr>
                  </w14:solidFill>
                </w14:textFill>
              </w:rPr>
              <w:t>|</w:t>
            </w:r>
            <w:r w:rsidR="002E2886" w:rsidRPr="00B1126B">
              <w:rPr>
                <w:iCs/>
                <w:vertAlign w:val="superscript"/>
              </w:rPr>
              <w:t>2</w:t>
            </w:r>
          </w:p>
        </w:tc>
        <w:tc>
          <w:tcPr>
            <w:tcW w:w="921" w:type="pct"/>
            <w:tcBorders>
              <w:top w:val="nil"/>
              <w:left w:val="nil"/>
              <w:bottom w:val="nil"/>
              <w:right w:val="single" w:sz="4" w:space="0" w:color="auto"/>
            </w:tcBorders>
            <w:vAlign w:val="top"/>
          </w:tcPr>
          <w:p w14:paraId="5A220784" w14:textId="62A8E5CE" w:rsidR="0013702B" w:rsidRPr="00935CE1" w:rsidRDefault="00BD6E95" w:rsidP="0013702B">
            <w:pPr>
              <w:pStyle w:val="TableText0"/>
              <w:keepNext w:val="0"/>
              <w:jc w:val="center"/>
              <w:rPr>
                <w:iCs/>
              </w:rPr>
            </w:pPr>
            <w:r w:rsidRPr="00BD6E95">
              <w:rPr>
                <w:iCs/>
                <w:color w:val="000000"/>
                <w:spacing w:val="53"/>
                <w:shd w:val="solid" w:color="000000" w:fill="000000"/>
                <w:fitText w:val="330" w:id="-632053750"/>
                <w14:textFill>
                  <w14:solidFill>
                    <w14:srgbClr w14:val="000000">
                      <w14:alpha w14:val="100000"/>
                    </w14:srgbClr>
                  </w14:solidFill>
                </w14:textFill>
              </w:rPr>
              <w:t>|||</w:t>
            </w:r>
            <w:r w:rsidRPr="00BD6E95">
              <w:rPr>
                <w:iCs/>
                <w:color w:val="000000"/>
                <w:spacing w:val="1"/>
                <w:shd w:val="solid" w:color="000000" w:fill="000000"/>
                <w:fitText w:val="330" w:id="-632053750"/>
                <w14:textFill>
                  <w14:solidFill>
                    <w14:srgbClr w14:val="000000">
                      <w14:alpha w14:val="100000"/>
                    </w14:srgbClr>
                  </w14:solidFill>
                </w14:textFill>
              </w:rPr>
              <w:t>|</w:t>
            </w:r>
            <w:r w:rsidR="0013702B" w:rsidRPr="00935CE1">
              <w:rPr>
                <w:iCs/>
              </w:rPr>
              <w:t>%</w:t>
            </w:r>
          </w:p>
        </w:tc>
      </w:tr>
      <w:tr w:rsidR="0013702B" w:rsidRPr="00935CE1" w14:paraId="247D9634" w14:textId="72EFE9A2" w:rsidTr="00BD2E60">
        <w:tc>
          <w:tcPr>
            <w:tcW w:w="2339" w:type="pct"/>
            <w:tcBorders>
              <w:top w:val="nil"/>
              <w:left w:val="single" w:sz="4" w:space="0" w:color="auto"/>
              <w:bottom w:val="single" w:sz="4" w:space="0" w:color="auto"/>
              <w:right w:val="nil"/>
            </w:tcBorders>
            <w:vAlign w:val="bottom"/>
          </w:tcPr>
          <w:p w14:paraId="6AF0CEDE" w14:textId="7E8BE47B" w:rsidR="0013702B" w:rsidRPr="00935CE1" w:rsidRDefault="0013702B" w:rsidP="007368C9">
            <w:pPr>
              <w:pStyle w:val="TableText0"/>
              <w:keepNext w:val="0"/>
              <w:numPr>
                <w:ilvl w:val="0"/>
                <w:numId w:val="12"/>
              </w:numPr>
              <w:ind w:left="257" w:hanging="257"/>
              <w:rPr>
                <w:iCs/>
              </w:rPr>
            </w:pPr>
            <w:r w:rsidRPr="00935CE1">
              <w:rPr>
                <w:iCs/>
              </w:rPr>
              <w:t xml:space="preserve">Using median TTD for </w:t>
            </w:r>
            <w:proofErr w:type="spellStart"/>
            <w:r w:rsidRPr="00935CE1">
              <w:rPr>
                <w:iCs/>
              </w:rPr>
              <w:t>glofit</w:t>
            </w:r>
            <w:proofErr w:type="spellEnd"/>
            <w:r w:rsidRPr="00935CE1">
              <w:rPr>
                <w:iCs/>
              </w:rPr>
              <w:t xml:space="preserve"> (11)</w:t>
            </w:r>
          </w:p>
        </w:tc>
        <w:tc>
          <w:tcPr>
            <w:tcW w:w="580" w:type="pct"/>
            <w:tcBorders>
              <w:top w:val="nil"/>
              <w:left w:val="nil"/>
              <w:bottom w:val="single" w:sz="4" w:space="0" w:color="auto"/>
              <w:right w:val="nil"/>
            </w:tcBorders>
            <w:vAlign w:val="top"/>
          </w:tcPr>
          <w:p w14:paraId="333D063F" w14:textId="4E681DF3"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49"/>
                <w14:textFill>
                  <w14:solidFill>
                    <w14:srgbClr w14:val="000000">
                      <w14:alpha w14:val="100000"/>
                    </w14:srgbClr>
                  </w14:solidFill>
                </w14:textFill>
              </w:rPr>
              <w:t>|||</w:t>
            </w:r>
            <w:r w:rsidR="00BD6E95" w:rsidRPr="00BD6E95">
              <w:rPr>
                <w:iCs/>
                <w:color w:val="000000"/>
                <w:spacing w:val="1"/>
                <w:shd w:val="solid" w:color="000000" w:fill="000000"/>
                <w:fitText w:val="330" w:id="-632053749"/>
                <w14:textFill>
                  <w14:solidFill>
                    <w14:srgbClr w14:val="000000">
                      <w14:alpha w14:val="100000"/>
                    </w14:srgbClr>
                  </w14:solidFill>
                </w14:textFill>
              </w:rPr>
              <w:t>|</w:t>
            </w:r>
          </w:p>
        </w:tc>
        <w:tc>
          <w:tcPr>
            <w:tcW w:w="580" w:type="pct"/>
            <w:tcBorders>
              <w:top w:val="nil"/>
              <w:left w:val="nil"/>
              <w:bottom w:val="single" w:sz="4" w:space="0" w:color="auto"/>
              <w:right w:val="nil"/>
            </w:tcBorders>
            <w:vAlign w:val="top"/>
          </w:tcPr>
          <w:p w14:paraId="4725726F" w14:textId="7E27F466" w:rsidR="0013702B" w:rsidRPr="00935CE1" w:rsidRDefault="0013702B" w:rsidP="0013702B">
            <w:pPr>
              <w:pStyle w:val="TableText0"/>
              <w:keepNext w:val="0"/>
              <w:jc w:val="center"/>
              <w:rPr>
                <w:iCs/>
              </w:rPr>
            </w:pPr>
            <w:r w:rsidRPr="00935CE1">
              <w:rPr>
                <w:iCs/>
              </w:rPr>
              <w:t>1.567</w:t>
            </w:r>
          </w:p>
        </w:tc>
        <w:tc>
          <w:tcPr>
            <w:tcW w:w="580" w:type="pct"/>
            <w:tcBorders>
              <w:top w:val="nil"/>
              <w:left w:val="nil"/>
              <w:bottom w:val="single" w:sz="4" w:space="0" w:color="auto"/>
              <w:right w:val="nil"/>
            </w:tcBorders>
            <w:vAlign w:val="top"/>
          </w:tcPr>
          <w:p w14:paraId="02A3D41C" w14:textId="64F823FC"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48"/>
                <w14:textFill>
                  <w14:solidFill>
                    <w14:srgbClr w14:val="000000">
                      <w14:alpha w14:val="100000"/>
                    </w14:srgbClr>
                  </w14:solidFill>
                </w14:textFill>
              </w:rPr>
              <w:t>|||</w:t>
            </w:r>
            <w:r w:rsidR="00BD6E95" w:rsidRPr="00BD6E95">
              <w:rPr>
                <w:iCs/>
                <w:color w:val="000000"/>
                <w:spacing w:val="1"/>
                <w:shd w:val="solid" w:color="000000" w:fill="000000"/>
                <w:fitText w:val="330" w:id="-632053748"/>
                <w14:textFill>
                  <w14:solidFill>
                    <w14:srgbClr w14:val="000000">
                      <w14:alpha w14:val="100000"/>
                    </w14:srgbClr>
                  </w14:solidFill>
                </w14:textFill>
              </w:rPr>
              <w:t>|</w:t>
            </w:r>
            <w:r w:rsidR="007F1641" w:rsidRPr="001C3C5D">
              <w:rPr>
                <w:iCs/>
                <w:vertAlign w:val="superscript"/>
              </w:rPr>
              <w:t>4</w:t>
            </w:r>
          </w:p>
        </w:tc>
        <w:tc>
          <w:tcPr>
            <w:tcW w:w="921" w:type="pct"/>
            <w:tcBorders>
              <w:top w:val="nil"/>
              <w:left w:val="nil"/>
              <w:bottom w:val="single" w:sz="4" w:space="0" w:color="auto"/>
              <w:right w:val="single" w:sz="4" w:space="0" w:color="auto"/>
            </w:tcBorders>
            <w:vAlign w:val="top"/>
          </w:tcPr>
          <w:p w14:paraId="620CEA18" w14:textId="4BEC3FC3" w:rsidR="0013702B" w:rsidRPr="00935CE1" w:rsidRDefault="00BD6E95" w:rsidP="0013702B">
            <w:pPr>
              <w:pStyle w:val="TableText0"/>
              <w:keepNext w:val="0"/>
              <w:jc w:val="center"/>
              <w:rPr>
                <w:iCs/>
              </w:rPr>
            </w:pPr>
            <w:r w:rsidRPr="00BD6E95">
              <w:rPr>
                <w:iCs/>
                <w:color w:val="000000"/>
                <w:spacing w:val="53"/>
                <w:shd w:val="solid" w:color="000000" w:fill="000000"/>
                <w:fitText w:val="330" w:id="-632053747"/>
                <w14:textFill>
                  <w14:solidFill>
                    <w14:srgbClr w14:val="000000">
                      <w14:alpha w14:val="100000"/>
                    </w14:srgbClr>
                  </w14:solidFill>
                </w14:textFill>
              </w:rPr>
              <w:t>|||</w:t>
            </w:r>
            <w:r w:rsidRPr="00BD6E95">
              <w:rPr>
                <w:iCs/>
                <w:color w:val="000000"/>
                <w:spacing w:val="1"/>
                <w:shd w:val="solid" w:color="000000" w:fill="000000"/>
                <w:fitText w:val="330" w:id="-632053747"/>
                <w14:textFill>
                  <w14:solidFill>
                    <w14:srgbClr w14:val="000000">
                      <w14:alpha w14:val="100000"/>
                    </w14:srgbClr>
                  </w14:solidFill>
                </w14:textFill>
              </w:rPr>
              <w:t>|</w:t>
            </w:r>
            <w:r w:rsidR="0013702B" w:rsidRPr="00935CE1">
              <w:rPr>
                <w:iCs/>
              </w:rPr>
              <w:t>%</w:t>
            </w:r>
          </w:p>
        </w:tc>
      </w:tr>
      <w:tr w:rsidR="0013702B" w:rsidRPr="00935CE1" w14:paraId="0CEAAF96" w14:textId="77777777" w:rsidTr="00BD2E60">
        <w:tc>
          <w:tcPr>
            <w:tcW w:w="5000" w:type="pct"/>
            <w:gridSpan w:val="5"/>
            <w:tcBorders>
              <w:top w:val="single" w:sz="4" w:space="0" w:color="auto"/>
              <w:left w:val="single" w:sz="4" w:space="0" w:color="auto"/>
              <w:bottom w:val="nil"/>
              <w:right w:val="single" w:sz="4" w:space="0" w:color="auto"/>
            </w:tcBorders>
          </w:tcPr>
          <w:p w14:paraId="19953A4F" w14:textId="77777777" w:rsidR="0013702B" w:rsidRPr="00935CE1" w:rsidRDefault="0013702B" w:rsidP="0013702B">
            <w:pPr>
              <w:pStyle w:val="TableText0"/>
              <w:keepNext w:val="0"/>
              <w:rPr>
                <w:b/>
                <w:bCs w:val="0"/>
                <w:iCs/>
              </w:rPr>
            </w:pPr>
            <w:r w:rsidRPr="00935CE1">
              <w:rPr>
                <w:b/>
                <w:bCs w:val="0"/>
                <w:iCs/>
              </w:rPr>
              <w:t>CAR-T cost (base case: $500,000)</w:t>
            </w:r>
          </w:p>
        </w:tc>
      </w:tr>
      <w:tr w:rsidR="00BD2E60" w:rsidRPr="00935CE1" w14:paraId="11F6BF02" w14:textId="77777777" w:rsidTr="00BD2E60">
        <w:tc>
          <w:tcPr>
            <w:tcW w:w="2339" w:type="pct"/>
            <w:tcBorders>
              <w:top w:val="nil"/>
              <w:left w:val="single" w:sz="4" w:space="0" w:color="auto"/>
              <w:bottom w:val="nil"/>
              <w:right w:val="nil"/>
            </w:tcBorders>
            <w:vAlign w:val="top"/>
          </w:tcPr>
          <w:p w14:paraId="6FAD956C" w14:textId="238D879F" w:rsidR="00BD2E60" w:rsidRPr="00935CE1" w:rsidRDefault="00BD2E60" w:rsidP="007368C9">
            <w:pPr>
              <w:pStyle w:val="TableText0"/>
              <w:keepNext w:val="0"/>
              <w:numPr>
                <w:ilvl w:val="0"/>
                <w:numId w:val="12"/>
              </w:numPr>
              <w:ind w:left="257" w:hanging="257"/>
              <w:rPr>
                <w:iCs/>
              </w:rPr>
            </w:pPr>
            <w:r w:rsidRPr="00935CE1">
              <w:rPr>
                <w:iCs/>
              </w:rPr>
              <w:t>$300,000 CAR-T</w:t>
            </w:r>
          </w:p>
        </w:tc>
        <w:tc>
          <w:tcPr>
            <w:tcW w:w="580" w:type="pct"/>
            <w:tcBorders>
              <w:top w:val="nil"/>
              <w:left w:val="nil"/>
              <w:bottom w:val="nil"/>
              <w:right w:val="nil"/>
            </w:tcBorders>
            <w:vAlign w:val="top"/>
          </w:tcPr>
          <w:p w14:paraId="714A3A41" w14:textId="471434A1" w:rsidR="00BD2E60" w:rsidRPr="00935CE1" w:rsidRDefault="00BD2E60" w:rsidP="00BD2E60">
            <w:pPr>
              <w:pStyle w:val="TableText0"/>
              <w:keepNext w:val="0"/>
              <w:jc w:val="center"/>
              <w:rPr>
                <w:iCs/>
              </w:rPr>
            </w:pPr>
            <w:r w:rsidRPr="00935CE1">
              <w:rPr>
                <w:iCs/>
              </w:rPr>
              <w:t>$</w:t>
            </w:r>
            <w:r w:rsidR="00BD6E95" w:rsidRPr="00BD6E95">
              <w:rPr>
                <w:iCs/>
                <w:color w:val="000000"/>
                <w:spacing w:val="53"/>
                <w:shd w:val="solid" w:color="000000" w:fill="000000"/>
                <w:fitText w:val="330" w:id="-632053746"/>
                <w14:textFill>
                  <w14:solidFill>
                    <w14:srgbClr w14:val="000000">
                      <w14:alpha w14:val="100000"/>
                    </w14:srgbClr>
                  </w14:solidFill>
                </w14:textFill>
              </w:rPr>
              <w:t>|||</w:t>
            </w:r>
            <w:r w:rsidR="00BD6E95" w:rsidRPr="00BD6E95">
              <w:rPr>
                <w:iCs/>
                <w:color w:val="000000"/>
                <w:spacing w:val="1"/>
                <w:shd w:val="solid" w:color="000000" w:fill="000000"/>
                <w:fitText w:val="330" w:id="-632053746"/>
                <w14:textFill>
                  <w14:solidFill>
                    <w14:srgbClr w14:val="000000">
                      <w14:alpha w14:val="100000"/>
                    </w14:srgbClr>
                  </w14:solidFill>
                </w14:textFill>
              </w:rPr>
              <w:t>|</w:t>
            </w:r>
          </w:p>
        </w:tc>
        <w:tc>
          <w:tcPr>
            <w:tcW w:w="580" w:type="pct"/>
            <w:tcBorders>
              <w:top w:val="nil"/>
              <w:left w:val="nil"/>
              <w:bottom w:val="nil"/>
              <w:right w:val="nil"/>
            </w:tcBorders>
            <w:vAlign w:val="top"/>
          </w:tcPr>
          <w:p w14:paraId="47A9D0B7" w14:textId="046B319C" w:rsidR="00BD2E60" w:rsidRPr="00935CE1" w:rsidRDefault="00BD2E60" w:rsidP="00BD2E60">
            <w:pPr>
              <w:pStyle w:val="TableText0"/>
              <w:keepNext w:val="0"/>
              <w:jc w:val="center"/>
              <w:rPr>
                <w:iCs/>
              </w:rPr>
            </w:pPr>
            <w:r w:rsidRPr="00935CE1">
              <w:rPr>
                <w:iCs/>
              </w:rPr>
              <w:t>1.567</w:t>
            </w:r>
          </w:p>
        </w:tc>
        <w:tc>
          <w:tcPr>
            <w:tcW w:w="580" w:type="pct"/>
            <w:tcBorders>
              <w:top w:val="nil"/>
              <w:left w:val="nil"/>
              <w:bottom w:val="nil"/>
              <w:right w:val="nil"/>
            </w:tcBorders>
            <w:vAlign w:val="top"/>
          </w:tcPr>
          <w:p w14:paraId="58B8D51F" w14:textId="258AEA43" w:rsidR="00BD2E60" w:rsidRPr="00935CE1" w:rsidRDefault="00BD2E60" w:rsidP="00BD2E60">
            <w:pPr>
              <w:pStyle w:val="TableText0"/>
              <w:keepNext w:val="0"/>
              <w:jc w:val="center"/>
              <w:rPr>
                <w:iCs/>
              </w:rPr>
            </w:pPr>
            <w:r w:rsidRPr="00935CE1">
              <w:rPr>
                <w:iCs/>
              </w:rPr>
              <w:t>$</w:t>
            </w:r>
            <w:r w:rsidR="00BD6E95" w:rsidRPr="00BD6E95">
              <w:rPr>
                <w:iCs/>
                <w:color w:val="000000"/>
                <w:spacing w:val="53"/>
                <w:shd w:val="solid" w:color="000000" w:fill="000000"/>
                <w:fitText w:val="330" w:id="-632053745"/>
                <w14:textFill>
                  <w14:solidFill>
                    <w14:srgbClr w14:val="000000">
                      <w14:alpha w14:val="100000"/>
                    </w14:srgbClr>
                  </w14:solidFill>
                </w14:textFill>
              </w:rPr>
              <w:t>|||</w:t>
            </w:r>
            <w:r w:rsidR="00BD6E95" w:rsidRPr="00BD6E95">
              <w:rPr>
                <w:iCs/>
                <w:color w:val="000000"/>
                <w:spacing w:val="1"/>
                <w:shd w:val="solid" w:color="000000" w:fill="000000"/>
                <w:fitText w:val="330" w:id="-632053745"/>
                <w14:textFill>
                  <w14:solidFill>
                    <w14:srgbClr w14:val="000000">
                      <w14:alpha w14:val="100000"/>
                    </w14:srgbClr>
                  </w14:solidFill>
                </w14:textFill>
              </w:rPr>
              <w:t>|</w:t>
            </w:r>
            <w:r w:rsidR="002E2886" w:rsidRPr="00B1126B">
              <w:rPr>
                <w:iCs/>
                <w:vertAlign w:val="superscript"/>
              </w:rPr>
              <w:t>2</w:t>
            </w:r>
          </w:p>
        </w:tc>
        <w:tc>
          <w:tcPr>
            <w:tcW w:w="921" w:type="pct"/>
            <w:tcBorders>
              <w:top w:val="nil"/>
              <w:left w:val="nil"/>
              <w:bottom w:val="nil"/>
              <w:right w:val="single" w:sz="4" w:space="0" w:color="auto"/>
            </w:tcBorders>
            <w:vAlign w:val="top"/>
          </w:tcPr>
          <w:p w14:paraId="45D4DB88" w14:textId="7E14C9C8" w:rsidR="00BD2E60" w:rsidRPr="00935CE1" w:rsidRDefault="00BD6E95" w:rsidP="00BD2E60">
            <w:pPr>
              <w:pStyle w:val="TableText0"/>
              <w:keepNext w:val="0"/>
              <w:jc w:val="center"/>
              <w:rPr>
                <w:iCs/>
              </w:rPr>
            </w:pPr>
            <w:r w:rsidRPr="00BD6E95">
              <w:rPr>
                <w:iCs/>
                <w:color w:val="000000"/>
                <w:spacing w:val="53"/>
                <w:shd w:val="solid" w:color="000000" w:fill="000000"/>
                <w:fitText w:val="330" w:id="-632053744"/>
                <w14:textFill>
                  <w14:solidFill>
                    <w14:srgbClr w14:val="000000">
                      <w14:alpha w14:val="100000"/>
                    </w14:srgbClr>
                  </w14:solidFill>
                </w14:textFill>
              </w:rPr>
              <w:t>|||</w:t>
            </w:r>
            <w:r w:rsidRPr="00BD6E95">
              <w:rPr>
                <w:iCs/>
                <w:color w:val="000000"/>
                <w:spacing w:val="1"/>
                <w:shd w:val="solid" w:color="000000" w:fill="000000"/>
                <w:fitText w:val="330" w:id="-632053744"/>
                <w14:textFill>
                  <w14:solidFill>
                    <w14:srgbClr w14:val="000000">
                      <w14:alpha w14:val="100000"/>
                    </w14:srgbClr>
                  </w14:solidFill>
                </w14:textFill>
              </w:rPr>
              <w:t>|</w:t>
            </w:r>
            <w:r w:rsidR="00BD2E60" w:rsidRPr="00935CE1">
              <w:rPr>
                <w:iCs/>
              </w:rPr>
              <w:t>%</w:t>
            </w:r>
          </w:p>
        </w:tc>
      </w:tr>
      <w:tr w:rsidR="00BD2E60" w:rsidRPr="00935CE1" w14:paraId="71541C8F" w14:textId="77777777" w:rsidTr="00BD2E60">
        <w:tc>
          <w:tcPr>
            <w:tcW w:w="2339" w:type="pct"/>
            <w:tcBorders>
              <w:top w:val="nil"/>
              <w:left w:val="single" w:sz="4" w:space="0" w:color="auto"/>
              <w:bottom w:val="nil"/>
              <w:right w:val="nil"/>
            </w:tcBorders>
            <w:vAlign w:val="top"/>
          </w:tcPr>
          <w:p w14:paraId="2A22EAD2" w14:textId="2DF6C817" w:rsidR="00BD2E60" w:rsidRPr="00935CE1" w:rsidRDefault="00BD2E60" w:rsidP="007368C9">
            <w:pPr>
              <w:pStyle w:val="TableText0"/>
              <w:keepNext w:val="0"/>
              <w:numPr>
                <w:ilvl w:val="0"/>
                <w:numId w:val="12"/>
              </w:numPr>
              <w:ind w:left="257" w:hanging="257"/>
              <w:rPr>
                <w:iCs/>
              </w:rPr>
            </w:pPr>
            <w:r w:rsidRPr="00935CE1">
              <w:rPr>
                <w:iCs/>
              </w:rPr>
              <w:t>$700,000 CAR-T</w:t>
            </w:r>
          </w:p>
        </w:tc>
        <w:tc>
          <w:tcPr>
            <w:tcW w:w="580" w:type="pct"/>
            <w:tcBorders>
              <w:top w:val="nil"/>
              <w:left w:val="nil"/>
              <w:bottom w:val="nil"/>
              <w:right w:val="nil"/>
            </w:tcBorders>
            <w:vAlign w:val="top"/>
          </w:tcPr>
          <w:p w14:paraId="1897504F" w14:textId="0699BA70" w:rsidR="00BD2E60" w:rsidRPr="00935CE1" w:rsidRDefault="00BD2E60" w:rsidP="00BD2E60">
            <w:pPr>
              <w:pStyle w:val="TableText0"/>
              <w:keepNext w:val="0"/>
              <w:jc w:val="center"/>
              <w:rPr>
                <w:iCs/>
              </w:rPr>
            </w:pPr>
            <w:r w:rsidRPr="00935CE1">
              <w:rPr>
                <w:iCs/>
              </w:rPr>
              <w:t>$</w:t>
            </w:r>
            <w:r w:rsidR="00BD6E95" w:rsidRPr="00BD6E95">
              <w:rPr>
                <w:iCs/>
                <w:color w:val="000000"/>
                <w:spacing w:val="53"/>
                <w:shd w:val="solid" w:color="000000" w:fill="000000"/>
                <w:fitText w:val="330" w:id="-632053760"/>
                <w14:textFill>
                  <w14:solidFill>
                    <w14:srgbClr w14:val="000000">
                      <w14:alpha w14:val="100000"/>
                    </w14:srgbClr>
                  </w14:solidFill>
                </w14:textFill>
              </w:rPr>
              <w:t>|||</w:t>
            </w:r>
            <w:r w:rsidR="00BD6E95" w:rsidRPr="00BD6E95">
              <w:rPr>
                <w:iCs/>
                <w:color w:val="000000"/>
                <w:spacing w:val="1"/>
                <w:shd w:val="solid" w:color="000000" w:fill="000000"/>
                <w:fitText w:val="330" w:id="-632053760"/>
                <w14:textFill>
                  <w14:solidFill>
                    <w14:srgbClr w14:val="000000">
                      <w14:alpha w14:val="100000"/>
                    </w14:srgbClr>
                  </w14:solidFill>
                </w14:textFill>
              </w:rPr>
              <w:t>|</w:t>
            </w:r>
          </w:p>
        </w:tc>
        <w:tc>
          <w:tcPr>
            <w:tcW w:w="580" w:type="pct"/>
            <w:tcBorders>
              <w:top w:val="nil"/>
              <w:left w:val="nil"/>
              <w:bottom w:val="nil"/>
              <w:right w:val="nil"/>
            </w:tcBorders>
            <w:vAlign w:val="top"/>
          </w:tcPr>
          <w:p w14:paraId="7FF0AE41" w14:textId="59295110" w:rsidR="00BD2E60" w:rsidRPr="00935CE1" w:rsidRDefault="00BD2E60" w:rsidP="00BD2E60">
            <w:pPr>
              <w:pStyle w:val="TableText0"/>
              <w:keepNext w:val="0"/>
              <w:jc w:val="center"/>
              <w:rPr>
                <w:iCs/>
              </w:rPr>
            </w:pPr>
            <w:r w:rsidRPr="00935CE1">
              <w:rPr>
                <w:iCs/>
              </w:rPr>
              <w:t>1.567</w:t>
            </w:r>
          </w:p>
        </w:tc>
        <w:tc>
          <w:tcPr>
            <w:tcW w:w="580" w:type="pct"/>
            <w:tcBorders>
              <w:top w:val="nil"/>
              <w:left w:val="nil"/>
              <w:bottom w:val="nil"/>
              <w:right w:val="nil"/>
            </w:tcBorders>
            <w:vAlign w:val="top"/>
          </w:tcPr>
          <w:p w14:paraId="4F59DF5C" w14:textId="5EA1D22B" w:rsidR="00BD2E60" w:rsidRPr="00935CE1" w:rsidRDefault="00BD2E60" w:rsidP="00BD2E60">
            <w:pPr>
              <w:pStyle w:val="TableText0"/>
              <w:keepNext w:val="0"/>
              <w:jc w:val="center"/>
              <w:rPr>
                <w:iCs/>
              </w:rPr>
            </w:pPr>
            <w:r w:rsidRPr="00935CE1">
              <w:rPr>
                <w:iCs/>
              </w:rPr>
              <w:t>$</w:t>
            </w:r>
            <w:r w:rsidR="00BD6E95" w:rsidRPr="00BD6E95">
              <w:rPr>
                <w:iCs/>
                <w:color w:val="000000"/>
                <w:spacing w:val="53"/>
                <w:shd w:val="solid" w:color="000000" w:fill="000000"/>
                <w:fitText w:val="330" w:id="-632053759"/>
                <w14:textFill>
                  <w14:solidFill>
                    <w14:srgbClr w14:val="000000">
                      <w14:alpha w14:val="100000"/>
                    </w14:srgbClr>
                  </w14:solidFill>
                </w14:textFill>
              </w:rPr>
              <w:t>|||</w:t>
            </w:r>
            <w:r w:rsidR="00BD6E95" w:rsidRPr="00BD6E95">
              <w:rPr>
                <w:iCs/>
                <w:color w:val="000000"/>
                <w:spacing w:val="1"/>
                <w:shd w:val="solid" w:color="000000" w:fill="000000"/>
                <w:fitText w:val="330" w:id="-632053759"/>
                <w14:textFill>
                  <w14:solidFill>
                    <w14:srgbClr w14:val="000000">
                      <w14:alpha w14:val="100000"/>
                    </w14:srgbClr>
                  </w14:solidFill>
                </w14:textFill>
              </w:rPr>
              <w:t>|</w:t>
            </w:r>
            <w:r w:rsidR="00B1126B" w:rsidRPr="001C24CD">
              <w:rPr>
                <w:iCs/>
                <w:vertAlign w:val="superscript"/>
              </w:rPr>
              <w:t>1</w:t>
            </w:r>
          </w:p>
        </w:tc>
        <w:tc>
          <w:tcPr>
            <w:tcW w:w="921" w:type="pct"/>
            <w:tcBorders>
              <w:top w:val="nil"/>
              <w:left w:val="nil"/>
              <w:bottom w:val="nil"/>
              <w:right w:val="single" w:sz="4" w:space="0" w:color="auto"/>
            </w:tcBorders>
            <w:vAlign w:val="top"/>
          </w:tcPr>
          <w:p w14:paraId="45DAAE0E" w14:textId="244169AE" w:rsidR="00BD2E60" w:rsidRPr="00935CE1" w:rsidRDefault="00BD2E60" w:rsidP="00BD2E60">
            <w:pPr>
              <w:pStyle w:val="TableText0"/>
              <w:keepNext w:val="0"/>
              <w:jc w:val="center"/>
              <w:rPr>
                <w:iCs/>
              </w:rPr>
            </w:pPr>
            <w:r w:rsidRPr="00935CE1">
              <w:rPr>
                <w:iCs/>
              </w:rPr>
              <w:t>-</w:t>
            </w:r>
            <w:r w:rsidR="00BD6E95" w:rsidRPr="00BD6E95">
              <w:rPr>
                <w:iCs/>
                <w:color w:val="000000"/>
                <w:spacing w:val="53"/>
                <w:shd w:val="solid" w:color="000000" w:fill="000000"/>
                <w:fitText w:val="330" w:id="-632053758"/>
                <w14:textFill>
                  <w14:solidFill>
                    <w14:srgbClr w14:val="000000">
                      <w14:alpha w14:val="100000"/>
                    </w14:srgbClr>
                  </w14:solidFill>
                </w14:textFill>
              </w:rPr>
              <w:t>|||</w:t>
            </w:r>
            <w:r w:rsidR="00BD6E95" w:rsidRPr="00BD6E95">
              <w:rPr>
                <w:iCs/>
                <w:color w:val="000000"/>
                <w:spacing w:val="1"/>
                <w:shd w:val="solid" w:color="000000" w:fill="000000"/>
                <w:fitText w:val="330" w:id="-632053758"/>
                <w14:textFill>
                  <w14:solidFill>
                    <w14:srgbClr w14:val="000000">
                      <w14:alpha w14:val="100000"/>
                    </w14:srgbClr>
                  </w14:solidFill>
                </w14:textFill>
              </w:rPr>
              <w:t>|</w:t>
            </w:r>
            <w:r w:rsidRPr="00935CE1">
              <w:rPr>
                <w:iCs/>
              </w:rPr>
              <w:t>%</w:t>
            </w:r>
          </w:p>
        </w:tc>
      </w:tr>
      <w:tr w:rsidR="0013702B" w:rsidRPr="00935CE1" w14:paraId="72643CB7" w14:textId="77777777" w:rsidTr="00BD2E60">
        <w:tc>
          <w:tcPr>
            <w:tcW w:w="2339" w:type="pct"/>
            <w:tcBorders>
              <w:top w:val="nil"/>
              <w:left w:val="single" w:sz="4" w:space="0" w:color="auto"/>
              <w:bottom w:val="single" w:sz="4" w:space="0" w:color="auto"/>
              <w:right w:val="nil"/>
            </w:tcBorders>
            <w:vAlign w:val="top"/>
          </w:tcPr>
          <w:p w14:paraId="4B98358A" w14:textId="77777777" w:rsidR="0013702B" w:rsidRPr="00935CE1" w:rsidRDefault="0013702B" w:rsidP="007368C9">
            <w:pPr>
              <w:pStyle w:val="TableText0"/>
              <w:keepNext w:val="0"/>
              <w:numPr>
                <w:ilvl w:val="0"/>
                <w:numId w:val="12"/>
              </w:numPr>
              <w:ind w:left="257" w:hanging="257"/>
              <w:rPr>
                <w:iCs/>
              </w:rPr>
            </w:pPr>
            <w:r w:rsidRPr="00935CE1">
              <w:rPr>
                <w:iCs/>
              </w:rPr>
              <w:t>Excluding CAR-T as a subsequent treatment, and redistributing the STARGLO CAR-T users to other subsequent treatment arms</w:t>
            </w:r>
          </w:p>
        </w:tc>
        <w:tc>
          <w:tcPr>
            <w:tcW w:w="580" w:type="pct"/>
            <w:tcBorders>
              <w:top w:val="nil"/>
              <w:left w:val="nil"/>
              <w:bottom w:val="single" w:sz="4" w:space="0" w:color="auto"/>
              <w:right w:val="nil"/>
            </w:tcBorders>
            <w:vAlign w:val="top"/>
          </w:tcPr>
          <w:p w14:paraId="294ADD6E" w14:textId="1DCBFB55"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7"/>
                <w14:textFill>
                  <w14:solidFill>
                    <w14:srgbClr w14:val="000000">
                      <w14:alpha w14:val="100000"/>
                    </w14:srgbClr>
                  </w14:solidFill>
                </w14:textFill>
              </w:rPr>
              <w:t>|||</w:t>
            </w:r>
            <w:r w:rsidR="00BD6E95" w:rsidRPr="00BD6E95">
              <w:rPr>
                <w:iCs/>
                <w:color w:val="000000"/>
                <w:spacing w:val="1"/>
                <w:shd w:val="solid" w:color="000000" w:fill="000000"/>
                <w:fitText w:val="330" w:id="-632053757"/>
                <w14:textFill>
                  <w14:solidFill>
                    <w14:srgbClr w14:val="000000">
                      <w14:alpha w14:val="100000"/>
                    </w14:srgbClr>
                  </w14:solidFill>
                </w14:textFill>
              </w:rPr>
              <w:t>|</w:t>
            </w:r>
          </w:p>
        </w:tc>
        <w:tc>
          <w:tcPr>
            <w:tcW w:w="580" w:type="pct"/>
            <w:tcBorders>
              <w:top w:val="nil"/>
              <w:left w:val="nil"/>
              <w:bottom w:val="single" w:sz="4" w:space="0" w:color="auto"/>
              <w:right w:val="nil"/>
            </w:tcBorders>
            <w:vAlign w:val="top"/>
          </w:tcPr>
          <w:p w14:paraId="381D86D3" w14:textId="77777777" w:rsidR="0013702B" w:rsidRPr="00935CE1" w:rsidRDefault="0013702B" w:rsidP="0013702B">
            <w:pPr>
              <w:pStyle w:val="TableText0"/>
              <w:keepNext w:val="0"/>
              <w:jc w:val="center"/>
              <w:rPr>
                <w:iCs/>
              </w:rPr>
            </w:pPr>
            <w:r w:rsidRPr="00935CE1">
              <w:rPr>
                <w:iCs/>
              </w:rPr>
              <w:t>1.567</w:t>
            </w:r>
          </w:p>
        </w:tc>
        <w:tc>
          <w:tcPr>
            <w:tcW w:w="580" w:type="pct"/>
            <w:tcBorders>
              <w:top w:val="nil"/>
              <w:left w:val="nil"/>
              <w:bottom w:val="single" w:sz="4" w:space="0" w:color="auto"/>
              <w:right w:val="nil"/>
            </w:tcBorders>
            <w:vAlign w:val="top"/>
          </w:tcPr>
          <w:p w14:paraId="5FCA1987" w14:textId="0251C340" w:rsidR="0013702B" w:rsidRPr="00935CE1" w:rsidRDefault="0013702B" w:rsidP="0013702B">
            <w:pPr>
              <w:pStyle w:val="TableText0"/>
              <w:keepNext w:val="0"/>
              <w:jc w:val="center"/>
              <w:rPr>
                <w:iCs/>
              </w:rPr>
            </w:pPr>
            <w:r w:rsidRPr="00935CE1">
              <w:rPr>
                <w:iCs/>
              </w:rPr>
              <w:t>$</w:t>
            </w:r>
            <w:r w:rsidR="00BD6E95" w:rsidRPr="00BD6E95">
              <w:rPr>
                <w:iCs/>
                <w:color w:val="000000"/>
                <w:spacing w:val="53"/>
                <w:shd w:val="solid" w:color="000000" w:fill="000000"/>
                <w:fitText w:val="330" w:id="-632053756"/>
                <w14:textFill>
                  <w14:solidFill>
                    <w14:srgbClr w14:val="000000">
                      <w14:alpha w14:val="100000"/>
                    </w14:srgbClr>
                  </w14:solidFill>
                </w14:textFill>
              </w:rPr>
              <w:t>|||</w:t>
            </w:r>
            <w:r w:rsidR="00BD6E95" w:rsidRPr="00BD6E95">
              <w:rPr>
                <w:iCs/>
                <w:color w:val="000000"/>
                <w:spacing w:val="1"/>
                <w:shd w:val="solid" w:color="000000" w:fill="000000"/>
                <w:fitText w:val="330" w:id="-632053756"/>
                <w14:textFill>
                  <w14:solidFill>
                    <w14:srgbClr w14:val="000000">
                      <w14:alpha w14:val="100000"/>
                    </w14:srgbClr>
                  </w14:solidFill>
                </w14:textFill>
              </w:rPr>
              <w:t>|</w:t>
            </w:r>
            <w:r w:rsidR="007F1641" w:rsidRPr="001C3C5D">
              <w:rPr>
                <w:iCs/>
                <w:vertAlign w:val="superscript"/>
              </w:rPr>
              <w:t>4</w:t>
            </w:r>
          </w:p>
        </w:tc>
        <w:tc>
          <w:tcPr>
            <w:tcW w:w="921" w:type="pct"/>
            <w:tcBorders>
              <w:top w:val="nil"/>
              <w:left w:val="nil"/>
              <w:bottom w:val="single" w:sz="4" w:space="0" w:color="auto"/>
              <w:right w:val="single" w:sz="4" w:space="0" w:color="auto"/>
            </w:tcBorders>
            <w:vAlign w:val="top"/>
          </w:tcPr>
          <w:p w14:paraId="674237D1" w14:textId="7A30E777" w:rsidR="0013702B" w:rsidRPr="00935CE1" w:rsidRDefault="00BD6E95" w:rsidP="0013702B">
            <w:pPr>
              <w:pStyle w:val="TableText0"/>
              <w:keepNext w:val="0"/>
              <w:jc w:val="center"/>
              <w:rPr>
                <w:iCs/>
              </w:rPr>
            </w:pPr>
            <w:r w:rsidRPr="00BD6E95">
              <w:rPr>
                <w:iCs/>
                <w:color w:val="000000"/>
                <w:spacing w:val="53"/>
                <w:shd w:val="solid" w:color="000000" w:fill="000000"/>
                <w:fitText w:val="330" w:id="-632053755"/>
                <w14:textFill>
                  <w14:solidFill>
                    <w14:srgbClr w14:val="000000">
                      <w14:alpha w14:val="100000"/>
                    </w14:srgbClr>
                  </w14:solidFill>
                </w14:textFill>
              </w:rPr>
              <w:t>|||</w:t>
            </w:r>
            <w:r w:rsidRPr="00BD6E95">
              <w:rPr>
                <w:iCs/>
                <w:color w:val="000000"/>
                <w:spacing w:val="1"/>
                <w:shd w:val="solid" w:color="000000" w:fill="000000"/>
                <w:fitText w:val="330" w:id="-632053755"/>
                <w14:textFill>
                  <w14:solidFill>
                    <w14:srgbClr w14:val="000000">
                      <w14:alpha w14:val="100000"/>
                    </w14:srgbClr>
                  </w14:solidFill>
                </w14:textFill>
              </w:rPr>
              <w:t>|</w:t>
            </w:r>
            <w:r w:rsidR="0013702B" w:rsidRPr="00935CE1">
              <w:rPr>
                <w:iCs/>
              </w:rPr>
              <w:t>%</w:t>
            </w:r>
          </w:p>
        </w:tc>
      </w:tr>
    </w:tbl>
    <w:p w14:paraId="22EA916A" w14:textId="0F107188" w:rsidR="00FE25E8" w:rsidRPr="00935CE1" w:rsidRDefault="00FE25E8" w:rsidP="00FE25E8">
      <w:pPr>
        <w:pStyle w:val="TableFigureFooter"/>
        <w:rPr>
          <w:iCs/>
        </w:rPr>
      </w:pPr>
      <w:bookmarkStart w:id="85" w:name="_Toc22897646"/>
      <w:bookmarkStart w:id="86" w:name="_Toc111533142"/>
      <w:bookmarkStart w:id="87" w:name="_Toc113975484"/>
      <w:r w:rsidRPr="00935CE1">
        <w:rPr>
          <w:iCs/>
        </w:rPr>
        <w:t>Source: Compiled during the evaluation from Table 3.42, p140, Table 3.43, p141, Table 3.44, p141, Table 3.45, p141, Table 3.46 and 3.47, p142, Table 3.48, p142, and Table 3.49, p143 of the submission.</w:t>
      </w:r>
    </w:p>
    <w:p w14:paraId="392B15E3" w14:textId="77777777" w:rsidR="00DA2482" w:rsidRPr="00935CE1" w:rsidRDefault="00FE25E8" w:rsidP="00DA2482">
      <w:pPr>
        <w:pStyle w:val="TableFigureFooter"/>
        <w:rPr>
          <w:iCs/>
          <w:vertAlign w:val="superscript"/>
        </w:rPr>
      </w:pPr>
      <w:r w:rsidRPr="00935CE1">
        <w:rPr>
          <w:iCs/>
        </w:rPr>
        <w:t xml:space="preserve">CAR-T=Chimeric antigen receptor T-cell; </w:t>
      </w:r>
      <w:proofErr w:type="spellStart"/>
      <w:r w:rsidRPr="00935CE1">
        <w:rPr>
          <w:iCs/>
        </w:rPr>
        <w:t>GemOx</w:t>
      </w:r>
      <w:proofErr w:type="spellEnd"/>
      <w:r w:rsidRPr="00935CE1">
        <w:rPr>
          <w:iCs/>
        </w:rPr>
        <w:t xml:space="preserve">=gemcitabine + oxaliplatin; </w:t>
      </w:r>
      <w:proofErr w:type="spellStart"/>
      <w:r w:rsidRPr="00935CE1">
        <w:rPr>
          <w:iCs/>
        </w:rPr>
        <w:t>Glofit</w:t>
      </w:r>
      <w:proofErr w:type="spellEnd"/>
      <w:r w:rsidRPr="00935CE1">
        <w:rPr>
          <w:iCs/>
        </w:rPr>
        <w:t>=glofitamab; ICER=incremental cost-effectiveness ratio; LYG=life years gained; OS=overall survival; PFS=progression-free survival; PD=progress</w:t>
      </w:r>
      <w:r w:rsidR="009B2EE8" w:rsidRPr="00935CE1">
        <w:rPr>
          <w:iCs/>
        </w:rPr>
        <w:t>ive</w:t>
      </w:r>
      <w:r w:rsidRPr="00935CE1">
        <w:rPr>
          <w:iCs/>
        </w:rPr>
        <w:t xml:space="preserve"> disease; QALY=quality adjusted life years; R=rituximab</w:t>
      </w:r>
      <w:r w:rsidR="009B2EE8" w:rsidRPr="00935CE1">
        <w:rPr>
          <w:iCs/>
        </w:rPr>
        <w:t>; TTOT=total time on treatment</w:t>
      </w:r>
      <w:r w:rsidRPr="00935CE1">
        <w:rPr>
          <w:iCs/>
        </w:rPr>
        <w:t>.</w:t>
      </w:r>
      <w:r w:rsidR="00DA2482" w:rsidRPr="00935CE1">
        <w:rPr>
          <w:iCs/>
          <w:vertAlign w:val="superscript"/>
        </w:rPr>
        <w:t xml:space="preserve"> </w:t>
      </w:r>
    </w:p>
    <w:p w14:paraId="666D8C52" w14:textId="77777777" w:rsidR="001C24CD" w:rsidRDefault="00DA2482" w:rsidP="001C24CD">
      <w:pPr>
        <w:pStyle w:val="TableFigureFooter"/>
        <w:rPr>
          <w:iCs/>
        </w:rPr>
      </w:pPr>
      <w:proofErr w:type="spellStart"/>
      <w:r w:rsidRPr="00935CE1">
        <w:rPr>
          <w:iCs/>
          <w:vertAlign w:val="superscript"/>
        </w:rPr>
        <w:t>a</w:t>
      </w:r>
      <w:proofErr w:type="spellEnd"/>
      <w:r w:rsidRPr="00935CE1">
        <w:rPr>
          <w:iCs/>
        </w:rPr>
        <w:t xml:space="preserve"> The number of glofitamab treatment cycles in the model was calculated using the reported, hard coded, proportions for glofitamab use in the “Patients receiving treatment” worksheet in the Economic Evauation_glofit.xlsx file. </w:t>
      </w:r>
    </w:p>
    <w:p w14:paraId="7B373F2D" w14:textId="7DFCCDBB" w:rsidR="001C24CD" w:rsidRPr="001154E6" w:rsidRDefault="001C24CD" w:rsidP="001C24CD">
      <w:pPr>
        <w:pStyle w:val="TableFigureFooter"/>
        <w:rPr>
          <w:bCs/>
          <w:i/>
          <w:iCs/>
        </w:rPr>
      </w:pPr>
      <w:r w:rsidRPr="001154E6">
        <w:rPr>
          <w:bCs/>
          <w:i/>
          <w:iCs/>
        </w:rPr>
        <w:t>The redacted values correspond to the following ranges:</w:t>
      </w:r>
    </w:p>
    <w:p w14:paraId="7BE4519E" w14:textId="1AB3103D" w:rsidR="00471802" w:rsidRPr="001154E6" w:rsidRDefault="001C24CD" w:rsidP="00471802">
      <w:pPr>
        <w:pStyle w:val="TableFigureFooter"/>
        <w:rPr>
          <w:bCs/>
          <w:i/>
          <w:iCs/>
        </w:rPr>
      </w:pPr>
      <w:r w:rsidRPr="001154E6">
        <w:rPr>
          <w:bCs/>
          <w:i/>
          <w:iCs/>
          <w:vertAlign w:val="superscript"/>
        </w:rPr>
        <w:t>1</w:t>
      </w:r>
      <w:r w:rsidR="00694DC3" w:rsidRPr="001154E6">
        <w:rPr>
          <w:bCs/>
          <w:i/>
          <w:iCs/>
          <w:vertAlign w:val="superscript"/>
        </w:rPr>
        <w:t xml:space="preserve"> </w:t>
      </w:r>
      <w:r w:rsidRPr="001154E6">
        <w:rPr>
          <w:bCs/>
          <w:i/>
          <w:iCs/>
        </w:rPr>
        <w:t>$35,000 to &lt; $45,000</w:t>
      </w:r>
      <w:r w:rsidR="00471802" w:rsidRPr="001154E6">
        <w:rPr>
          <w:bCs/>
          <w:i/>
          <w:iCs/>
        </w:rPr>
        <w:t xml:space="preserve"> </w:t>
      </w:r>
    </w:p>
    <w:p w14:paraId="753555DA" w14:textId="446DA266" w:rsidR="00471802" w:rsidRPr="001154E6" w:rsidRDefault="00465432" w:rsidP="00471802">
      <w:pPr>
        <w:pStyle w:val="TableFigureFooter"/>
        <w:rPr>
          <w:bCs/>
          <w:i/>
          <w:iCs/>
        </w:rPr>
      </w:pPr>
      <w:r w:rsidRPr="001154E6">
        <w:rPr>
          <w:bCs/>
          <w:i/>
          <w:iCs/>
          <w:vertAlign w:val="superscript"/>
        </w:rPr>
        <w:t>2</w:t>
      </w:r>
      <w:r w:rsidRPr="001154E6">
        <w:rPr>
          <w:bCs/>
          <w:i/>
          <w:iCs/>
        </w:rPr>
        <w:t xml:space="preserve"> </w:t>
      </w:r>
      <w:r w:rsidR="00471802" w:rsidRPr="001154E6">
        <w:rPr>
          <w:bCs/>
          <w:i/>
          <w:iCs/>
        </w:rPr>
        <w:t>$45,000 to &lt; $55,000</w:t>
      </w:r>
    </w:p>
    <w:p w14:paraId="7D140631" w14:textId="77777777" w:rsidR="00456809" w:rsidRPr="001154E6" w:rsidRDefault="00456809" w:rsidP="00456809">
      <w:pPr>
        <w:pStyle w:val="TableFigureFooter"/>
        <w:rPr>
          <w:bCs/>
          <w:i/>
          <w:iCs/>
        </w:rPr>
      </w:pPr>
      <w:r w:rsidRPr="001154E6">
        <w:rPr>
          <w:bCs/>
          <w:i/>
          <w:iCs/>
          <w:vertAlign w:val="superscript"/>
        </w:rPr>
        <w:t>3</w:t>
      </w:r>
      <w:r w:rsidRPr="001154E6">
        <w:rPr>
          <w:bCs/>
          <w:i/>
          <w:iCs/>
        </w:rPr>
        <w:t xml:space="preserve"> $25,000 to &lt; $35,000</w:t>
      </w:r>
    </w:p>
    <w:p w14:paraId="057A26E0" w14:textId="0BFB422A" w:rsidR="001C3C5D" w:rsidRPr="001154E6" w:rsidRDefault="001C3C5D" w:rsidP="001C3C5D">
      <w:pPr>
        <w:pStyle w:val="TableFigureFooter"/>
        <w:rPr>
          <w:bCs/>
          <w:i/>
          <w:iCs/>
        </w:rPr>
      </w:pPr>
      <w:r w:rsidRPr="001154E6">
        <w:rPr>
          <w:bCs/>
          <w:i/>
          <w:iCs/>
          <w:vertAlign w:val="superscript"/>
        </w:rPr>
        <w:t xml:space="preserve">4 </w:t>
      </w:r>
      <w:r w:rsidRPr="001154E6">
        <w:rPr>
          <w:bCs/>
          <w:i/>
          <w:iCs/>
        </w:rPr>
        <w:t xml:space="preserve">$55,000 to &lt; $75,000 </w:t>
      </w:r>
    </w:p>
    <w:p w14:paraId="709A928F" w14:textId="7A781570" w:rsidR="009D794C" w:rsidRPr="001154E6" w:rsidRDefault="009D794C" w:rsidP="009D794C">
      <w:pPr>
        <w:pStyle w:val="TableFigureFooter"/>
        <w:rPr>
          <w:bCs/>
          <w:i/>
          <w:iCs/>
        </w:rPr>
      </w:pPr>
      <w:r w:rsidRPr="001154E6">
        <w:rPr>
          <w:bCs/>
          <w:i/>
          <w:iCs/>
          <w:vertAlign w:val="superscript"/>
        </w:rPr>
        <w:t xml:space="preserve">5 </w:t>
      </w:r>
      <w:r w:rsidRPr="001154E6">
        <w:rPr>
          <w:bCs/>
          <w:i/>
          <w:iCs/>
        </w:rPr>
        <w:t>$75,000 to &lt; $95,000</w:t>
      </w:r>
    </w:p>
    <w:p w14:paraId="13DB3DE5" w14:textId="096E90D2" w:rsidR="007D38FE" w:rsidRPr="00935CE1" w:rsidRDefault="00B460CB" w:rsidP="00154042">
      <w:pPr>
        <w:numPr>
          <w:ilvl w:val="1"/>
          <w:numId w:val="1"/>
        </w:numPr>
        <w:spacing w:before="60" w:after="60"/>
        <w:rPr>
          <w:rFonts w:asciiTheme="minorHAnsi" w:hAnsiTheme="minorHAnsi"/>
          <w:iCs/>
          <w:snapToGrid w:val="0"/>
        </w:rPr>
      </w:pPr>
      <w:bookmarkStart w:id="88" w:name="_Ref203994586"/>
      <w:r w:rsidRPr="00935CE1">
        <w:rPr>
          <w:rFonts w:asciiTheme="minorHAnsi" w:hAnsiTheme="minorHAnsi"/>
          <w:iCs/>
          <w:snapToGrid w:val="0"/>
        </w:rPr>
        <w:t xml:space="preserve">As outlined in paragraph </w:t>
      </w:r>
      <w:r w:rsidRPr="00935CE1">
        <w:rPr>
          <w:rFonts w:asciiTheme="minorHAnsi" w:hAnsiTheme="minorHAnsi"/>
          <w:iCs/>
          <w:snapToGrid w:val="0"/>
        </w:rPr>
        <w:fldChar w:fldCharType="begin" w:fldLock="1"/>
      </w:r>
      <w:r w:rsidRPr="00935CE1">
        <w:rPr>
          <w:rFonts w:asciiTheme="minorHAnsi" w:hAnsiTheme="minorHAnsi"/>
          <w:iCs/>
          <w:snapToGrid w:val="0"/>
        </w:rPr>
        <w:instrText xml:space="preserve"> REF _Ref201087453 \r \h </w:instrText>
      </w:r>
      <w:r w:rsidR="00C26133" w:rsidRPr="00935CE1">
        <w:rPr>
          <w:rFonts w:asciiTheme="minorHAnsi" w:hAnsiTheme="minorHAnsi"/>
          <w:iCs/>
          <w:snapToGrid w:val="0"/>
        </w:rPr>
        <w:instrText xml:space="preserve"> \* MERGEFORMAT </w:instrText>
      </w:r>
      <w:r w:rsidRPr="00935CE1">
        <w:rPr>
          <w:rFonts w:asciiTheme="minorHAnsi" w:hAnsiTheme="minorHAnsi"/>
          <w:iCs/>
          <w:snapToGrid w:val="0"/>
        </w:rPr>
      </w:r>
      <w:r w:rsidRPr="00935CE1">
        <w:rPr>
          <w:rFonts w:asciiTheme="minorHAnsi" w:hAnsiTheme="minorHAnsi"/>
          <w:iCs/>
          <w:snapToGrid w:val="0"/>
        </w:rPr>
        <w:fldChar w:fldCharType="separate"/>
      </w:r>
      <w:r w:rsidR="003C21E7">
        <w:rPr>
          <w:rFonts w:asciiTheme="minorHAnsi" w:hAnsiTheme="minorHAnsi"/>
          <w:iCs/>
          <w:snapToGrid w:val="0"/>
        </w:rPr>
        <w:t>6.41</w:t>
      </w:r>
      <w:r w:rsidRPr="00935CE1">
        <w:rPr>
          <w:rFonts w:asciiTheme="minorHAnsi" w:hAnsiTheme="minorHAnsi"/>
          <w:iCs/>
          <w:snapToGrid w:val="0"/>
        </w:rPr>
        <w:fldChar w:fldCharType="end"/>
      </w:r>
      <w:r w:rsidR="00BB79D0" w:rsidRPr="00935CE1">
        <w:rPr>
          <w:rFonts w:asciiTheme="minorHAnsi" w:hAnsiTheme="minorHAnsi"/>
          <w:iCs/>
          <w:snapToGrid w:val="0"/>
        </w:rPr>
        <w:t>,</w:t>
      </w:r>
      <w:r w:rsidRPr="00935CE1">
        <w:rPr>
          <w:rFonts w:asciiTheme="minorHAnsi" w:hAnsiTheme="minorHAnsi"/>
          <w:iCs/>
          <w:snapToGrid w:val="0"/>
        </w:rPr>
        <w:t xml:space="preserve"> the PSCR provided a revised </w:t>
      </w:r>
      <w:r w:rsidR="002F66BD" w:rsidRPr="00935CE1">
        <w:rPr>
          <w:rFonts w:asciiTheme="minorHAnsi" w:hAnsiTheme="minorHAnsi"/>
          <w:iCs/>
          <w:snapToGrid w:val="0"/>
        </w:rPr>
        <w:t>economic model</w:t>
      </w:r>
      <w:r w:rsidRPr="00935CE1">
        <w:rPr>
          <w:rFonts w:asciiTheme="minorHAnsi" w:hAnsiTheme="minorHAnsi"/>
          <w:iCs/>
          <w:snapToGrid w:val="0"/>
        </w:rPr>
        <w:t xml:space="preserve"> that</w:t>
      </w:r>
      <w:r w:rsidR="005E593E" w:rsidRPr="00935CE1">
        <w:rPr>
          <w:rFonts w:asciiTheme="minorHAnsi" w:hAnsiTheme="minorHAnsi"/>
          <w:iCs/>
          <w:snapToGrid w:val="0"/>
        </w:rPr>
        <w:t xml:space="preserve"> corrected the </w:t>
      </w:r>
      <w:r w:rsidR="005E593E" w:rsidRPr="00935CE1">
        <w:rPr>
          <w:iCs/>
        </w:rPr>
        <w:t>internal inconsistency in determining when patients discontinued treatment to calculate costs and QALYs</w:t>
      </w:r>
      <w:r w:rsidR="009B4EBB" w:rsidRPr="00935CE1">
        <w:rPr>
          <w:iCs/>
        </w:rPr>
        <w:t xml:space="preserve"> and </w:t>
      </w:r>
      <w:r w:rsidR="00BB79D0" w:rsidRPr="00935CE1">
        <w:rPr>
          <w:iCs/>
        </w:rPr>
        <w:t>a small number of errors</w:t>
      </w:r>
      <w:r w:rsidR="007D5525" w:rsidRPr="00935CE1">
        <w:rPr>
          <w:iCs/>
        </w:rPr>
        <w:t>.</w:t>
      </w:r>
      <w:r w:rsidR="00BC745F" w:rsidRPr="00935CE1">
        <w:rPr>
          <w:iCs/>
        </w:rPr>
        <w:t xml:space="preserve"> </w:t>
      </w:r>
      <w:r w:rsidR="00873E11" w:rsidRPr="00935CE1">
        <w:rPr>
          <w:iCs/>
        </w:rPr>
        <w:t>T</w:t>
      </w:r>
      <w:r w:rsidR="00BC745F" w:rsidRPr="00935CE1">
        <w:rPr>
          <w:iCs/>
        </w:rPr>
        <w:t xml:space="preserve">he revised </w:t>
      </w:r>
      <w:r w:rsidR="002F66BD" w:rsidRPr="00935CE1">
        <w:rPr>
          <w:iCs/>
        </w:rPr>
        <w:t>economic model</w:t>
      </w:r>
      <w:r w:rsidR="00BC745F" w:rsidRPr="00935CE1">
        <w:rPr>
          <w:iCs/>
        </w:rPr>
        <w:t xml:space="preserve"> </w:t>
      </w:r>
      <w:r w:rsidR="00873E11" w:rsidRPr="00935CE1">
        <w:rPr>
          <w:iCs/>
        </w:rPr>
        <w:t xml:space="preserve">also </w:t>
      </w:r>
      <w:r w:rsidR="00BC745F" w:rsidRPr="00935CE1">
        <w:rPr>
          <w:iCs/>
        </w:rPr>
        <w:t>removed the half-cycle correction.</w:t>
      </w:r>
      <w:r w:rsidR="007325B5" w:rsidRPr="00935CE1">
        <w:rPr>
          <w:iCs/>
        </w:rPr>
        <w:t xml:space="preserve"> The revised economic model provided in the PSCR </w:t>
      </w:r>
      <w:r w:rsidR="00682772" w:rsidRPr="00935CE1">
        <w:rPr>
          <w:iCs/>
        </w:rPr>
        <w:t xml:space="preserve">decreased the ICER from </w:t>
      </w:r>
      <w:r w:rsidR="00860374" w:rsidRPr="00860374">
        <w:rPr>
          <w:iCs/>
        </w:rPr>
        <w:t>$35,000 to &lt; $45,000</w:t>
      </w:r>
      <w:r w:rsidR="00E953C7" w:rsidRPr="00935CE1">
        <w:rPr>
          <w:iCs/>
        </w:rPr>
        <w:t xml:space="preserve">per QALY gained to </w:t>
      </w:r>
      <w:r w:rsidR="00860374" w:rsidRPr="00860374">
        <w:rPr>
          <w:iCs/>
        </w:rPr>
        <w:t>$35,000 to &lt; $45,000</w:t>
      </w:r>
      <w:r w:rsidR="00E953C7" w:rsidRPr="00935CE1">
        <w:rPr>
          <w:iCs/>
        </w:rPr>
        <w:t>per QALY gained</w:t>
      </w:r>
      <w:r w:rsidR="007D38FE" w:rsidRPr="00935CE1">
        <w:rPr>
          <w:iCs/>
        </w:rPr>
        <w:t xml:space="preserve"> (See </w:t>
      </w:r>
      <w:r w:rsidR="00952553" w:rsidRPr="00935CE1">
        <w:rPr>
          <w:iCs/>
        </w:rPr>
        <w:fldChar w:fldCharType="begin" w:fldLock="1"/>
      </w:r>
      <w:r w:rsidR="00952553" w:rsidRPr="00935CE1">
        <w:rPr>
          <w:iCs/>
        </w:rPr>
        <w:instrText xml:space="preserve"> REF _Ref201137030 \h  \* MERGEFORMAT </w:instrText>
      </w:r>
      <w:r w:rsidR="00952553" w:rsidRPr="00935CE1">
        <w:rPr>
          <w:iCs/>
        </w:rPr>
      </w:r>
      <w:r w:rsidR="00952553" w:rsidRPr="00935CE1">
        <w:rPr>
          <w:iCs/>
        </w:rPr>
        <w:fldChar w:fldCharType="separate"/>
      </w:r>
      <w:r w:rsidR="003C21E7" w:rsidRPr="00935CE1">
        <w:rPr>
          <w:iCs/>
        </w:rPr>
        <w:t xml:space="preserve">Table </w:t>
      </w:r>
      <w:r w:rsidR="003C21E7">
        <w:rPr>
          <w:iCs/>
          <w:noProof/>
        </w:rPr>
        <w:t>14</w:t>
      </w:r>
      <w:r w:rsidR="00952553" w:rsidRPr="00935CE1">
        <w:rPr>
          <w:iCs/>
        </w:rPr>
        <w:fldChar w:fldCharType="end"/>
      </w:r>
      <w:r w:rsidR="007D38FE" w:rsidRPr="00935CE1">
        <w:rPr>
          <w:iCs/>
        </w:rPr>
        <w:t>).</w:t>
      </w:r>
      <w:bookmarkEnd w:id="88"/>
      <w:r w:rsidR="007D38FE" w:rsidRPr="00935CE1">
        <w:rPr>
          <w:iCs/>
        </w:rPr>
        <w:t xml:space="preserve"> </w:t>
      </w:r>
    </w:p>
    <w:p w14:paraId="75656E95" w14:textId="77777777" w:rsidR="00C76BC2" w:rsidRDefault="00C76BC2" w:rsidP="00C76BC2">
      <w:pPr>
        <w:pStyle w:val="Caption"/>
        <w:keepNext w:val="0"/>
        <w:keepLines w:val="0"/>
        <w:widowControl w:val="0"/>
        <w:rPr>
          <w:iCs/>
        </w:rPr>
      </w:pPr>
      <w:bookmarkStart w:id="89" w:name="_Ref201137030"/>
    </w:p>
    <w:p w14:paraId="1A5A2DDB" w14:textId="77777777" w:rsidR="00C76BC2" w:rsidRDefault="00C76BC2" w:rsidP="00C76BC2">
      <w:pPr>
        <w:pStyle w:val="Caption"/>
        <w:keepNext w:val="0"/>
        <w:keepLines w:val="0"/>
        <w:widowControl w:val="0"/>
        <w:rPr>
          <w:iCs/>
        </w:rPr>
      </w:pPr>
    </w:p>
    <w:p w14:paraId="37CFAA54" w14:textId="77777777" w:rsidR="00C76BC2" w:rsidRDefault="00C76BC2" w:rsidP="00C76BC2">
      <w:pPr>
        <w:pStyle w:val="Caption"/>
        <w:keepNext w:val="0"/>
        <w:keepLines w:val="0"/>
        <w:widowControl w:val="0"/>
        <w:rPr>
          <w:iCs/>
        </w:rPr>
      </w:pPr>
    </w:p>
    <w:p w14:paraId="0C21A71F" w14:textId="25228186" w:rsidR="00E953C7" w:rsidRPr="00935CE1" w:rsidRDefault="00F257F5" w:rsidP="00F257F5">
      <w:pPr>
        <w:pStyle w:val="Caption"/>
        <w:rPr>
          <w:rFonts w:asciiTheme="minorHAnsi" w:hAnsiTheme="minorHAnsi"/>
          <w:iCs/>
          <w:snapToGrid w:val="0"/>
        </w:rPr>
      </w:pPr>
      <w:r w:rsidRPr="00935CE1">
        <w:rPr>
          <w:iCs/>
        </w:rPr>
        <w:t xml:space="preserve">Table </w:t>
      </w:r>
      <w:r w:rsidRPr="00935CE1">
        <w:rPr>
          <w:iCs/>
        </w:rPr>
        <w:fldChar w:fldCharType="begin" w:fldLock="1"/>
      </w:r>
      <w:r w:rsidRPr="00935CE1">
        <w:rPr>
          <w:iCs/>
        </w:rPr>
        <w:instrText xml:space="preserve"> SEQ Table \* ARABIC </w:instrText>
      </w:r>
      <w:r w:rsidRPr="00935CE1">
        <w:rPr>
          <w:iCs/>
        </w:rPr>
        <w:fldChar w:fldCharType="separate"/>
      </w:r>
      <w:r w:rsidR="003C21E7">
        <w:rPr>
          <w:iCs/>
          <w:noProof/>
        </w:rPr>
        <w:t>14</w:t>
      </w:r>
      <w:r w:rsidRPr="00935CE1">
        <w:rPr>
          <w:iCs/>
          <w:noProof/>
        </w:rPr>
        <w:fldChar w:fldCharType="end"/>
      </w:r>
      <w:bookmarkEnd w:id="89"/>
      <w:r w:rsidRPr="00935CE1">
        <w:rPr>
          <w:iCs/>
        </w:rPr>
        <w:t xml:space="preserve"> PSCR revised base case and sensitivity analyses</w:t>
      </w:r>
      <w:r w:rsidR="00E953C7" w:rsidRPr="00935CE1">
        <w:rPr>
          <w:iCs/>
        </w:rPr>
        <w:t xml:space="preserve"> </w:t>
      </w:r>
    </w:p>
    <w:tbl>
      <w:tblPr>
        <w:tblStyle w:val="TableGrid"/>
        <w:tblW w:w="0" w:type="auto"/>
        <w:tblCellMar>
          <w:left w:w="28" w:type="dxa"/>
          <w:right w:w="28" w:type="dxa"/>
        </w:tblCellMar>
        <w:tblLook w:val="04A0" w:firstRow="1" w:lastRow="0" w:firstColumn="1" w:lastColumn="0" w:noHBand="0" w:noVBand="1"/>
        <w:tblCaption w:val="Table 14 PSCR revised base case and sensitivity analyses "/>
      </w:tblPr>
      <w:tblGrid>
        <w:gridCol w:w="5406"/>
        <w:gridCol w:w="977"/>
        <w:gridCol w:w="977"/>
        <w:gridCol w:w="836"/>
        <w:gridCol w:w="821"/>
      </w:tblGrid>
      <w:tr w:rsidR="00602EEB" w:rsidRPr="00935CE1" w14:paraId="0DDFE8BD" w14:textId="77777777" w:rsidTr="00BD6E95">
        <w:tc>
          <w:tcPr>
            <w:tcW w:w="5406" w:type="dxa"/>
            <w:tcBorders>
              <w:top w:val="single" w:sz="4" w:space="0" w:color="auto"/>
              <w:left w:val="single" w:sz="4" w:space="0" w:color="auto"/>
              <w:bottom w:val="single" w:sz="4" w:space="0" w:color="auto"/>
              <w:right w:val="single" w:sz="4" w:space="0" w:color="auto"/>
            </w:tcBorders>
          </w:tcPr>
          <w:p w14:paraId="04EE959E" w14:textId="77777777" w:rsidR="00602EEB" w:rsidRPr="00935CE1" w:rsidRDefault="00602EEB">
            <w:pPr>
              <w:rPr>
                <w:rFonts w:ascii="Arial Narrow" w:hAnsi="Arial Narrow" w:cstheme="minorBidi"/>
                <w:iCs/>
                <w:sz w:val="20"/>
                <w:szCs w:val="20"/>
              </w:rPr>
            </w:pPr>
          </w:p>
        </w:tc>
        <w:tc>
          <w:tcPr>
            <w:tcW w:w="977" w:type="dxa"/>
            <w:tcBorders>
              <w:top w:val="single" w:sz="4" w:space="0" w:color="auto"/>
              <w:left w:val="single" w:sz="4" w:space="0" w:color="auto"/>
              <w:bottom w:val="single" w:sz="4" w:space="0" w:color="auto"/>
              <w:right w:val="single" w:sz="4" w:space="0" w:color="auto"/>
            </w:tcBorders>
            <w:hideMark/>
          </w:tcPr>
          <w:p w14:paraId="4FEE8937" w14:textId="6B1035A6" w:rsidR="00602EEB" w:rsidRPr="00935CE1" w:rsidRDefault="00602EEB" w:rsidP="00602EEB">
            <w:pPr>
              <w:jc w:val="center"/>
              <w:rPr>
                <w:rFonts w:ascii="Arial Narrow" w:hAnsi="Arial Narrow"/>
                <w:b/>
                <w:bCs/>
                <w:iCs/>
                <w:sz w:val="20"/>
                <w:szCs w:val="20"/>
              </w:rPr>
            </w:pPr>
            <w:r w:rsidRPr="00935CE1">
              <w:rPr>
                <w:rFonts w:ascii="Arial Narrow" w:hAnsi="Arial Narrow"/>
                <w:b/>
                <w:bCs/>
                <w:iCs/>
                <w:sz w:val="20"/>
                <w:szCs w:val="20"/>
              </w:rPr>
              <w:t>Incremental cost</w:t>
            </w:r>
            <w:r w:rsidR="00797198">
              <w:rPr>
                <w:rFonts w:ascii="Arial Narrow" w:hAnsi="Arial Narrow"/>
                <w:b/>
                <w:bCs/>
                <w:iCs/>
                <w:sz w:val="20"/>
                <w:szCs w:val="20"/>
              </w:rPr>
              <w:t xml:space="preserve"> ($)</w:t>
            </w:r>
          </w:p>
        </w:tc>
        <w:tc>
          <w:tcPr>
            <w:tcW w:w="977" w:type="dxa"/>
            <w:tcBorders>
              <w:top w:val="single" w:sz="4" w:space="0" w:color="auto"/>
              <w:left w:val="single" w:sz="4" w:space="0" w:color="auto"/>
              <w:bottom w:val="single" w:sz="4" w:space="0" w:color="auto"/>
              <w:right w:val="single" w:sz="4" w:space="0" w:color="auto"/>
            </w:tcBorders>
            <w:hideMark/>
          </w:tcPr>
          <w:p w14:paraId="0D12F360" w14:textId="3F2C2962" w:rsidR="00602EEB" w:rsidRPr="00935CE1" w:rsidRDefault="00602EEB" w:rsidP="00602EEB">
            <w:pPr>
              <w:jc w:val="center"/>
              <w:rPr>
                <w:rFonts w:ascii="Arial Narrow" w:hAnsi="Arial Narrow"/>
                <w:b/>
                <w:bCs/>
                <w:iCs/>
                <w:sz w:val="20"/>
                <w:szCs w:val="20"/>
              </w:rPr>
            </w:pPr>
            <w:r w:rsidRPr="00935CE1">
              <w:rPr>
                <w:rFonts w:ascii="Arial Narrow" w:hAnsi="Arial Narrow"/>
                <w:b/>
                <w:bCs/>
                <w:iCs/>
                <w:sz w:val="20"/>
                <w:szCs w:val="20"/>
              </w:rPr>
              <w:t>Incremental QALY</w:t>
            </w:r>
          </w:p>
        </w:tc>
        <w:tc>
          <w:tcPr>
            <w:tcW w:w="836" w:type="dxa"/>
            <w:tcBorders>
              <w:top w:val="single" w:sz="4" w:space="0" w:color="auto"/>
              <w:left w:val="single" w:sz="4" w:space="0" w:color="auto"/>
              <w:bottom w:val="single" w:sz="4" w:space="0" w:color="auto"/>
              <w:right w:val="single" w:sz="4" w:space="0" w:color="auto"/>
            </w:tcBorders>
            <w:hideMark/>
          </w:tcPr>
          <w:p w14:paraId="2B0F6F09" w14:textId="77777777" w:rsidR="00602EEB" w:rsidRPr="00935CE1" w:rsidRDefault="00602EEB" w:rsidP="00602EEB">
            <w:pPr>
              <w:jc w:val="center"/>
              <w:rPr>
                <w:rFonts w:ascii="Arial Narrow" w:hAnsi="Arial Narrow"/>
                <w:b/>
                <w:bCs/>
                <w:iCs/>
                <w:sz w:val="20"/>
                <w:szCs w:val="20"/>
              </w:rPr>
            </w:pPr>
            <w:r w:rsidRPr="00935CE1">
              <w:rPr>
                <w:rFonts w:ascii="Arial Narrow" w:hAnsi="Arial Narrow"/>
                <w:b/>
                <w:bCs/>
                <w:iCs/>
                <w:sz w:val="20"/>
                <w:szCs w:val="20"/>
              </w:rPr>
              <w:t>ICER</w:t>
            </w:r>
          </w:p>
        </w:tc>
        <w:tc>
          <w:tcPr>
            <w:tcW w:w="821" w:type="dxa"/>
            <w:tcBorders>
              <w:top w:val="single" w:sz="4" w:space="0" w:color="auto"/>
              <w:left w:val="single" w:sz="4" w:space="0" w:color="auto"/>
              <w:bottom w:val="single" w:sz="4" w:space="0" w:color="auto"/>
              <w:right w:val="single" w:sz="4" w:space="0" w:color="auto"/>
            </w:tcBorders>
            <w:hideMark/>
          </w:tcPr>
          <w:p w14:paraId="0A2378DA" w14:textId="47154B3F" w:rsidR="00602EEB" w:rsidRPr="00935CE1" w:rsidRDefault="00602EEB" w:rsidP="00602EEB">
            <w:pPr>
              <w:jc w:val="center"/>
              <w:rPr>
                <w:rFonts w:ascii="Arial Narrow" w:hAnsi="Arial Narrow"/>
                <w:b/>
                <w:bCs/>
                <w:iCs/>
                <w:sz w:val="20"/>
                <w:szCs w:val="20"/>
              </w:rPr>
            </w:pPr>
            <w:r w:rsidRPr="00935CE1">
              <w:rPr>
                <w:rFonts w:ascii="Arial Narrow" w:hAnsi="Arial Narrow"/>
                <w:b/>
                <w:bCs/>
                <w:iCs/>
                <w:sz w:val="20"/>
                <w:szCs w:val="20"/>
              </w:rPr>
              <w:t>% Change</w:t>
            </w:r>
          </w:p>
        </w:tc>
      </w:tr>
      <w:tr w:rsidR="00602EEB" w:rsidRPr="00935CE1" w14:paraId="49664250" w14:textId="77777777" w:rsidTr="00BD6E95">
        <w:tc>
          <w:tcPr>
            <w:tcW w:w="5406" w:type="dxa"/>
            <w:tcBorders>
              <w:top w:val="single" w:sz="4" w:space="0" w:color="auto"/>
              <w:left w:val="single" w:sz="4" w:space="0" w:color="auto"/>
              <w:bottom w:val="nil"/>
              <w:right w:val="single" w:sz="4" w:space="0" w:color="auto"/>
            </w:tcBorders>
            <w:hideMark/>
          </w:tcPr>
          <w:p w14:paraId="61F04E36" w14:textId="77777777" w:rsidR="00602EEB" w:rsidRPr="00935CE1" w:rsidRDefault="00602EEB">
            <w:pPr>
              <w:rPr>
                <w:rFonts w:ascii="Arial Narrow" w:hAnsi="Arial Narrow"/>
                <w:b/>
                <w:bCs/>
                <w:iCs/>
                <w:sz w:val="20"/>
                <w:szCs w:val="20"/>
              </w:rPr>
            </w:pPr>
            <w:r w:rsidRPr="00935CE1">
              <w:rPr>
                <w:rFonts w:ascii="Arial Narrow" w:hAnsi="Arial Narrow"/>
                <w:b/>
                <w:bCs/>
                <w:iCs/>
                <w:sz w:val="20"/>
                <w:szCs w:val="20"/>
              </w:rPr>
              <w:t>Submission’s base case</w:t>
            </w:r>
          </w:p>
        </w:tc>
        <w:tc>
          <w:tcPr>
            <w:tcW w:w="977" w:type="dxa"/>
            <w:tcBorders>
              <w:top w:val="single" w:sz="4" w:space="0" w:color="auto"/>
              <w:left w:val="single" w:sz="4" w:space="0" w:color="auto"/>
              <w:bottom w:val="nil"/>
              <w:right w:val="single" w:sz="4" w:space="0" w:color="auto"/>
            </w:tcBorders>
            <w:shd w:val="solid" w:color="000000" w:fill="000000"/>
            <w:hideMark/>
          </w:tcPr>
          <w:p w14:paraId="5AF54642" w14:textId="2375C899" w:rsidR="00602EEB" w:rsidRPr="00C76BC2" w:rsidRDefault="00BD6E95">
            <w:pPr>
              <w:rPr>
                <w:rFonts w:ascii="Arial Narrow" w:hAnsi="Arial Narrow"/>
                <w:b/>
                <w:bCs/>
                <w:iCs/>
                <w:sz w:val="20"/>
                <w:szCs w:val="20"/>
                <w:highlight w:val="darkGray"/>
              </w:rPr>
            </w:pPr>
            <w:r w:rsidRPr="00BD6E95">
              <w:rPr>
                <w:rFonts w:ascii="Arial Narrow" w:hAnsi="Arial Narrow"/>
                <w:b/>
                <w:bCs/>
                <w:iCs/>
                <w:color w:val="000000"/>
                <w:spacing w:val="11"/>
                <w:sz w:val="20"/>
                <w:szCs w:val="20"/>
                <w:fitText w:val="334" w:id="-632053754"/>
                <w14:textFill>
                  <w14:solidFill>
                    <w14:srgbClr w14:val="000000">
                      <w14:alpha w14:val="100000"/>
                    </w14:srgbClr>
                  </w14:solidFill>
                </w14:textFill>
              </w:rPr>
              <w:t>||  |</w:t>
            </w:r>
            <w:r w:rsidRPr="00BD6E95">
              <w:rPr>
                <w:rFonts w:ascii="Arial Narrow" w:hAnsi="Arial Narrow"/>
                <w:b/>
                <w:bCs/>
                <w:iCs/>
                <w:color w:val="000000"/>
                <w:spacing w:val="4"/>
                <w:sz w:val="20"/>
                <w:szCs w:val="20"/>
                <w:fitText w:val="334" w:id="-632053754"/>
                <w14:textFill>
                  <w14:solidFill>
                    <w14:srgbClr w14:val="000000">
                      <w14:alpha w14:val="100000"/>
                    </w14:srgbClr>
                  </w14:solidFill>
                </w14:textFill>
              </w:rPr>
              <w:t>|</w:t>
            </w:r>
          </w:p>
        </w:tc>
        <w:tc>
          <w:tcPr>
            <w:tcW w:w="977" w:type="dxa"/>
            <w:tcBorders>
              <w:top w:val="single" w:sz="4" w:space="0" w:color="auto"/>
              <w:left w:val="single" w:sz="4" w:space="0" w:color="auto"/>
              <w:bottom w:val="nil"/>
              <w:right w:val="single" w:sz="4" w:space="0" w:color="auto"/>
            </w:tcBorders>
            <w:hideMark/>
          </w:tcPr>
          <w:p w14:paraId="0E952740" w14:textId="77777777" w:rsidR="00602EEB" w:rsidRPr="00935CE1" w:rsidRDefault="00602EEB">
            <w:pPr>
              <w:rPr>
                <w:rFonts w:ascii="Arial Narrow" w:hAnsi="Arial Narrow"/>
                <w:b/>
                <w:bCs/>
                <w:iCs/>
                <w:sz w:val="20"/>
                <w:szCs w:val="20"/>
              </w:rPr>
            </w:pPr>
            <w:r w:rsidRPr="00935CE1">
              <w:rPr>
                <w:rFonts w:ascii="Arial Narrow" w:hAnsi="Arial Narrow"/>
                <w:b/>
                <w:bCs/>
                <w:iCs/>
                <w:sz w:val="20"/>
                <w:szCs w:val="20"/>
              </w:rPr>
              <w:t>1.567</w:t>
            </w:r>
          </w:p>
        </w:tc>
        <w:tc>
          <w:tcPr>
            <w:tcW w:w="836" w:type="dxa"/>
            <w:tcBorders>
              <w:top w:val="single" w:sz="4" w:space="0" w:color="auto"/>
              <w:left w:val="single" w:sz="4" w:space="0" w:color="auto"/>
              <w:bottom w:val="nil"/>
              <w:right w:val="single" w:sz="4" w:space="0" w:color="auto"/>
            </w:tcBorders>
            <w:hideMark/>
          </w:tcPr>
          <w:p w14:paraId="0B0F6A7D" w14:textId="5EB0BA82" w:rsidR="00602EEB" w:rsidRPr="00C76BC2" w:rsidRDefault="00BD6E95">
            <w:pPr>
              <w:rPr>
                <w:rFonts w:ascii="Arial Narrow" w:hAnsi="Arial Narrow"/>
                <w:b/>
                <w:bCs/>
                <w:iCs/>
                <w:sz w:val="20"/>
                <w:szCs w:val="20"/>
                <w:highlight w:val="darkGray"/>
              </w:rPr>
            </w:pPr>
            <w:r w:rsidRPr="00BD6E95">
              <w:rPr>
                <w:rFonts w:ascii="Arial Narrow" w:hAnsi="Arial Narrow"/>
                <w:b/>
                <w:bCs/>
                <w:iCs/>
                <w:color w:val="000000"/>
                <w:spacing w:val="11"/>
                <w:sz w:val="20"/>
                <w:szCs w:val="20"/>
                <w:shd w:val="solid" w:color="000000" w:fill="000000"/>
                <w:fitText w:val="334" w:id="-632053753"/>
                <w14:textFill>
                  <w14:solidFill>
                    <w14:srgbClr w14:val="000000">
                      <w14:alpha w14:val="100000"/>
                    </w14:srgbClr>
                  </w14:solidFill>
                </w14:textFill>
              </w:rPr>
              <w:t>||  |</w:t>
            </w:r>
            <w:r w:rsidRPr="00BD6E95">
              <w:rPr>
                <w:rFonts w:ascii="Arial Narrow" w:hAnsi="Arial Narrow"/>
                <w:b/>
                <w:bCs/>
                <w:iCs/>
                <w:color w:val="000000"/>
                <w:spacing w:val="4"/>
                <w:sz w:val="20"/>
                <w:szCs w:val="20"/>
                <w:shd w:val="solid" w:color="000000" w:fill="000000"/>
                <w:fitText w:val="334" w:id="-632053753"/>
                <w14:textFill>
                  <w14:solidFill>
                    <w14:srgbClr w14:val="000000">
                      <w14:alpha w14:val="100000"/>
                    </w14:srgbClr>
                  </w14:solidFill>
                </w14:textFill>
              </w:rPr>
              <w:t>|</w:t>
            </w:r>
            <w:r w:rsidR="006E503C" w:rsidRPr="006E503C">
              <w:rPr>
                <w:rFonts w:ascii="Arial Narrow" w:hAnsi="Arial Narrow"/>
                <w:b/>
                <w:bCs/>
                <w:iCs/>
                <w:sz w:val="20"/>
                <w:szCs w:val="20"/>
                <w:vertAlign w:val="superscript"/>
              </w:rPr>
              <w:t>1</w:t>
            </w:r>
          </w:p>
        </w:tc>
        <w:tc>
          <w:tcPr>
            <w:tcW w:w="821" w:type="dxa"/>
            <w:tcBorders>
              <w:top w:val="single" w:sz="4" w:space="0" w:color="auto"/>
              <w:left w:val="single" w:sz="4" w:space="0" w:color="auto"/>
              <w:bottom w:val="nil"/>
              <w:right w:val="single" w:sz="4" w:space="0" w:color="auto"/>
            </w:tcBorders>
            <w:hideMark/>
          </w:tcPr>
          <w:p w14:paraId="697505A4" w14:textId="77777777" w:rsidR="00602EEB" w:rsidRPr="00935CE1" w:rsidRDefault="00602EEB">
            <w:pPr>
              <w:rPr>
                <w:rFonts w:ascii="Arial Narrow" w:hAnsi="Arial Narrow"/>
                <w:b/>
                <w:bCs/>
                <w:iCs/>
                <w:sz w:val="20"/>
                <w:szCs w:val="20"/>
              </w:rPr>
            </w:pPr>
            <w:r w:rsidRPr="00935CE1">
              <w:rPr>
                <w:rFonts w:ascii="Arial Narrow" w:hAnsi="Arial Narrow"/>
                <w:b/>
                <w:bCs/>
                <w:iCs/>
                <w:sz w:val="20"/>
                <w:szCs w:val="20"/>
              </w:rPr>
              <w:t>Base</w:t>
            </w:r>
          </w:p>
        </w:tc>
      </w:tr>
      <w:tr w:rsidR="00602EEB" w:rsidRPr="00935CE1" w14:paraId="2212E13A" w14:textId="77777777" w:rsidTr="00BD6E95">
        <w:tc>
          <w:tcPr>
            <w:tcW w:w="5406" w:type="dxa"/>
            <w:tcBorders>
              <w:top w:val="nil"/>
              <w:left w:val="single" w:sz="4" w:space="0" w:color="auto"/>
              <w:bottom w:val="nil"/>
              <w:right w:val="single" w:sz="4" w:space="0" w:color="auto"/>
            </w:tcBorders>
            <w:vAlign w:val="center"/>
            <w:hideMark/>
          </w:tcPr>
          <w:p w14:paraId="730AD9D1" w14:textId="77777777" w:rsidR="00602EEB" w:rsidRPr="00935CE1" w:rsidRDefault="00602EEB">
            <w:pPr>
              <w:rPr>
                <w:rFonts w:ascii="Arial Narrow" w:hAnsi="Arial Narrow"/>
                <w:iCs/>
                <w:sz w:val="20"/>
                <w:szCs w:val="20"/>
              </w:rPr>
            </w:pPr>
            <w:r w:rsidRPr="00935CE1">
              <w:rPr>
                <w:rFonts w:ascii="Arial Narrow" w:hAnsi="Arial Narrow"/>
                <w:iCs/>
                <w:sz w:val="20"/>
                <w:szCs w:val="20"/>
              </w:rPr>
              <w:t>i) submission’s base case + removed half-cycle correction</w:t>
            </w:r>
          </w:p>
        </w:tc>
        <w:tc>
          <w:tcPr>
            <w:tcW w:w="977" w:type="dxa"/>
            <w:tcBorders>
              <w:top w:val="nil"/>
              <w:left w:val="single" w:sz="4" w:space="0" w:color="auto"/>
              <w:bottom w:val="nil"/>
              <w:right w:val="single" w:sz="4" w:space="0" w:color="auto"/>
            </w:tcBorders>
            <w:shd w:val="solid" w:color="000000" w:fill="000000"/>
            <w:vAlign w:val="center"/>
            <w:hideMark/>
          </w:tcPr>
          <w:p w14:paraId="02531034" w14:textId="76C42C8A"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2"/>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2"/>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center"/>
            <w:hideMark/>
          </w:tcPr>
          <w:p w14:paraId="47A1564F" w14:textId="77777777" w:rsidR="00602EEB" w:rsidRPr="00935CE1" w:rsidRDefault="00602EEB">
            <w:pPr>
              <w:rPr>
                <w:rFonts w:ascii="Arial Narrow" w:hAnsi="Arial Narrow"/>
                <w:iCs/>
                <w:sz w:val="20"/>
                <w:szCs w:val="20"/>
              </w:rPr>
            </w:pPr>
            <w:r w:rsidRPr="00935CE1">
              <w:rPr>
                <w:rFonts w:ascii="Arial Narrow" w:hAnsi="Arial Narrow"/>
                <w:iCs/>
                <w:sz w:val="20"/>
                <w:szCs w:val="20"/>
              </w:rPr>
              <w:t>1.566</w:t>
            </w:r>
          </w:p>
        </w:tc>
        <w:tc>
          <w:tcPr>
            <w:tcW w:w="836" w:type="dxa"/>
            <w:tcBorders>
              <w:top w:val="nil"/>
              <w:left w:val="single" w:sz="4" w:space="0" w:color="auto"/>
              <w:bottom w:val="nil"/>
              <w:right w:val="single" w:sz="4" w:space="0" w:color="auto"/>
            </w:tcBorders>
            <w:vAlign w:val="center"/>
            <w:hideMark/>
          </w:tcPr>
          <w:p w14:paraId="1378F01E" w14:textId="0AF409DD"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1"/>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1"/>
                <w14:textFill>
                  <w14:solidFill>
                    <w14:srgbClr w14:val="000000">
                      <w14:alpha w14:val="100000"/>
                    </w14:srgbClr>
                  </w14:solidFill>
                </w14:textFill>
              </w:rPr>
              <w:t>|</w:t>
            </w:r>
            <w:r w:rsidR="006E503C" w:rsidRPr="006E503C">
              <w:rPr>
                <w:rFonts w:ascii="Arial Narrow" w:hAnsi="Arial Narrow"/>
                <w:b/>
                <w:bCs/>
                <w:iCs/>
                <w:sz w:val="20"/>
                <w:szCs w:val="20"/>
                <w:vertAlign w:val="superscript"/>
              </w:rPr>
              <w:t>1</w:t>
            </w:r>
          </w:p>
        </w:tc>
        <w:tc>
          <w:tcPr>
            <w:tcW w:w="821" w:type="dxa"/>
            <w:tcBorders>
              <w:top w:val="nil"/>
              <w:left w:val="single" w:sz="4" w:space="0" w:color="auto"/>
              <w:bottom w:val="nil"/>
              <w:right w:val="single" w:sz="4" w:space="0" w:color="auto"/>
            </w:tcBorders>
            <w:vAlign w:val="center"/>
            <w:hideMark/>
          </w:tcPr>
          <w:p w14:paraId="21A06A18" w14:textId="0A834FF0" w:rsidR="00602EEB" w:rsidRPr="00935CE1" w:rsidRDefault="00602EEB">
            <w:pPr>
              <w:rPr>
                <w:rFonts w:ascii="Arial Narrow" w:hAnsi="Arial Narrow"/>
                <w:iCs/>
                <w:sz w:val="20"/>
                <w:szCs w:val="20"/>
              </w:rPr>
            </w:pPr>
            <w:r w:rsidRPr="00935CE1">
              <w:rPr>
                <w:rFonts w:ascii="Arial Narrow" w:hAnsi="Arial Narrow"/>
                <w:iCs/>
                <w:sz w:val="20"/>
                <w:szCs w:val="20"/>
              </w:rPr>
              <w:t>-</w:t>
            </w:r>
            <w:r w:rsidR="00BD6E95" w:rsidRPr="00BD6E95">
              <w:rPr>
                <w:rFonts w:ascii="Arial Narrow" w:hAnsi="Arial Narrow"/>
                <w:iCs/>
                <w:color w:val="000000"/>
                <w:spacing w:val="9"/>
                <w:sz w:val="20"/>
                <w:szCs w:val="20"/>
                <w:shd w:val="solid" w:color="000000" w:fill="000000"/>
                <w:fitText w:val="310" w:id="-632053750"/>
                <w14:textFill>
                  <w14:solidFill>
                    <w14:srgbClr w14:val="000000">
                      <w14:alpha w14:val="100000"/>
                    </w14:srgbClr>
                  </w14:solidFill>
                </w14:textFill>
              </w:rPr>
              <w:t>||  ||</w:t>
            </w:r>
            <w:r w:rsidRPr="00935CE1">
              <w:rPr>
                <w:rFonts w:ascii="Arial Narrow" w:hAnsi="Arial Narrow"/>
                <w:iCs/>
                <w:sz w:val="20"/>
                <w:szCs w:val="20"/>
              </w:rPr>
              <w:t>%</w:t>
            </w:r>
          </w:p>
        </w:tc>
      </w:tr>
      <w:tr w:rsidR="00602EEB" w:rsidRPr="00935CE1" w14:paraId="5DC2725C" w14:textId="77777777" w:rsidTr="00BD6E95">
        <w:tc>
          <w:tcPr>
            <w:tcW w:w="5406" w:type="dxa"/>
            <w:tcBorders>
              <w:top w:val="nil"/>
              <w:left w:val="single" w:sz="4" w:space="0" w:color="auto"/>
              <w:bottom w:val="nil"/>
              <w:right w:val="single" w:sz="4" w:space="0" w:color="auto"/>
            </w:tcBorders>
            <w:vAlign w:val="center"/>
            <w:hideMark/>
          </w:tcPr>
          <w:p w14:paraId="495744FD" w14:textId="77777777" w:rsidR="00602EEB" w:rsidRPr="00935CE1" w:rsidRDefault="00602EEB">
            <w:pPr>
              <w:rPr>
                <w:rFonts w:ascii="Arial Narrow" w:hAnsi="Arial Narrow"/>
                <w:iCs/>
                <w:sz w:val="20"/>
                <w:szCs w:val="20"/>
              </w:rPr>
            </w:pPr>
            <w:r w:rsidRPr="00935CE1">
              <w:rPr>
                <w:rFonts w:ascii="Arial Narrow" w:hAnsi="Arial Narrow"/>
                <w:iCs/>
                <w:sz w:val="20"/>
                <w:szCs w:val="20"/>
              </w:rPr>
              <w:t>ii) i + fixed programming error regarding the delayed costs for glofitamab</w:t>
            </w:r>
          </w:p>
        </w:tc>
        <w:tc>
          <w:tcPr>
            <w:tcW w:w="977" w:type="dxa"/>
            <w:tcBorders>
              <w:top w:val="nil"/>
              <w:left w:val="single" w:sz="4" w:space="0" w:color="auto"/>
              <w:bottom w:val="nil"/>
              <w:right w:val="single" w:sz="4" w:space="0" w:color="auto"/>
            </w:tcBorders>
            <w:shd w:val="solid" w:color="000000" w:fill="000000"/>
            <w:vAlign w:val="center"/>
            <w:hideMark/>
          </w:tcPr>
          <w:p w14:paraId="33FE6C5C" w14:textId="0693E2C7"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49"/>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49"/>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center"/>
            <w:hideMark/>
          </w:tcPr>
          <w:p w14:paraId="428FE614" w14:textId="77777777" w:rsidR="00602EEB" w:rsidRPr="00935CE1" w:rsidRDefault="00602EEB">
            <w:pPr>
              <w:rPr>
                <w:rFonts w:ascii="Arial Narrow" w:hAnsi="Arial Narrow"/>
                <w:iCs/>
                <w:sz w:val="20"/>
                <w:szCs w:val="20"/>
              </w:rPr>
            </w:pPr>
            <w:r w:rsidRPr="00935CE1">
              <w:rPr>
                <w:rFonts w:ascii="Arial Narrow" w:hAnsi="Arial Narrow"/>
                <w:iCs/>
                <w:sz w:val="20"/>
                <w:szCs w:val="20"/>
              </w:rPr>
              <w:t>1.566</w:t>
            </w:r>
          </w:p>
        </w:tc>
        <w:tc>
          <w:tcPr>
            <w:tcW w:w="836" w:type="dxa"/>
            <w:tcBorders>
              <w:top w:val="nil"/>
              <w:left w:val="single" w:sz="4" w:space="0" w:color="auto"/>
              <w:bottom w:val="nil"/>
              <w:right w:val="single" w:sz="4" w:space="0" w:color="auto"/>
            </w:tcBorders>
            <w:vAlign w:val="center"/>
            <w:hideMark/>
          </w:tcPr>
          <w:p w14:paraId="257A733F" w14:textId="6EE5CB69"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48"/>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8"/>
                <w14:textFill>
                  <w14:solidFill>
                    <w14:srgbClr w14:val="000000">
                      <w14:alpha w14:val="100000"/>
                    </w14:srgbClr>
                  </w14:solidFill>
                </w14:textFill>
              </w:rPr>
              <w:t>|</w:t>
            </w:r>
            <w:r w:rsidR="006E503C" w:rsidRPr="006E503C">
              <w:rPr>
                <w:rFonts w:ascii="Arial Narrow" w:hAnsi="Arial Narrow"/>
                <w:b/>
                <w:bCs/>
                <w:iCs/>
                <w:sz w:val="20"/>
                <w:szCs w:val="20"/>
                <w:vertAlign w:val="superscript"/>
              </w:rPr>
              <w:t>1</w:t>
            </w:r>
          </w:p>
        </w:tc>
        <w:tc>
          <w:tcPr>
            <w:tcW w:w="821" w:type="dxa"/>
            <w:tcBorders>
              <w:top w:val="nil"/>
              <w:left w:val="single" w:sz="4" w:space="0" w:color="auto"/>
              <w:bottom w:val="nil"/>
              <w:right w:val="single" w:sz="4" w:space="0" w:color="auto"/>
            </w:tcBorders>
            <w:vAlign w:val="center"/>
            <w:hideMark/>
          </w:tcPr>
          <w:p w14:paraId="65A3F387" w14:textId="7927AF21" w:rsidR="00602EEB" w:rsidRPr="00935CE1" w:rsidRDefault="00602EEB">
            <w:pPr>
              <w:rPr>
                <w:rFonts w:ascii="Arial Narrow" w:hAnsi="Arial Narrow"/>
                <w:iCs/>
                <w:sz w:val="20"/>
                <w:szCs w:val="20"/>
              </w:rPr>
            </w:pPr>
            <w:r w:rsidRPr="00935CE1">
              <w:rPr>
                <w:rFonts w:ascii="Arial Narrow" w:hAnsi="Arial Narrow"/>
                <w:iCs/>
                <w:sz w:val="20"/>
                <w:szCs w:val="20"/>
              </w:rPr>
              <w:t>-</w:t>
            </w:r>
            <w:r w:rsidR="00BD6E95" w:rsidRPr="00BD6E95">
              <w:rPr>
                <w:rFonts w:ascii="Arial Narrow" w:hAnsi="Arial Narrow"/>
                <w:iCs/>
                <w:color w:val="000000"/>
                <w:spacing w:val="9"/>
                <w:sz w:val="20"/>
                <w:szCs w:val="20"/>
                <w:shd w:val="solid" w:color="000000" w:fill="000000"/>
                <w:fitText w:val="310" w:id="-632053747"/>
                <w14:textFill>
                  <w14:solidFill>
                    <w14:srgbClr w14:val="000000">
                      <w14:alpha w14:val="100000"/>
                    </w14:srgbClr>
                  </w14:solidFill>
                </w14:textFill>
              </w:rPr>
              <w:t>||  |</w:t>
            </w:r>
            <w:r w:rsidR="00BD6E95" w:rsidRPr="00BD6E95">
              <w:rPr>
                <w:rFonts w:ascii="Arial Narrow" w:hAnsi="Arial Narrow"/>
                <w:iCs/>
                <w:color w:val="000000"/>
                <w:spacing w:val="4"/>
                <w:sz w:val="20"/>
                <w:szCs w:val="20"/>
                <w:shd w:val="solid" w:color="000000" w:fill="000000"/>
                <w:fitText w:val="310" w:id="-632053747"/>
                <w14:textFill>
                  <w14:solidFill>
                    <w14:srgbClr w14:val="000000">
                      <w14:alpha w14:val="100000"/>
                    </w14:srgbClr>
                  </w14:solidFill>
                </w14:textFill>
              </w:rPr>
              <w:t>|</w:t>
            </w:r>
            <w:r w:rsidRPr="00935CE1">
              <w:rPr>
                <w:rFonts w:ascii="Arial Narrow" w:hAnsi="Arial Narrow"/>
                <w:iCs/>
                <w:sz w:val="20"/>
                <w:szCs w:val="20"/>
              </w:rPr>
              <w:t>%</w:t>
            </w:r>
          </w:p>
        </w:tc>
      </w:tr>
      <w:tr w:rsidR="00602EEB" w:rsidRPr="00935CE1" w14:paraId="4F30CFA7" w14:textId="77777777" w:rsidTr="00BD6E95">
        <w:tc>
          <w:tcPr>
            <w:tcW w:w="5406" w:type="dxa"/>
            <w:tcBorders>
              <w:top w:val="nil"/>
              <w:left w:val="single" w:sz="4" w:space="0" w:color="auto"/>
              <w:bottom w:val="nil"/>
              <w:right w:val="single" w:sz="4" w:space="0" w:color="auto"/>
            </w:tcBorders>
            <w:vAlign w:val="center"/>
            <w:hideMark/>
          </w:tcPr>
          <w:p w14:paraId="07AA17FB" w14:textId="77777777" w:rsidR="00602EEB" w:rsidRPr="00935CE1" w:rsidRDefault="00602EEB">
            <w:pPr>
              <w:rPr>
                <w:rFonts w:ascii="Arial Narrow" w:hAnsi="Arial Narrow"/>
                <w:iCs/>
                <w:sz w:val="20"/>
                <w:szCs w:val="20"/>
              </w:rPr>
            </w:pPr>
            <w:r w:rsidRPr="00935CE1">
              <w:rPr>
                <w:rFonts w:ascii="Arial Narrow" w:hAnsi="Arial Narrow"/>
                <w:iCs/>
                <w:sz w:val="20"/>
                <w:szCs w:val="20"/>
              </w:rPr>
              <w:t>iii) ii+ fixed error in public/private split in calculating the price of rituximab and gemcitabine in PFS state</w:t>
            </w:r>
          </w:p>
        </w:tc>
        <w:tc>
          <w:tcPr>
            <w:tcW w:w="977" w:type="dxa"/>
            <w:tcBorders>
              <w:top w:val="nil"/>
              <w:left w:val="single" w:sz="4" w:space="0" w:color="auto"/>
              <w:bottom w:val="nil"/>
              <w:right w:val="single" w:sz="4" w:space="0" w:color="auto"/>
            </w:tcBorders>
            <w:shd w:val="solid" w:color="000000" w:fill="000000"/>
            <w:vAlign w:val="center"/>
            <w:hideMark/>
          </w:tcPr>
          <w:p w14:paraId="2366A285" w14:textId="178A9386"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46"/>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46"/>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center"/>
            <w:hideMark/>
          </w:tcPr>
          <w:p w14:paraId="337593D8" w14:textId="77777777" w:rsidR="00602EEB" w:rsidRPr="00935CE1" w:rsidRDefault="00602EEB">
            <w:pPr>
              <w:rPr>
                <w:rFonts w:ascii="Arial Narrow" w:hAnsi="Arial Narrow"/>
                <w:iCs/>
                <w:sz w:val="20"/>
                <w:szCs w:val="20"/>
              </w:rPr>
            </w:pPr>
            <w:r w:rsidRPr="00935CE1">
              <w:rPr>
                <w:rFonts w:ascii="Arial Narrow" w:hAnsi="Arial Narrow"/>
                <w:iCs/>
                <w:sz w:val="20"/>
                <w:szCs w:val="20"/>
              </w:rPr>
              <w:t>1.566</w:t>
            </w:r>
          </w:p>
        </w:tc>
        <w:tc>
          <w:tcPr>
            <w:tcW w:w="836" w:type="dxa"/>
            <w:tcBorders>
              <w:top w:val="nil"/>
              <w:left w:val="single" w:sz="4" w:space="0" w:color="auto"/>
              <w:bottom w:val="nil"/>
              <w:right w:val="single" w:sz="4" w:space="0" w:color="auto"/>
            </w:tcBorders>
            <w:vAlign w:val="center"/>
            <w:hideMark/>
          </w:tcPr>
          <w:p w14:paraId="40B5A2E8" w14:textId="5C99A591"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45"/>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5"/>
                <w14:textFill>
                  <w14:solidFill>
                    <w14:srgbClr w14:val="000000">
                      <w14:alpha w14:val="100000"/>
                    </w14:srgbClr>
                  </w14:solidFill>
                </w14:textFill>
              </w:rPr>
              <w:t>|</w:t>
            </w:r>
            <w:r w:rsidR="006E503C" w:rsidRPr="006E503C">
              <w:rPr>
                <w:rFonts w:ascii="Arial Narrow" w:hAnsi="Arial Narrow"/>
                <w:b/>
                <w:bCs/>
                <w:iCs/>
                <w:sz w:val="20"/>
                <w:szCs w:val="20"/>
                <w:vertAlign w:val="superscript"/>
              </w:rPr>
              <w:t>1</w:t>
            </w:r>
          </w:p>
        </w:tc>
        <w:tc>
          <w:tcPr>
            <w:tcW w:w="821" w:type="dxa"/>
            <w:tcBorders>
              <w:top w:val="nil"/>
              <w:left w:val="single" w:sz="4" w:space="0" w:color="auto"/>
              <w:bottom w:val="nil"/>
              <w:right w:val="single" w:sz="4" w:space="0" w:color="auto"/>
            </w:tcBorders>
            <w:vAlign w:val="center"/>
            <w:hideMark/>
          </w:tcPr>
          <w:p w14:paraId="1337652B" w14:textId="4854058E" w:rsidR="00602EEB" w:rsidRPr="00935CE1" w:rsidRDefault="00602EEB">
            <w:pPr>
              <w:rPr>
                <w:rFonts w:ascii="Arial Narrow" w:hAnsi="Arial Narrow"/>
                <w:iCs/>
                <w:sz w:val="20"/>
                <w:szCs w:val="20"/>
              </w:rPr>
            </w:pPr>
            <w:r w:rsidRPr="00935CE1">
              <w:rPr>
                <w:rFonts w:ascii="Arial Narrow" w:hAnsi="Arial Narrow"/>
                <w:iCs/>
                <w:sz w:val="20"/>
                <w:szCs w:val="20"/>
              </w:rPr>
              <w:t>-</w:t>
            </w:r>
            <w:r w:rsidR="00BD6E95" w:rsidRPr="00BD6E95">
              <w:rPr>
                <w:rFonts w:ascii="Arial Narrow" w:hAnsi="Arial Narrow"/>
                <w:iCs/>
                <w:color w:val="000000"/>
                <w:spacing w:val="9"/>
                <w:sz w:val="20"/>
                <w:szCs w:val="20"/>
                <w:shd w:val="solid" w:color="000000" w:fill="000000"/>
                <w:fitText w:val="310" w:id="-632053744"/>
                <w14:textFill>
                  <w14:solidFill>
                    <w14:srgbClr w14:val="000000">
                      <w14:alpha w14:val="100000"/>
                    </w14:srgbClr>
                  </w14:solidFill>
                </w14:textFill>
              </w:rPr>
              <w:t>||  ||</w:t>
            </w:r>
            <w:r w:rsidRPr="00935CE1">
              <w:rPr>
                <w:rFonts w:ascii="Arial Narrow" w:hAnsi="Arial Narrow"/>
                <w:iCs/>
                <w:sz w:val="20"/>
                <w:szCs w:val="20"/>
              </w:rPr>
              <w:t>%</w:t>
            </w:r>
          </w:p>
        </w:tc>
      </w:tr>
      <w:tr w:rsidR="00602EEB" w:rsidRPr="00935CE1" w14:paraId="6390B367" w14:textId="77777777" w:rsidTr="00BD6E95">
        <w:tc>
          <w:tcPr>
            <w:tcW w:w="5406" w:type="dxa"/>
            <w:tcBorders>
              <w:top w:val="nil"/>
              <w:left w:val="single" w:sz="4" w:space="0" w:color="auto"/>
              <w:bottom w:val="nil"/>
              <w:right w:val="single" w:sz="4" w:space="0" w:color="auto"/>
            </w:tcBorders>
            <w:vAlign w:val="center"/>
            <w:hideMark/>
          </w:tcPr>
          <w:p w14:paraId="1E9B19E1" w14:textId="77777777" w:rsidR="00602EEB" w:rsidRPr="00935CE1" w:rsidRDefault="00602EEB">
            <w:pPr>
              <w:rPr>
                <w:rFonts w:ascii="Arial Narrow" w:hAnsi="Arial Narrow"/>
                <w:iCs/>
                <w:sz w:val="20"/>
                <w:szCs w:val="20"/>
              </w:rPr>
            </w:pPr>
            <w:r w:rsidRPr="00935CE1">
              <w:rPr>
                <w:rFonts w:ascii="Arial Narrow" w:hAnsi="Arial Narrow"/>
                <w:iCs/>
                <w:sz w:val="20"/>
                <w:szCs w:val="20"/>
              </w:rPr>
              <w:t>iv) iii + consistent use of TTOT KM data for estimating QALYs (on-treatment)</w:t>
            </w:r>
          </w:p>
        </w:tc>
        <w:tc>
          <w:tcPr>
            <w:tcW w:w="977" w:type="dxa"/>
            <w:tcBorders>
              <w:top w:val="nil"/>
              <w:left w:val="single" w:sz="4" w:space="0" w:color="auto"/>
              <w:bottom w:val="nil"/>
              <w:right w:val="single" w:sz="4" w:space="0" w:color="auto"/>
            </w:tcBorders>
            <w:shd w:val="solid" w:color="000000" w:fill="000000"/>
            <w:vAlign w:val="center"/>
            <w:hideMark/>
          </w:tcPr>
          <w:p w14:paraId="3F3C88E8" w14:textId="454ACCE8"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60"/>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60"/>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center"/>
            <w:hideMark/>
          </w:tcPr>
          <w:p w14:paraId="105D00A7" w14:textId="77777777" w:rsidR="00602EEB" w:rsidRPr="00935CE1" w:rsidRDefault="00602EEB">
            <w:pPr>
              <w:rPr>
                <w:rFonts w:ascii="Arial Narrow" w:hAnsi="Arial Narrow"/>
                <w:iCs/>
                <w:sz w:val="20"/>
                <w:szCs w:val="20"/>
              </w:rPr>
            </w:pPr>
            <w:r w:rsidRPr="00935CE1">
              <w:rPr>
                <w:rFonts w:ascii="Arial Narrow" w:hAnsi="Arial Narrow"/>
                <w:iCs/>
                <w:sz w:val="20"/>
                <w:szCs w:val="20"/>
              </w:rPr>
              <w:t>1.588</w:t>
            </w:r>
          </w:p>
        </w:tc>
        <w:tc>
          <w:tcPr>
            <w:tcW w:w="836" w:type="dxa"/>
            <w:tcBorders>
              <w:top w:val="nil"/>
              <w:left w:val="single" w:sz="4" w:space="0" w:color="auto"/>
              <w:bottom w:val="nil"/>
              <w:right w:val="single" w:sz="4" w:space="0" w:color="auto"/>
            </w:tcBorders>
            <w:vAlign w:val="center"/>
            <w:hideMark/>
          </w:tcPr>
          <w:p w14:paraId="5AEECE5F" w14:textId="22563F38"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9"/>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9"/>
                <w14:textFill>
                  <w14:solidFill>
                    <w14:srgbClr w14:val="000000">
                      <w14:alpha w14:val="100000"/>
                    </w14:srgbClr>
                  </w14:solidFill>
                </w14:textFill>
              </w:rPr>
              <w:t>|</w:t>
            </w:r>
            <w:r w:rsidR="006E503C" w:rsidRPr="006E503C">
              <w:rPr>
                <w:rFonts w:ascii="Arial Narrow" w:hAnsi="Arial Narrow"/>
                <w:b/>
                <w:bCs/>
                <w:iCs/>
                <w:sz w:val="20"/>
                <w:szCs w:val="20"/>
                <w:vertAlign w:val="superscript"/>
              </w:rPr>
              <w:t>1</w:t>
            </w:r>
          </w:p>
        </w:tc>
        <w:tc>
          <w:tcPr>
            <w:tcW w:w="821" w:type="dxa"/>
            <w:tcBorders>
              <w:top w:val="nil"/>
              <w:left w:val="single" w:sz="4" w:space="0" w:color="auto"/>
              <w:bottom w:val="nil"/>
              <w:right w:val="single" w:sz="4" w:space="0" w:color="auto"/>
            </w:tcBorders>
            <w:vAlign w:val="center"/>
            <w:hideMark/>
          </w:tcPr>
          <w:p w14:paraId="16700C33" w14:textId="481E6EF6" w:rsidR="00602EEB" w:rsidRPr="00935CE1" w:rsidRDefault="00602EEB">
            <w:pPr>
              <w:rPr>
                <w:rFonts w:ascii="Arial Narrow" w:hAnsi="Arial Narrow"/>
                <w:iCs/>
                <w:sz w:val="20"/>
                <w:szCs w:val="20"/>
              </w:rPr>
            </w:pPr>
            <w:r w:rsidRPr="00935CE1">
              <w:rPr>
                <w:rFonts w:ascii="Arial Narrow" w:hAnsi="Arial Narrow"/>
                <w:iCs/>
                <w:sz w:val="20"/>
                <w:szCs w:val="20"/>
              </w:rPr>
              <w:t>-</w:t>
            </w:r>
            <w:r w:rsidR="00BD6E95" w:rsidRPr="00BD6E95">
              <w:rPr>
                <w:rFonts w:ascii="Arial Narrow" w:hAnsi="Arial Narrow"/>
                <w:iCs/>
                <w:color w:val="000000"/>
                <w:spacing w:val="9"/>
                <w:sz w:val="20"/>
                <w:szCs w:val="20"/>
                <w:shd w:val="solid" w:color="000000" w:fill="000000"/>
                <w:fitText w:val="310" w:id="-632053758"/>
                <w14:textFill>
                  <w14:solidFill>
                    <w14:srgbClr w14:val="000000">
                      <w14:alpha w14:val="100000"/>
                    </w14:srgbClr>
                  </w14:solidFill>
                </w14:textFill>
              </w:rPr>
              <w:t>||  ||</w:t>
            </w:r>
            <w:r w:rsidRPr="00935CE1">
              <w:rPr>
                <w:rFonts w:ascii="Arial Narrow" w:hAnsi="Arial Narrow"/>
                <w:iCs/>
                <w:sz w:val="20"/>
                <w:szCs w:val="20"/>
              </w:rPr>
              <w:t>%</w:t>
            </w:r>
          </w:p>
        </w:tc>
      </w:tr>
      <w:tr w:rsidR="00602EEB" w:rsidRPr="00935CE1" w14:paraId="6F146B1B" w14:textId="77777777" w:rsidTr="00BD6E95">
        <w:tc>
          <w:tcPr>
            <w:tcW w:w="5406" w:type="dxa"/>
            <w:tcBorders>
              <w:top w:val="nil"/>
              <w:left w:val="single" w:sz="4" w:space="0" w:color="auto"/>
              <w:bottom w:val="single" w:sz="4" w:space="0" w:color="auto"/>
              <w:right w:val="single" w:sz="4" w:space="0" w:color="auto"/>
            </w:tcBorders>
            <w:vAlign w:val="center"/>
            <w:hideMark/>
          </w:tcPr>
          <w:p w14:paraId="413F5D12" w14:textId="77777777" w:rsidR="00602EEB" w:rsidRPr="00935CE1" w:rsidRDefault="00602EEB">
            <w:pPr>
              <w:rPr>
                <w:rFonts w:ascii="Arial Narrow" w:hAnsi="Arial Narrow"/>
                <w:iCs/>
                <w:sz w:val="20"/>
                <w:szCs w:val="20"/>
              </w:rPr>
            </w:pPr>
            <w:r w:rsidRPr="00935CE1">
              <w:rPr>
                <w:rFonts w:ascii="Arial Narrow" w:hAnsi="Arial Narrow"/>
                <w:iCs/>
                <w:sz w:val="20"/>
                <w:szCs w:val="20"/>
              </w:rPr>
              <w:t>v) iv + fixed error in public/private split in calculating the price of subsequent therapies (</w:t>
            </w:r>
            <w:proofErr w:type="spellStart"/>
            <w:r w:rsidRPr="00935CE1">
              <w:rPr>
                <w:rFonts w:ascii="Arial Narrow" w:hAnsi="Arial Narrow"/>
                <w:iCs/>
                <w:sz w:val="20"/>
                <w:szCs w:val="20"/>
              </w:rPr>
              <w:t>ifosfamide</w:t>
            </w:r>
            <w:proofErr w:type="spellEnd"/>
            <w:r w:rsidRPr="00935CE1">
              <w:rPr>
                <w:rFonts w:ascii="Arial Narrow" w:hAnsi="Arial Narrow"/>
                <w:iCs/>
                <w:sz w:val="20"/>
                <w:szCs w:val="20"/>
              </w:rPr>
              <w:t>, etoposide, gemcitabine and rituximab)</w:t>
            </w:r>
          </w:p>
        </w:tc>
        <w:tc>
          <w:tcPr>
            <w:tcW w:w="977" w:type="dxa"/>
            <w:tcBorders>
              <w:top w:val="nil"/>
              <w:left w:val="single" w:sz="4" w:space="0" w:color="auto"/>
              <w:bottom w:val="single" w:sz="4" w:space="0" w:color="auto"/>
              <w:right w:val="single" w:sz="4" w:space="0" w:color="auto"/>
            </w:tcBorders>
            <w:shd w:val="solid" w:color="000000" w:fill="000000"/>
            <w:vAlign w:val="center"/>
            <w:hideMark/>
          </w:tcPr>
          <w:p w14:paraId="36E24F89" w14:textId="7ACB8CD0"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7"/>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7"/>
                <w14:textFill>
                  <w14:solidFill>
                    <w14:srgbClr w14:val="000000">
                      <w14:alpha w14:val="100000"/>
                    </w14:srgbClr>
                  </w14:solidFill>
                </w14:textFill>
              </w:rPr>
              <w:t>|</w:t>
            </w:r>
          </w:p>
        </w:tc>
        <w:tc>
          <w:tcPr>
            <w:tcW w:w="977" w:type="dxa"/>
            <w:tcBorders>
              <w:top w:val="nil"/>
              <w:left w:val="single" w:sz="4" w:space="0" w:color="auto"/>
              <w:bottom w:val="single" w:sz="4" w:space="0" w:color="auto"/>
              <w:right w:val="single" w:sz="4" w:space="0" w:color="auto"/>
            </w:tcBorders>
            <w:vAlign w:val="center"/>
            <w:hideMark/>
          </w:tcPr>
          <w:p w14:paraId="23120600" w14:textId="77777777" w:rsidR="00602EEB" w:rsidRPr="00935CE1" w:rsidRDefault="00602EEB">
            <w:pPr>
              <w:rPr>
                <w:rFonts w:ascii="Arial Narrow" w:hAnsi="Arial Narrow"/>
                <w:iCs/>
                <w:sz w:val="20"/>
                <w:szCs w:val="20"/>
              </w:rPr>
            </w:pPr>
            <w:r w:rsidRPr="00935CE1">
              <w:rPr>
                <w:rFonts w:ascii="Arial Narrow" w:hAnsi="Arial Narrow"/>
                <w:iCs/>
                <w:sz w:val="20"/>
                <w:szCs w:val="20"/>
              </w:rPr>
              <w:t>1.588</w:t>
            </w:r>
          </w:p>
        </w:tc>
        <w:tc>
          <w:tcPr>
            <w:tcW w:w="836" w:type="dxa"/>
            <w:tcBorders>
              <w:top w:val="nil"/>
              <w:left w:val="single" w:sz="4" w:space="0" w:color="auto"/>
              <w:bottom w:val="single" w:sz="4" w:space="0" w:color="auto"/>
              <w:right w:val="single" w:sz="4" w:space="0" w:color="auto"/>
            </w:tcBorders>
            <w:vAlign w:val="center"/>
            <w:hideMark/>
          </w:tcPr>
          <w:p w14:paraId="057CEF91" w14:textId="5E19CDCD"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6"/>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6"/>
                <w14:textFill>
                  <w14:solidFill>
                    <w14:srgbClr w14:val="000000">
                      <w14:alpha w14:val="100000"/>
                    </w14:srgbClr>
                  </w14:solidFill>
                </w14:textFill>
              </w:rPr>
              <w:t>|</w:t>
            </w:r>
            <w:r w:rsidR="006E503C" w:rsidRPr="006E503C">
              <w:rPr>
                <w:rFonts w:ascii="Arial Narrow" w:hAnsi="Arial Narrow"/>
                <w:b/>
                <w:bCs/>
                <w:iCs/>
                <w:sz w:val="20"/>
                <w:szCs w:val="20"/>
                <w:vertAlign w:val="superscript"/>
              </w:rPr>
              <w:t>1</w:t>
            </w:r>
          </w:p>
        </w:tc>
        <w:tc>
          <w:tcPr>
            <w:tcW w:w="821" w:type="dxa"/>
            <w:tcBorders>
              <w:top w:val="nil"/>
              <w:left w:val="single" w:sz="4" w:space="0" w:color="auto"/>
              <w:bottom w:val="single" w:sz="4" w:space="0" w:color="auto"/>
              <w:right w:val="single" w:sz="4" w:space="0" w:color="auto"/>
            </w:tcBorders>
            <w:vAlign w:val="center"/>
            <w:hideMark/>
          </w:tcPr>
          <w:p w14:paraId="24FF3EAE" w14:textId="7DC290C4" w:rsidR="00602EEB" w:rsidRPr="00935CE1" w:rsidRDefault="00602EEB">
            <w:pPr>
              <w:rPr>
                <w:rFonts w:ascii="Arial Narrow" w:hAnsi="Arial Narrow"/>
                <w:iCs/>
                <w:sz w:val="20"/>
                <w:szCs w:val="20"/>
              </w:rPr>
            </w:pPr>
            <w:r w:rsidRPr="00935CE1">
              <w:rPr>
                <w:rFonts w:ascii="Arial Narrow" w:hAnsi="Arial Narrow"/>
                <w:iCs/>
                <w:sz w:val="20"/>
                <w:szCs w:val="20"/>
              </w:rPr>
              <w:t>-</w:t>
            </w:r>
            <w:r w:rsidR="00BD6E95" w:rsidRPr="00BD6E95">
              <w:rPr>
                <w:rFonts w:ascii="Arial Narrow" w:hAnsi="Arial Narrow"/>
                <w:iCs/>
                <w:color w:val="000000"/>
                <w:spacing w:val="9"/>
                <w:sz w:val="20"/>
                <w:szCs w:val="20"/>
                <w:shd w:val="solid" w:color="000000" w:fill="000000"/>
                <w:fitText w:val="310" w:id="-632053755"/>
                <w14:textFill>
                  <w14:solidFill>
                    <w14:srgbClr w14:val="000000">
                      <w14:alpha w14:val="100000"/>
                    </w14:srgbClr>
                  </w14:solidFill>
                </w14:textFill>
              </w:rPr>
              <w:t>||  ||</w:t>
            </w:r>
          </w:p>
        </w:tc>
      </w:tr>
      <w:tr w:rsidR="00602EEB" w:rsidRPr="00935CE1" w14:paraId="50C2946B" w14:textId="77777777" w:rsidTr="00BD6E95">
        <w:tc>
          <w:tcPr>
            <w:tcW w:w="5406" w:type="dxa"/>
            <w:tcBorders>
              <w:top w:val="single" w:sz="4" w:space="0" w:color="auto"/>
              <w:left w:val="single" w:sz="4" w:space="0" w:color="auto"/>
              <w:bottom w:val="single" w:sz="4" w:space="0" w:color="auto"/>
              <w:right w:val="single" w:sz="4" w:space="0" w:color="auto"/>
            </w:tcBorders>
            <w:hideMark/>
          </w:tcPr>
          <w:p w14:paraId="7D5DD91A" w14:textId="77777777" w:rsidR="00602EEB" w:rsidRPr="00935CE1" w:rsidRDefault="00602EEB">
            <w:pPr>
              <w:rPr>
                <w:rFonts w:ascii="Arial Narrow" w:hAnsi="Arial Narrow"/>
                <w:b/>
                <w:bCs/>
                <w:iCs/>
                <w:sz w:val="20"/>
                <w:szCs w:val="20"/>
              </w:rPr>
            </w:pPr>
            <w:r w:rsidRPr="00935CE1">
              <w:rPr>
                <w:rFonts w:ascii="Arial Narrow" w:hAnsi="Arial Narrow"/>
                <w:b/>
                <w:bCs/>
                <w:iCs/>
                <w:sz w:val="20"/>
                <w:szCs w:val="20"/>
              </w:rPr>
              <w:t>PSCR base case</w:t>
            </w:r>
          </w:p>
        </w:tc>
        <w:tc>
          <w:tcPr>
            <w:tcW w:w="977"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145EA2AC" w14:textId="745E8407" w:rsidR="00602EEB" w:rsidRPr="00797198" w:rsidRDefault="00BD6E95">
            <w:pPr>
              <w:rPr>
                <w:rFonts w:ascii="Arial Narrow" w:hAnsi="Arial Narrow"/>
                <w:b/>
                <w:bCs/>
                <w:iCs/>
                <w:sz w:val="20"/>
                <w:szCs w:val="20"/>
                <w:highlight w:val="darkGray"/>
              </w:rPr>
            </w:pPr>
            <w:r w:rsidRPr="00BD6E95">
              <w:rPr>
                <w:rFonts w:ascii="Arial Narrow" w:hAnsi="Arial Narrow"/>
                <w:b/>
                <w:bCs/>
                <w:iCs/>
                <w:color w:val="000000"/>
                <w:spacing w:val="11"/>
                <w:sz w:val="20"/>
                <w:szCs w:val="20"/>
                <w:fitText w:val="334" w:id="-632053754"/>
                <w14:textFill>
                  <w14:solidFill>
                    <w14:srgbClr w14:val="000000">
                      <w14:alpha w14:val="100000"/>
                    </w14:srgbClr>
                  </w14:solidFill>
                </w14:textFill>
              </w:rPr>
              <w:t>||  |</w:t>
            </w:r>
            <w:r w:rsidRPr="00BD6E95">
              <w:rPr>
                <w:rFonts w:ascii="Arial Narrow" w:hAnsi="Arial Narrow"/>
                <w:b/>
                <w:bCs/>
                <w:iCs/>
                <w:color w:val="000000"/>
                <w:spacing w:val="4"/>
                <w:sz w:val="20"/>
                <w:szCs w:val="20"/>
                <w:fitText w:val="334" w:id="-632053754"/>
                <w14:textFill>
                  <w14:solidFill>
                    <w14:srgbClr w14:val="000000">
                      <w14:alpha w14:val="100000"/>
                    </w14:srgbClr>
                  </w14:solidFill>
                </w14:textFill>
              </w:rPr>
              <w:t>|</w:t>
            </w:r>
          </w:p>
        </w:tc>
        <w:tc>
          <w:tcPr>
            <w:tcW w:w="977" w:type="dxa"/>
            <w:tcBorders>
              <w:top w:val="single" w:sz="4" w:space="0" w:color="auto"/>
              <w:left w:val="single" w:sz="4" w:space="0" w:color="auto"/>
              <w:bottom w:val="single" w:sz="4" w:space="0" w:color="auto"/>
              <w:right w:val="single" w:sz="4" w:space="0" w:color="auto"/>
            </w:tcBorders>
            <w:vAlign w:val="center"/>
            <w:hideMark/>
          </w:tcPr>
          <w:p w14:paraId="0D936D70" w14:textId="77777777" w:rsidR="00602EEB" w:rsidRPr="00935CE1" w:rsidRDefault="00602EEB">
            <w:pPr>
              <w:rPr>
                <w:rFonts w:ascii="Arial Narrow" w:hAnsi="Arial Narrow"/>
                <w:b/>
                <w:bCs/>
                <w:iCs/>
                <w:sz w:val="20"/>
                <w:szCs w:val="20"/>
              </w:rPr>
            </w:pPr>
            <w:r w:rsidRPr="00935CE1">
              <w:rPr>
                <w:rFonts w:ascii="Arial Narrow" w:hAnsi="Arial Narrow"/>
                <w:b/>
                <w:bCs/>
                <w:iCs/>
                <w:sz w:val="20"/>
                <w:szCs w:val="20"/>
              </w:rPr>
              <w:t>1.588</w:t>
            </w:r>
          </w:p>
        </w:tc>
        <w:tc>
          <w:tcPr>
            <w:tcW w:w="836" w:type="dxa"/>
            <w:tcBorders>
              <w:top w:val="single" w:sz="4" w:space="0" w:color="auto"/>
              <w:left w:val="single" w:sz="4" w:space="0" w:color="auto"/>
              <w:bottom w:val="single" w:sz="4" w:space="0" w:color="auto"/>
              <w:right w:val="single" w:sz="4" w:space="0" w:color="auto"/>
            </w:tcBorders>
            <w:vAlign w:val="center"/>
            <w:hideMark/>
          </w:tcPr>
          <w:p w14:paraId="6BDA2A11" w14:textId="350927DC" w:rsidR="00602EEB" w:rsidRPr="00C76BC2" w:rsidRDefault="00BD6E95">
            <w:pPr>
              <w:rPr>
                <w:rFonts w:ascii="Arial Narrow" w:hAnsi="Arial Narrow"/>
                <w:b/>
                <w:bCs/>
                <w:iCs/>
                <w:sz w:val="20"/>
                <w:szCs w:val="20"/>
                <w:highlight w:val="darkGray"/>
              </w:rPr>
            </w:pPr>
            <w:r w:rsidRPr="00BD6E95">
              <w:rPr>
                <w:rFonts w:ascii="Arial Narrow" w:hAnsi="Arial Narrow"/>
                <w:b/>
                <w:bCs/>
                <w:iCs/>
                <w:color w:val="000000"/>
                <w:spacing w:val="11"/>
                <w:sz w:val="20"/>
                <w:szCs w:val="20"/>
                <w:shd w:val="solid" w:color="000000" w:fill="000000"/>
                <w:fitText w:val="334" w:id="-632053753"/>
                <w14:textFill>
                  <w14:solidFill>
                    <w14:srgbClr w14:val="000000">
                      <w14:alpha w14:val="100000"/>
                    </w14:srgbClr>
                  </w14:solidFill>
                </w14:textFill>
              </w:rPr>
              <w:t>||  |</w:t>
            </w:r>
            <w:r w:rsidRPr="00BD6E95">
              <w:rPr>
                <w:rFonts w:ascii="Arial Narrow" w:hAnsi="Arial Narrow"/>
                <w:b/>
                <w:bCs/>
                <w:iCs/>
                <w:color w:val="000000"/>
                <w:spacing w:val="4"/>
                <w:sz w:val="20"/>
                <w:szCs w:val="20"/>
                <w:shd w:val="solid" w:color="000000" w:fill="000000"/>
                <w:fitText w:val="334" w:id="-632053753"/>
                <w14:textFill>
                  <w14:solidFill>
                    <w14:srgbClr w14:val="000000">
                      <w14:alpha w14:val="100000"/>
                    </w14:srgbClr>
                  </w14:solidFill>
                </w14:textFill>
              </w:rPr>
              <w:t>|</w:t>
            </w:r>
            <w:r w:rsidR="006E503C" w:rsidRPr="006E503C">
              <w:rPr>
                <w:rFonts w:ascii="Arial Narrow" w:hAnsi="Arial Narrow"/>
                <w:b/>
                <w:bCs/>
                <w:iCs/>
                <w:sz w:val="20"/>
                <w:szCs w:val="20"/>
                <w:vertAlign w:val="superscript"/>
              </w:rPr>
              <w:t>1</w:t>
            </w:r>
          </w:p>
        </w:tc>
        <w:tc>
          <w:tcPr>
            <w:tcW w:w="821" w:type="dxa"/>
            <w:tcBorders>
              <w:top w:val="single" w:sz="4" w:space="0" w:color="auto"/>
              <w:left w:val="single" w:sz="4" w:space="0" w:color="auto"/>
              <w:bottom w:val="single" w:sz="4" w:space="0" w:color="auto"/>
              <w:right w:val="single" w:sz="4" w:space="0" w:color="auto"/>
            </w:tcBorders>
            <w:hideMark/>
          </w:tcPr>
          <w:p w14:paraId="2B8CB9D9" w14:textId="77777777" w:rsidR="00602EEB" w:rsidRPr="00935CE1" w:rsidRDefault="00602EEB">
            <w:pPr>
              <w:rPr>
                <w:rFonts w:ascii="Arial Narrow" w:hAnsi="Arial Narrow"/>
                <w:b/>
                <w:bCs/>
                <w:iCs/>
                <w:sz w:val="20"/>
                <w:szCs w:val="20"/>
              </w:rPr>
            </w:pPr>
            <w:r w:rsidRPr="00935CE1">
              <w:rPr>
                <w:rFonts w:ascii="Arial Narrow" w:hAnsi="Arial Narrow"/>
                <w:b/>
                <w:bCs/>
                <w:iCs/>
                <w:sz w:val="20"/>
                <w:szCs w:val="20"/>
              </w:rPr>
              <w:t>Base</w:t>
            </w:r>
          </w:p>
        </w:tc>
      </w:tr>
      <w:tr w:rsidR="00602EEB" w:rsidRPr="00935CE1" w14:paraId="3DB49DD4" w14:textId="77777777" w:rsidTr="00663B7B">
        <w:tc>
          <w:tcPr>
            <w:tcW w:w="9017" w:type="dxa"/>
            <w:gridSpan w:val="5"/>
            <w:tcBorders>
              <w:top w:val="single" w:sz="4" w:space="0" w:color="auto"/>
              <w:left w:val="single" w:sz="4" w:space="0" w:color="auto"/>
              <w:bottom w:val="single" w:sz="4" w:space="0" w:color="auto"/>
              <w:right w:val="single" w:sz="4" w:space="0" w:color="auto"/>
            </w:tcBorders>
            <w:hideMark/>
          </w:tcPr>
          <w:p w14:paraId="53C4BDDD" w14:textId="77777777" w:rsidR="00602EEB" w:rsidRPr="00935CE1" w:rsidRDefault="00602EEB">
            <w:pPr>
              <w:rPr>
                <w:rFonts w:ascii="Arial Narrow" w:hAnsi="Arial Narrow"/>
                <w:b/>
                <w:bCs/>
                <w:iCs/>
                <w:sz w:val="20"/>
                <w:szCs w:val="20"/>
              </w:rPr>
            </w:pPr>
            <w:r w:rsidRPr="00935CE1">
              <w:rPr>
                <w:rFonts w:ascii="Arial Narrow" w:hAnsi="Arial Narrow"/>
                <w:b/>
                <w:bCs/>
                <w:iCs/>
                <w:sz w:val="20"/>
                <w:szCs w:val="20"/>
              </w:rPr>
              <w:t>Univariate sensitivity analysis</w:t>
            </w:r>
          </w:p>
        </w:tc>
      </w:tr>
      <w:tr w:rsidR="00602EEB" w:rsidRPr="00935CE1" w14:paraId="036FBD94" w14:textId="77777777" w:rsidTr="00BD6E95">
        <w:tc>
          <w:tcPr>
            <w:tcW w:w="5406" w:type="dxa"/>
            <w:tcBorders>
              <w:top w:val="single" w:sz="4" w:space="0" w:color="auto"/>
              <w:left w:val="single" w:sz="4" w:space="0" w:color="auto"/>
              <w:bottom w:val="nil"/>
              <w:right w:val="single" w:sz="4" w:space="0" w:color="auto"/>
            </w:tcBorders>
            <w:vAlign w:val="bottom"/>
            <w:hideMark/>
          </w:tcPr>
          <w:p w14:paraId="55179FFC" w14:textId="77777777" w:rsidR="00602EEB" w:rsidRPr="00935CE1" w:rsidRDefault="00602EEB">
            <w:pPr>
              <w:rPr>
                <w:rFonts w:ascii="Arial Narrow" w:hAnsi="Arial Narrow"/>
                <w:iCs/>
                <w:sz w:val="20"/>
                <w:szCs w:val="20"/>
              </w:rPr>
            </w:pPr>
            <w:r w:rsidRPr="00935CE1">
              <w:rPr>
                <w:rFonts w:ascii="Arial Narrow" w:hAnsi="Arial Narrow"/>
                <w:iCs/>
                <w:sz w:val="20"/>
                <w:szCs w:val="20"/>
              </w:rPr>
              <w:t>Time horizon: 15 years</w:t>
            </w:r>
          </w:p>
        </w:tc>
        <w:tc>
          <w:tcPr>
            <w:tcW w:w="977" w:type="dxa"/>
            <w:tcBorders>
              <w:top w:val="single" w:sz="4" w:space="0" w:color="auto"/>
              <w:left w:val="single" w:sz="4" w:space="0" w:color="auto"/>
              <w:bottom w:val="nil"/>
              <w:right w:val="single" w:sz="4" w:space="0" w:color="auto"/>
            </w:tcBorders>
            <w:shd w:val="solid" w:color="000000" w:fill="000000"/>
            <w:vAlign w:val="bottom"/>
            <w:hideMark/>
          </w:tcPr>
          <w:p w14:paraId="06617BD0" w14:textId="1DE95BD2"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2"/>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2"/>
                <w14:textFill>
                  <w14:solidFill>
                    <w14:srgbClr w14:val="000000">
                      <w14:alpha w14:val="100000"/>
                    </w14:srgbClr>
                  </w14:solidFill>
                </w14:textFill>
              </w:rPr>
              <w:t>|</w:t>
            </w:r>
          </w:p>
        </w:tc>
        <w:tc>
          <w:tcPr>
            <w:tcW w:w="977" w:type="dxa"/>
            <w:tcBorders>
              <w:top w:val="single" w:sz="4" w:space="0" w:color="auto"/>
              <w:left w:val="single" w:sz="4" w:space="0" w:color="auto"/>
              <w:bottom w:val="nil"/>
              <w:right w:val="single" w:sz="4" w:space="0" w:color="auto"/>
            </w:tcBorders>
            <w:vAlign w:val="bottom"/>
            <w:hideMark/>
          </w:tcPr>
          <w:p w14:paraId="64D7984D" w14:textId="77777777" w:rsidR="00602EEB" w:rsidRPr="00935CE1" w:rsidRDefault="00602EEB">
            <w:pPr>
              <w:rPr>
                <w:rFonts w:ascii="Arial Narrow" w:hAnsi="Arial Narrow"/>
                <w:iCs/>
                <w:sz w:val="20"/>
                <w:szCs w:val="20"/>
              </w:rPr>
            </w:pPr>
            <w:r w:rsidRPr="00935CE1">
              <w:rPr>
                <w:rFonts w:ascii="Arial Narrow" w:hAnsi="Arial Narrow"/>
                <w:iCs/>
                <w:sz w:val="20"/>
                <w:szCs w:val="20"/>
              </w:rPr>
              <w:t>1.410</w:t>
            </w:r>
          </w:p>
        </w:tc>
        <w:tc>
          <w:tcPr>
            <w:tcW w:w="836" w:type="dxa"/>
            <w:tcBorders>
              <w:top w:val="single" w:sz="4" w:space="0" w:color="auto"/>
              <w:left w:val="single" w:sz="4" w:space="0" w:color="auto"/>
              <w:bottom w:val="nil"/>
              <w:right w:val="single" w:sz="4" w:space="0" w:color="auto"/>
            </w:tcBorders>
            <w:vAlign w:val="bottom"/>
            <w:hideMark/>
          </w:tcPr>
          <w:p w14:paraId="3DFAB596" w14:textId="58F6F83A" w:rsidR="00602EEB" w:rsidRPr="00232A4D" w:rsidRDefault="00BD6E95">
            <w:pPr>
              <w:rPr>
                <w:rFonts w:ascii="Arial Narrow" w:hAnsi="Arial Narrow"/>
                <w:iCs/>
                <w:sz w:val="20"/>
                <w:szCs w:val="20"/>
                <w:highlight w:val="darkGray"/>
                <w:vertAlign w:val="superscript"/>
              </w:rPr>
            </w:pPr>
            <w:r w:rsidRPr="00BD6E95">
              <w:rPr>
                <w:rFonts w:ascii="Arial Narrow" w:hAnsi="Arial Narrow"/>
                <w:iCs/>
                <w:color w:val="000000"/>
                <w:spacing w:val="9"/>
                <w:sz w:val="20"/>
                <w:szCs w:val="20"/>
                <w:shd w:val="solid" w:color="000000" w:fill="000000"/>
                <w:fitText w:val="310" w:id="-632053751"/>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1"/>
                <w14:textFill>
                  <w14:solidFill>
                    <w14:srgbClr w14:val="000000">
                      <w14:alpha w14:val="100000"/>
                    </w14:srgbClr>
                  </w14:solidFill>
                </w14:textFill>
              </w:rPr>
              <w:t>|</w:t>
            </w:r>
            <w:r w:rsidR="00232A4D" w:rsidRPr="003A4705">
              <w:rPr>
                <w:rFonts w:ascii="Arial Narrow" w:hAnsi="Arial Narrow"/>
                <w:iCs/>
                <w:sz w:val="20"/>
                <w:szCs w:val="20"/>
                <w:vertAlign w:val="superscript"/>
              </w:rPr>
              <w:t>2</w:t>
            </w:r>
          </w:p>
        </w:tc>
        <w:tc>
          <w:tcPr>
            <w:tcW w:w="821" w:type="dxa"/>
            <w:tcBorders>
              <w:top w:val="single" w:sz="4" w:space="0" w:color="auto"/>
              <w:left w:val="single" w:sz="4" w:space="0" w:color="auto"/>
              <w:bottom w:val="nil"/>
              <w:right w:val="single" w:sz="4" w:space="0" w:color="auto"/>
            </w:tcBorders>
            <w:vAlign w:val="bottom"/>
            <w:hideMark/>
          </w:tcPr>
          <w:p w14:paraId="56151FBF" w14:textId="6D1BAA7F"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0"/>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0"/>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778F5CF7" w14:textId="77777777" w:rsidTr="00BD6E95">
        <w:tc>
          <w:tcPr>
            <w:tcW w:w="5406" w:type="dxa"/>
            <w:tcBorders>
              <w:top w:val="nil"/>
              <w:left w:val="single" w:sz="4" w:space="0" w:color="auto"/>
              <w:bottom w:val="nil"/>
              <w:right w:val="single" w:sz="4" w:space="0" w:color="auto"/>
            </w:tcBorders>
            <w:vAlign w:val="bottom"/>
            <w:hideMark/>
          </w:tcPr>
          <w:p w14:paraId="70C88C69" w14:textId="77777777" w:rsidR="00602EEB" w:rsidRPr="00935CE1" w:rsidRDefault="00602EEB">
            <w:pPr>
              <w:rPr>
                <w:rFonts w:ascii="Arial Narrow" w:hAnsi="Arial Narrow"/>
                <w:iCs/>
                <w:sz w:val="20"/>
                <w:szCs w:val="20"/>
              </w:rPr>
            </w:pPr>
            <w:r w:rsidRPr="00935CE1">
              <w:rPr>
                <w:rFonts w:ascii="Arial Narrow" w:hAnsi="Arial Narrow"/>
                <w:iCs/>
                <w:sz w:val="20"/>
                <w:szCs w:val="20"/>
              </w:rPr>
              <w:t>Time horizon: 10 years</w:t>
            </w:r>
          </w:p>
        </w:tc>
        <w:tc>
          <w:tcPr>
            <w:tcW w:w="977" w:type="dxa"/>
            <w:tcBorders>
              <w:top w:val="nil"/>
              <w:left w:val="single" w:sz="4" w:space="0" w:color="auto"/>
              <w:bottom w:val="nil"/>
              <w:right w:val="single" w:sz="4" w:space="0" w:color="auto"/>
            </w:tcBorders>
            <w:shd w:val="solid" w:color="000000" w:fill="000000"/>
            <w:vAlign w:val="bottom"/>
            <w:hideMark/>
          </w:tcPr>
          <w:p w14:paraId="58BF9A72" w14:textId="5B6E9DA8"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49"/>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49"/>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bottom"/>
            <w:hideMark/>
          </w:tcPr>
          <w:p w14:paraId="4994DC75" w14:textId="77777777" w:rsidR="00602EEB" w:rsidRPr="00935CE1" w:rsidRDefault="00602EEB">
            <w:pPr>
              <w:rPr>
                <w:rFonts w:ascii="Arial Narrow" w:hAnsi="Arial Narrow"/>
                <w:iCs/>
                <w:sz w:val="20"/>
                <w:szCs w:val="20"/>
              </w:rPr>
            </w:pPr>
            <w:r w:rsidRPr="00935CE1">
              <w:rPr>
                <w:rFonts w:ascii="Arial Narrow" w:hAnsi="Arial Narrow"/>
                <w:iCs/>
                <w:sz w:val="20"/>
                <w:szCs w:val="20"/>
              </w:rPr>
              <w:t>1.121</w:t>
            </w:r>
          </w:p>
        </w:tc>
        <w:tc>
          <w:tcPr>
            <w:tcW w:w="836" w:type="dxa"/>
            <w:tcBorders>
              <w:top w:val="nil"/>
              <w:left w:val="single" w:sz="4" w:space="0" w:color="auto"/>
              <w:bottom w:val="nil"/>
              <w:right w:val="single" w:sz="4" w:space="0" w:color="auto"/>
            </w:tcBorders>
            <w:vAlign w:val="bottom"/>
            <w:hideMark/>
          </w:tcPr>
          <w:p w14:paraId="6EDA548F" w14:textId="5CD69904"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48"/>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8"/>
                <w14:textFill>
                  <w14:solidFill>
                    <w14:srgbClr w14:val="000000">
                      <w14:alpha w14:val="100000"/>
                    </w14:srgbClr>
                  </w14:solidFill>
                </w14:textFill>
              </w:rPr>
              <w:t>|</w:t>
            </w:r>
            <w:r w:rsidR="00003D4A" w:rsidRPr="00003D4A">
              <w:rPr>
                <w:rFonts w:ascii="Arial Narrow" w:hAnsi="Arial Narrow"/>
                <w:iCs/>
                <w:sz w:val="20"/>
                <w:szCs w:val="20"/>
                <w:vertAlign w:val="superscript"/>
              </w:rPr>
              <w:t>3</w:t>
            </w:r>
          </w:p>
        </w:tc>
        <w:tc>
          <w:tcPr>
            <w:tcW w:w="821" w:type="dxa"/>
            <w:tcBorders>
              <w:top w:val="nil"/>
              <w:left w:val="single" w:sz="4" w:space="0" w:color="auto"/>
              <w:bottom w:val="nil"/>
              <w:right w:val="single" w:sz="4" w:space="0" w:color="auto"/>
            </w:tcBorders>
            <w:vAlign w:val="bottom"/>
            <w:hideMark/>
          </w:tcPr>
          <w:p w14:paraId="48EAECE8" w14:textId="0D4D3653"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47"/>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7"/>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1D3B8B25" w14:textId="77777777" w:rsidTr="00BD6E95">
        <w:tc>
          <w:tcPr>
            <w:tcW w:w="5406" w:type="dxa"/>
            <w:tcBorders>
              <w:top w:val="nil"/>
              <w:left w:val="single" w:sz="4" w:space="0" w:color="auto"/>
              <w:bottom w:val="nil"/>
              <w:right w:val="single" w:sz="4" w:space="0" w:color="auto"/>
            </w:tcBorders>
            <w:vAlign w:val="bottom"/>
            <w:hideMark/>
          </w:tcPr>
          <w:p w14:paraId="51EE6405" w14:textId="77777777" w:rsidR="00602EEB" w:rsidRPr="00935CE1" w:rsidRDefault="00602EEB">
            <w:pPr>
              <w:rPr>
                <w:rFonts w:ascii="Arial Narrow" w:hAnsi="Arial Narrow"/>
                <w:iCs/>
                <w:sz w:val="20"/>
                <w:szCs w:val="20"/>
              </w:rPr>
            </w:pPr>
            <w:r w:rsidRPr="00935CE1">
              <w:rPr>
                <w:rFonts w:ascii="Arial Narrow" w:hAnsi="Arial Narrow"/>
                <w:iCs/>
                <w:sz w:val="20"/>
                <w:szCs w:val="20"/>
              </w:rPr>
              <w:t>Mean treatment-specific follow-up (STARGLO) truncation points for PFS/OS</w:t>
            </w:r>
          </w:p>
        </w:tc>
        <w:tc>
          <w:tcPr>
            <w:tcW w:w="977" w:type="dxa"/>
            <w:tcBorders>
              <w:top w:val="nil"/>
              <w:left w:val="single" w:sz="4" w:space="0" w:color="auto"/>
              <w:bottom w:val="nil"/>
              <w:right w:val="single" w:sz="4" w:space="0" w:color="auto"/>
            </w:tcBorders>
            <w:shd w:val="solid" w:color="000000" w:fill="000000"/>
            <w:vAlign w:val="bottom"/>
            <w:hideMark/>
          </w:tcPr>
          <w:p w14:paraId="417FEA0F" w14:textId="1AD34B0B"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46"/>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46"/>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bottom"/>
            <w:hideMark/>
          </w:tcPr>
          <w:p w14:paraId="63431DE9" w14:textId="77777777" w:rsidR="00602EEB" w:rsidRPr="00935CE1" w:rsidRDefault="00602EEB">
            <w:pPr>
              <w:rPr>
                <w:rFonts w:ascii="Arial Narrow" w:hAnsi="Arial Narrow"/>
                <w:iCs/>
                <w:sz w:val="20"/>
                <w:szCs w:val="20"/>
              </w:rPr>
            </w:pPr>
            <w:r w:rsidRPr="00935CE1">
              <w:rPr>
                <w:rFonts w:ascii="Arial Narrow" w:hAnsi="Arial Narrow"/>
                <w:iCs/>
                <w:sz w:val="20"/>
                <w:szCs w:val="20"/>
              </w:rPr>
              <w:t>1.525</w:t>
            </w:r>
          </w:p>
        </w:tc>
        <w:tc>
          <w:tcPr>
            <w:tcW w:w="836" w:type="dxa"/>
            <w:tcBorders>
              <w:top w:val="nil"/>
              <w:left w:val="single" w:sz="4" w:space="0" w:color="auto"/>
              <w:bottom w:val="nil"/>
              <w:right w:val="single" w:sz="4" w:space="0" w:color="auto"/>
            </w:tcBorders>
            <w:vAlign w:val="bottom"/>
            <w:hideMark/>
          </w:tcPr>
          <w:p w14:paraId="20DF5308" w14:textId="4C3A185A"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45"/>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5"/>
                <w14:textFill>
                  <w14:solidFill>
                    <w14:srgbClr w14:val="000000">
                      <w14:alpha w14:val="100000"/>
                    </w14:srgbClr>
                  </w14:solidFill>
                </w14:textFill>
              </w:rPr>
              <w:t>|</w:t>
            </w:r>
            <w:r w:rsidR="00744133" w:rsidRPr="003A4705">
              <w:rPr>
                <w:rFonts w:ascii="Arial Narrow" w:hAnsi="Arial Narrow"/>
                <w:iCs/>
                <w:sz w:val="20"/>
                <w:szCs w:val="20"/>
                <w:vertAlign w:val="superscript"/>
              </w:rPr>
              <w:t>2</w:t>
            </w:r>
          </w:p>
        </w:tc>
        <w:tc>
          <w:tcPr>
            <w:tcW w:w="821" w:type="dxa"/>
            <w:tcBorders>
              <w:top w:val="nil"/>
              <w:left w:val="single" w:sz="4" w:space="0" w:color="auto"/>
              <w:bottom w:val="nil"/>
              <w:right w:val="single" w:sz="4" w:space="0" w:color="auto"/>
            </w:tcBorders>
            <w:vAlign w:val="bottom"/>
            <w:hideMark/>
          </w:tcPr>
          <w:p w14:paraId="32811626" w14:textId="4CBB354F"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44"/>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4"/>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02D18C9A" w14:textId="77777777" w:rsidTr="00BD6E95">
        <w:tc>
          <w:tcPr>
            <w:tcW w:w="5406" w:type="dxa"/>
            <w:tcBorders>
              <w:top w:val="nil"/>
              <w:left w:val="single" w:sz="4" w:space="0" w:color="auto"/>
              <w:bottom w:val="nil"/>
              <w:right w:val="single" w:sz="4" w:space="0" w:color="auto"/>
            </w:tcBorders>
            <w:vAlign w:val="bottom"/>
            <w:hideMark/>
          </w:tcPr>
          <w:p w14:paraId="1055CE08" w14:textId="77777777" w:rsidR="00602EEB" w:rsidRPr="00935CE1" w:rsidRDefault="00602EEB">
            <w:pPr>
              <w:rPr>
                <w:rFonts w:ascii="Arial Narrow" w:hAnsi="Arial Narrow"/>
                <w:iCs/>
                <w:sz w:val="20"/>
                <w:szCs w:val="20"/>
              </w:rPr>
            </w:pPr>
            <w:proofErr w:type="spellStart"/>
            <w:r w:rsidRPr="00935CE1">
              <w:rPr>
                <w:rFonts w:ascii="Arial Narrow" w:hAnsi="Arial Narrow"/>
                <w:iCs/>
                <w:sz w:val="20"/>
                <w:szCs w:val="20"/>
              </w:rPr>
              <w:t>Gebski</w:t>
            </w:r>
            <w:proofErr w:type="spellEnd"/>
            <w:r w:rsidRPr="00935CE1">
              <w:rPr>
                <w:rFonts w:ascii="Arial Narrow" w:hAnsi="Arial Narrow"/>
                <w:iCs/>
                <w:sz w:val="20"/>
                <w:szCs w:val="20"/>
              </w:rPr>
              <w:t xml:space="preserve"> criteria 2 treatment specific, as truncation points for PFS/OS</w:t>
            </w:r>
          </w:p>
        </w:tc>
        <w:tc>
          <w:tcPr>
            <w:tcW w:w="977" w:type="dxa"/>
            <w:tcBorders>
              <w:top w:val="nil"/>
              <w:left w:val="single" w:sz="4" w:space="0" w:color="auto"/>
              <w:bottom w:val="nil"/>
              <w:right w:val="single" w:sz="4" w:space="0" w:color="auto"/>
            </w:tcBorders>
            <w:shd w:val="solid" w:color="000000" w:fill="000000"/>
            <w:vAlign w:val="bottom"/>
            <w:hideMark/>
          </w:tcPr>
          <w:p w14:paraId="46CDB63D" w14:textId="79426EDF"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60"/>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60"/>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bottom"/>
            <w:hideMark/>
          </w:tcPr>
          <w:p w14:paraId="5CD517E0" w14:textId="77777777" w:rsidR="00602EEB" w:rsidRPr="00935CE1" w:rsidRDefault="00602EEB">
            <w:pPr>
              <w:rPr>
                <w:rFonts w:ascii="Arial Narrow" w:hAnsi="Arial Narrow"/>
                <w:iCs/>
                <w:sz w:val="20"/>
                <w:szCs w:val="20"/>
              </w:rPr>
            </w:pPr>
            <w:r w:rsidRPr="00935CE1">
              <w:rPr>
                <w:rFonts w:ascii="Arial Narrow" w:hAnsi="Arial Narrow"/>
                <w:iCs/>
                <w:sz w:val="20"/>
                <w:szCs w:val="20"/>
              </w:rPr>
              <w:t>1.580</w:t>
            </w:r>
          </w:p>
        </w:tc>
        <w:tc>
          <w:tcPr>
            <w:tcW w:w="836" w:type="dxa"/>
            <w:tcBorders>
              <w:top w:val="nil"/>
              <w:left w:val="single" w:sz="4" w:space="0" w:color="auto"/>
              <w:bottom w:val="nil"/>
              <w:right w:val="single" w:sz="4" w:space="0" w:color="auto"/>
            </w:tcBorders>
            <w:vAlign w:val="bottom"/>
            <w:hideMark/>
          </w:tcPr>
          <w:p w14:paraId="7601E4C8" w14:textId="5518300F"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9"/>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9"/>
                <w14:textFill>
                  <w14:solidFill>
                    <w14:srgbClr w14:val="000000">
                      <w14:alpha w14:val="100000"/>
                    </w14:srgbClr>
                  </w14:solidFill>
                </w14:textFill>
              </w:rPr>
              <w:t>|</w:t>
            </w:r>
            <w:r w:rsidR="006E503C" w:rsidRPr="006E503C">
              <w:rPr>
                <w:rFonts w:ascii="Arial Narrow" w:hAnsi="Arial Narrow"/>
                <w:b/>
                <w:bCs/>
                <w:iCs/>
                <w:sz w:val="20"/>
                <w:szCs w:val="20"/>
                <w:vertAlign w:val="superscript"/>
              </w:rPr>
              <w:t>1</w:t>
            </w:r>
          </w:p>
        </w:tc>
        <w:tc>
          <w:tcPr>
            <w:tcW w:w="821" w:type="dxa"/>
            <w:tcBorders>
              <w:top w:val="nil"/>
              <w:left w:val="single" w:sz="4" w:space="0" w:color="auto"/>
              <w:bottom w:val="nil"/>
              <w:right w:val="single" w:sz="4" w:space="0" w:color="auto"/>
            </w:tcBorders>
            <w:vAlign w:val="bottom"/>
            <w:hideMark/>
          </w:tcPr>
          <w:p w14:paraId="41B2C8E3" w14:textId="2DFBD23A"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8"/>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8"/>
                <w14:textFill>
                  <w14:solidFill>
                    <w14:srgbClr w14:val="000000">
                      <w14:alpha w14:val="100000"/>
                    </w14:srgbClr>
                  </w14:solidFill>
                </w14:textFill>
              </w:rPr>
              <w:t>|</w:t>
            </w:r>
            <w:r w:rsidR="00602EEB" w:rsidRPr="00935CE1">
              <w:rPr>
                <w:rFonts w:ascii="Arial Narrow" w:hAnsi="Arial Narrow"/>
                <w:iCs/>
                <w:sz w:val="20"/>
                <w:szCs w:val="20"/>
              </w:rPr>
              <w:t>8%</w:t>
            </w:r>
          </w:p>
        </w:tc>
      </w:tr>
      <w:tr w:rsidR="00602EEB" w:rsidRPr="00935CE1" w14:paraId="7541C115" w14:textId="77777777" w:rsidTr="00BD6E95">
        <w:tc>
          <w:tcPr>
            <w:tcW w:w="5406" w:type="dxa"/>
            <w:tcBorders>
              <w:top w:val="nil"/>
              <w:left w:val="single" w:sz="4" w:space="0" w:color="auto"/>
              <w:bottom w:val="nil"/>
              <w:right w:val="single" w:sz="4" w:space="0" w:color="auto"/>
            </w:tcBorders>
            <w:vAlign w:val="bottom"/>
            <w:hideMark/>
          </w:tcPr>
          <w:p w14:paraId="3C0BA525" w14:textId="77777777" w:rsidR="00602EEB" w:rsidRPr="00935CE1" w:rsidRDefault="00602EEB">
            <w:pPr>
              <w:rPr>
                <w:rFonts w:ascii="Arial Narrow" w:hAnsi="Arial Narrow"/>
                <w:iCs/>
                <w:sz w:val="20"/>
                <w:szCs w:val="20"/>
              </w:rPr>
            </w:pPr>
            <w:r w:rsidRPr="00935CE1">
              <w:rPr>
                <w:rFonts w:ascii="Arial Narrow" w:hAnsi="Arial Narrow"/>
                <w:iCs/>
                <w:sz w:val="20"/>
                <w:szCs w:val="20"/>
              </w:rPr>
              <w:t>10% treatment specific, as truncation points for PFS/OS</w:t>
            </w:r>
          </w:p>
        </w:tc>
        <w:tc>
          <w:tcPr>
            <w:tcW w:w="977" w:type="dxa"/>
            <w:tcBorders>
              <w:top w:val="nil"/>
              <w:left w:val="single" w:sz="4" w:space="0" w:color="auto"/>
              <w:bottom w:val="nil"/>
              <w:right w:val="single" w:sz="4" w:space="0" w:color="auto"/>
            </w:tcBorders>
            <w:shd w:val="solid" w:color="000000" w:fill="000000"/>
            <w:vAlign w:val="bottom"/>
            <w:hideMark/>
          </w:tcPr>
          <w:p w14:paraId="25CB54F0" w14:textId="28C355C1"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7"/>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7"/>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bottom"/>
            <w:hideMark/>
          </w:tcPr>
          <w:p w14:paraId="0486332A" w14:textId="77777777" w:rsidR="00602EEB" w:rsidRPr="00935CE1" w:rsidRDefault="00602EEB">
            <w:pPr>
              <w:rPr>
                <w:rFonts w:ascii="Arial Narrow" w:hAnsi="Arial Narrow"/>
                <w:iCs/>
                <w:sz w:val="20"/>
                <w:szCs w:val="20"/>
              </w:rPr>
            </w:pPr>
            <w:r w:rsidRPr="00935CE1">
              <w:rPr>
                <w:rFonts w:ascii="Arial Narrow" w:hAnsi="Arial Narrow"/>
                <w:iCs/>
                <w:sz w:val="20"/>
                <w:szCs w:val="20"/>
              </w:rPr>
              <w:t>1.569</w:t>
            </w:r>
          </w:p>
        </w:tc>
        <w:tc>
          <w:tcPr>
            <w:tcW w:w="836" w:type="dxa"/>
            <w:tcBorders>
              <w:top w:val="nil"/>
              <w:left w:val="single" w:sz="4" w:space="0" w:color="auto"/>
              <w:bottom w:val="nil"/>
              <w:right w:val="single" w:sz="4" w:space="0" w:color="auto"/>
            </w:tcBorders>
            <w:vAlign w:val="bottom"/>
            <w:hideMark/>
          </w:tcPr>
          <w:p w14:paraId="2B6579AC" w14:textId="53255897"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6"/>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6"/>
                <w14:textFill>
                  <w14:solidFill>
                    <w14:srgbClr w14:val="000000">
                      <w14:alpha w14:val="100000"/>
                    </w14:srgbClr>
                  </w14:solidFill>
                </w14:textFill>
              </w:rPr>
              <w:t>|</w:t>
            </w:r>
            <w:r w:rsidR="00744133" w:rsidRPr="003A4705">
              <w:rPr>
                <w:rFonts w:ascii="Arial Narrow" w:hAnsi="Arial Narrow"/>
                <w:iCs/>
                <w:sz w:val="20"/>
                <w:szCs w:val="20"/>
                <w:vertAlign w:val="superscript"/>
              </w:rPr>
              <w:t>2</w:t>
            </w:r>
          </w:p>
        </w:tc>
        <w:tc>
          <w:tcPr>
            <w:tcW w:w="821" w:type="dxa"/>
            <w:tcBorders>
              <w:top w:val="nil"/>
              <w:left w:val="single" w:sz="4" w:space="0" w:color="auto"/>
              <w:bottom w:val="nil"/>
              <w:right w:val="single" w:sz="4" w:space="0" w:color="auto"/>
            </w:tcBorders>
            <w:vAlign w:val="bottom"/>
            <w:hideMark/>
          </w:tcPr>
          <w:p w14:paraId="6EF983CA" w14:textId="5A1D5084"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5"/>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5"/>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49DD8BAC" w14:textId="77777777" w:rsidTr="00BD6E95">
        <w:tc>
          <w:tcPr>
            <w:tcW w:w="5406" w:type="dxa"/>
            <w:tcBorders>
              <w:top w:val="nil"/>
              <w:left w:val="single" w:sz="4" w:space="0" w:color="auto"/>
              <w:bottom w:val="nil"/>
              <w:right w:val="single" w:sz="4" w:space="0" w:color="auto"/>
            </w:tcBorders>
            <w:vAlign w:val="bottom"/>
            <w:hideMark/>
          </w:tcPr>
          <w:p w14:paraId="769947A0" w14:textId="77777777" w:rsidR="00602EEB" w:rsidRPr="00935CE1" w:rsidRDefault="00602EEB">
            <w:pPr>
              <w:rPr>
                <w:rFonts w:ascii="Arial Narrow" w:hAnsi="Arial Narrow"/>
                <w:iCs/>
                <w:sz w:val="20"/>
                <w:szCs w:val="20"/>
              </w:rPr>
            </w:pPr>
            <w:r w:rsidRPr="00935CE1">
              <w:rPr>
                <w:rFonts w:ascii="Arial Narrow" w:hAnsi="Arial Narrow"/>
                <w:iCs/>
                <w:sz w:val="20"/>
                <w:szCs w:val="20"/>
              </w:rPr>
              <w:t>KM until shortest of maximum follow-up + Weibull extrapolation tail</w:t>
            </w:r>
          </w:p>
        </w:tc>
        <w:tc>
          <w:tcPr>
            <w:tcW w:w="977" w:type="dxa"/>
            <w:tcBorders>
              <w:top w:val="nil"/>
              <w:left w:val="single" w:sz="4" w:space="0" w:color="auto"/>
              <w:bottom w:val="nil"/>
              <w:right w:val="single" w:sz="4" w:space="0" w:color="auto"/>
            </w:tcBorders>
            <w:shd w:val="solid" w:color="000000" w:fill="000000"/>
            <w:vAlign w:val="bottom"/>
            <w:hideMark/>
          </w:tcPr>
          <w:p w14:paraId="715DAED9" w14:textId="414649EE"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4"/>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4"/>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bottom"/>
            <w:hideMark/>
          </w:tcPr>
          <w:p w14:paraId="3209A010" w14:textId="77777777" w:rsidR="00602EEB" w:rsidRPr="00935CE1" w:rsidRDefault="00602EEB">
            <w:pPr>
              <w:rPr>
                <w:rFonts w:ascii="Arial Narrow" w:hAnsi="Arial Narrow"/>
                <w:iCs/>
                <w:sz w:val="20"/>
                <w:szCs w:val="20"/>
              </w:rPr>
            </w:pPr>
            <w:r w:rsidRPr="00935CE1">
              <w:rPr>
                <w:rFonts w:ascii="Arial Narrow" w:hAnsi="Arial Narrow"/>
                <w:iCs/>
                <w:sz w:val="20"/>
                <w:szCs w:val="20"/>
              </w:rPr>
              <w:t>1.153</w:t>
            </w:r>
          </w:p>
        </w:tc>
        <w:tc>
          <w:tcPr>
            <w:tcW w:w="836" w:type="dxa"/>
            <w:tcBorders>
              <w:top w:val="nil"/>
              <w:left w:val="single" w:sz="4" w:space="0" w:color="auto"/>
              <w:bottom w:val="nil"/>
              <w:right w:val="single" w:sz="4" w:space="0" w:color="auto"/>
            </w:tcBorders>
            <w:vAlign w:val="bottom"/>
            <w:hideMark/>
          </w:tcPr>
          <w:p w14:paraId="364E4893" w14:textId="7A69B4E3" w:rsidR="00602EEB" w:rsidRPr="00AA1B7E" w:rsidRDefault="00BD6E95">
            <w:pPr>
              <w:rPr>
                <w:rFonts w:ascii="Arial Narrow" w:hAnsi="Arial Narrow"/>
                <w:iCs/>
                <w:sz w:val="20"/>
                <w:szCs w:val="20"/>
                <w:highlight w:val="darkGray"/>
                <w:vertAlign w:val="superscript"/>
              </w:rPr>
            </w:pPr>
            <w:r w:rsidRPr="00BD6E95">
              <w:rPr>
                <w:rFonts w:ascii="Arial Narrow" w:hAnsi="Arial Narrow"/>
                <w:iCs/>
                <w:color w:val="000000"/>
                <w:spacing w:val="9"/>
                <w:sz w:val="20"/>
                <w:szCs w:val="20"/>
                <w:shd w:val="solid" w:color="000000" w:fill="000000"/>
                <w:fitText w:val="310" w:id="-632053753"/>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3"/>
                <w14:textFill>
                  <w14:solidFill>
                    <w14:srgbClr w14:val="000000">
                      <w14:alpha w14:val="100000"/>
                    </w14:srgbClr>
                  </w14:solidFill>
                </w14:textFill>
              </w:rPr>
              <w:t>|</w:t>
            </w:r>
            <w:r w:rsidR="00AA1B7E" w:rsidRPr="00AA1B7E">
              <w:rPr>
                <w:rFonts w:ascii="Arial Narrow" w:hAnsi="Arial Narrow"/>
                <w:iCs/>
                <w:sz w:val="20"/>
                <w:szCs w:val="20"/>
                <w:vertAlign w:val="superscript"/>
              </w:rPr>
              <w:t>3</w:t>
            </w:r>
          </w:p>
        </w:tc>
        <w:tc>
          <w:tcPr>
            <w:tcW w:w="821" w:type="dxa"/>
            <w:tcBorders>
              <w:top w:val="nil"/>
              <w:left w:val="single" w:sz="4" w:space="0" w:color="auto"/>
              <w:bottom w:val="nil"/>
              <w:right w:val="single" w:sz="4" w:space="0" w:color="auto"/>
            </w:tcBorders>
            <w:vAlign w:val="bottom"/>
            <w:hideMark/>
          </w:tcPr>
          <w:p w14:paraId="7443032B" w14:textId="321E6661"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2"/>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2"/>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1703E764" w14:textId="77777777" w:rsidTr="00BD6E95">
        <w:tc>
          <w:tcPr>
            <w:tcW w:w="5406" w:type="dxa"/>
            <w:tcBorders>
              <w:top w:val="nil"/>
              <w:left w:val="single" w:sz="4" w:space="0" w:color="auto"/>
              <w:bottom w:val="nil"/>
              <w:right w:val="single" w:sz="4" w:space="0" w:color="auto"/>
            </w:tcBorders>
            <w:vAlign w:val="bottom"/>
            <w:hideMark/>
          </w:tcPr>
          <w:p w14:paraId="5344137C" w14:textId="77777777" w:rsidR="00602EEB" w:rsidRPr="00935CE1" w:rsidRDefault="00602EEB">
            <w:pPr>
              <w:rPr>
                <w:rFonts w:ascii="Arial Narrow" w:hAnsi="Arial Narrow"/>
                <w:iCs/>
                <w:sz w:val="20"/>
                <w:szCs w:val="20"/>
              </w:rPr>
            </w:pPr>
            <w:r w:rsidRPr="00935CE1">
              <w:rPr>
                <w:rFonts w:ascii="Arial Narrow" w:hAnsi="Arial Narrow"/>
                <w:iCs/>
                <w:sz w:val="20"/>
                <w:szCs w:val="20"/>
              </w:rPr>
              <w:t>KM until Pocock’s rule 10% (treatment specific) + Weibull extrapolation tail</w:t>
            </w:r>
          </w:p>
        </w:tc>
        <w:tc>
          <w:tcPr>
            <w:tcW w:w="977" w:type="dxa"/>
            <w:tcBorders>
              <w:top w:val="nil"/>
              <w:left w:val="single" w:sz="4" w:space="0" w:color="auto"/>
              <w:bottom w:val="nil"/>
              <w:right w:val="single" w:sz="4" w:space="0" w:color="auto"/>
            </w:tcBorders>
            <w:shd w:val="solid" w:color="000000" w:fill="000000"/>
            <w:vAlign w:val="bottom"/>
            <w:hideMark/>
          </w:tcPr>
          <w:p w14:paraId="75AC5941" w14:textId="132D71F0"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1"/>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1"/>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bottom"/>
            <w:hideMark/>
          </w:tcPr>
          <w:p w14:paraId="6FE91150" w14:textId="77777777" w:rsidR="00602EEB" w:rsidRPr="00935CE1" w:rsidRDefault="00602EEB">
            <w:pPr>
              <w:rPr>
                <w:rFonts w:ascii="Arial Narrow" w:hAnsi="Arial Narrow"/>
                <w:iCs/>
                <w:sz w:val="20"/>
                <w:szCs w:val="20"/>
              </w:rPr>
            </w:pPr>
            <w:r w:rsidRPr="00935CE1">
              <w:rPr>
                <w:rFonts w:ascii="Arial Narrow" w:hAnsi="Arial Narrow"/>
                <w:iCs/>
                <w:sz w:val="20"/>
                <w:szCs w:val="20"/>
              </w:rPr>
              <w:t>1.144</w:t>
            </w:r>
          </w:p>
        </w:tc>
        <w:tc>
          <w:tcPr>
            <w:tcW w:w="836" w:type="dxa"/>
            <w:tcBorders>
              <w:top w:val="nil"/>
              <w:left w:val="single" w:sz="4" w:space="0" w:color="auto"/>
              <w:bottom w:val="nil"/>
              <w:right w:val="single" w:sz="4" w:space="0" w:color="auto"/>
            </w:tcBorders>
            <w:vAlign w:val="bottom"/>
            <w:hideMark/>
          </w:tcPr>
          <w:p w14:paraId="5B4A3042" w14:textId="3EE12689"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0"/>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0"/>
                <w14:textFill>
                  <w14:solidFill>
                    <w14:srgbClr w14:val="000000">
                      <w14:alpha w14:val="100000"/>
                    </w14:srgbClr>
                  </w14:solidFill>
                </w14:textFill>
              </w:rPr>
              <w:t>|</w:t>
            </w:r>
            <w:r w:rsidR="00AA1B7E" w:rsidRPr="00AA1B7E">
              <w:rPr>
                <w:rFonts w:ascii="Arial Narrow" w:hAnsi="Arial Narrow"/>
                <w:iCs/>
                <w:sz w:val="20"/>
                <w:szCs w:val="20"/>
                <w:vertAlign w:val="superscript"/>
              </w:rPr>
              <w:t>3</w:t>
            </w:r>
          </w:p>
        </w:tc>
        <w:tc>
          <w:tcPr>
            <w:tcW w:w="821" w:type="dxa"/>
            <w:tcBorders>
              <w:top w:val="nil"/>
              <w:left w:val="single" w:sz="4" w:space="0" w:color="auto"/>
              <w:bottom w:val="nil"/>
              <w:right w:val="single" w:sz="4" w:space="0" w:color="auto"/>
            </w:tcBorders>
            <w:vAlign w:val="bottom"/>
            <w:hideMark/>
          </w:tcPr>
          <w:p w14:paraId="482A3A1B" w14:textId="457ABB89"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49"/>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9"/>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4119F5AE" w14:textId="77777777" w:rsidTr="00BD6E95">
        <w:tc>
          <w:tcPr>
            <w:tcW w:w="5406" w:type="dxa"/>
            <w:tcBorders>
              <w:top w:val="nil"/>
              <w:left w:val="single" w:sz="4" w:space="0" w:color="auto"/>
              <w:bottom w:val="nil"/>
              <w:right w:val="single" w:sz="4" w:space="0" w:color="auto"/>
            </w:tcBorders>
            <w:vAlign w:val="bottom"/>
            <w:hideMark/>
          </w:tcPr>
          <w:p w14:paraId="0BD0A90B" w14:textId="77777777" w:rsidR="00602EEB" w:rsidRPr="00935CE1" w:rsidRDefault="00602EEB">
            <w:pPr>
              <w:rPr>
                <w:rFonts w:ascii="Arial Narrow" w:hAnsi="Arial Narrow"/>
                <w:iCs/>
                <w:sz w:val="20"/>
                <w:szCs w:val="20"/>
              </w:rPr>
            </w:pPr>
            <w:r w:rsidRPr="00935CE1">
              <w:rPr>
                <w:rFonts w:ascii="Arial Narrow" w:hAnsi="Arial Narrow"/>
                <w:iCs/>
                <w:sz w:val="20"/>
                <w:szCs w:val="20"/>
              </w:rPr>
              <w:t>One utility for PFS (on-treatment = off-treatment = 0.713)</w:t>
            </w:r>
          </w:p>
        </w:tc>
        <w:tc>
          <w:tcPr>
            <w:tcW w:w="977" w:type="dxa"/>
            <w:tcBorders>
              <w:top w:val="nil"/>
              <w:left w:val="single" w:sz="4" w:space="0" w:color="auto"/>
              <w:bottom w:val="nil"/>
              <w:right w:val="single" w:sz="4" w:space="0" w:color="auto"/>
            </w:tcBorders>
            <w:shd w:val="solid" w:color="000000" w:fill="000000"/>
            <w:vAlign w:val="bottom"/>
            <w:hideMark/>
          </w:tcPr>
          <w:p w14:paraId="5EF1C9EF" w14:textId="0B9164CA"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48"/>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48"/>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bottom"/>
            <w:hideMark/>
          </w:tcPr>
          <w:p w14:paraId="7CDCC5D7" w14:textId="77777777" w:rsidR="00602EEB" w:rsidRPr="00935CE1" w:rsidRDefault="00602EEB">
            <w:pPr>
              <w:rPr>
                <w:rFonts w:ascii="Arial Narrow" w:hAnsi="Arial Narrow"/>
                <w:iCs/>
                <w:sz w:val="20"/>
                <w:szCs w:val="20"/>
              </w:rPr>
            </w:pPr>
            <w:r w:rsidRPr="00935CE1">
              <w:rPr>
                <w:rFonts w:ascii="Arial Narrow" w:hAnsi="Arial Narrow"/>
                <w:iCs/>
                <w:sz w:val="20"/>
                <w:szCs w:val="20"/>
              </w:rPr>
              <w:t>1.587</w:t>
            </w:r>
          </w:p>
        </w:tc>
        <w:tc>
          <w:tcPr>
            <w:tcW w:w="836" w:type="dxa"/>
            <w:tcBorders>
              <w:top w:val="nil"/>
              <w:left w:val="single" w:sz="4" w:space="0" w:color="auto"/>
              <w:bottom w:val="nil"/>
              <w:right w:val="single" w:sz="4" w:space="0" w:color="auto"/>
            </w:tcBorders>
            <w:vAlign w:val="bottom"/>
            <w:hideMark/>
          </w:tcPr>
          <w:p w14:paraId="3C9EB826" w14:textId="4AE0ACAD"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47"/>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7"/>
                <w14:textFill>
                  <w14:solidFill>
                    <w14:srgbClr w14:val="000000">
                      <w14:alpha w14:val="100000"/>
                    </w14:srgbClr>
                  </w14:solidFill>
                </w14:textFill>
              </w:rPr>
              <w:t>|</w:t>
            </w:r>
            <w:r w:rsidR="006E503C" w:rsidRPr="006E503C">
              <w:rPr>
                <w:rFonts w:ascii="Arial Narrow" w:hAnsi="Arial Narrow"/>
                <w:b/>
                <w:bCs/>
                <w:iCs/>
                <w:sz w:val="20"/>
                <w:szCs w:val="20"/>
                <w:vertAlign w:val="superscript"/>
              </w:rPr>
              <w:t>1</w:t>
            </w:r>
          </w:p>
        </w:tc>
        <w:tc>
          <w:tcPr>
            <w:tcW w:w="821" w:type="dxa"/>
            <w:tcBorders>
              <w:top w:val="nil"/>
              <w:left w:val="single" w:sz="4" w:space="0" w:color="auto"/>
              <w:bottom w:val="nil"/>
              <w:right w:val="single" w:sz="4" w:space="0" w:color="auto"/>
            </w:tcBorders>
            <w:vAlign w:val="bottom"/>
            <w:hideMark/>
          </w:tcPr>
          <w:p w14:paraId="300B6B23" w14:textId="03088327"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46"/>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6"/>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603ED140" w14:textId="77777777" w:rsidTr="00BD6E95">
        <w:tc>
          <w:tcPr>
            <w:tcW w:w="5406" w:type="dxa"/>
            <w:tcBorders>
              <w:top w:val="nil"/>
              <w:left w:val="single" w:sz="4" w:space="0" w:color="auto"/>
              <w:bottom w:val="nil"/>
              <w:right w:val="single" w:sz="4" w:space="0" w:color="auto"/>
            </w:tcBorders>
            <w:vAlign w:val="bottom"/>
            <w:hideMark/>
          </w:tcPr>
          <w:p w14:paraId="1BF2F77E" w14:textId="77777777" w:rsidR="00602EEB" w:rsidRPr="00935CE1" w:rsidRDefault="00602EEB">
            <w:pPr>
              <w:rPr>
                <w:rFonts w:ascii="Arial Narrow" w:hAnsi="Arial Narrow"/>
                <w:iCs/>
                <w:sz w:val="20"/>
                <w:szCs w:val="20"/>
              </w:rPr>
            </w:pPr>
            <w:r w:rsidRPr="00935CE1">
              <w:rPr>
                <w:rFonts w:ascii="Arial Narrow" w:hAnsi="Arial Narrow"/>
                <w:iCs/>
                <w:sz w:val="20"/>
                <w:szCs w:val="20"/>
              </w:rPr>
              <w:t>One utility for PFS (on-treatment = off-treatment = 0.716)</w:t>
            </w:r>
          </w:p>
        </w:tc>
        <w:tc>
          <w:tcPr>
            <w:tcW w:w="977" w:type="dxa"/>
            <w:tcBorders>
              <w:top w:val="nil"/>
              <w:left w:val="single" w:sz="4" w:space="0" w:color="auto"/>
              <w:bottom w:val="nil"/>
              <w:right w:val="single" w:sz="4" w:space="0" w:color="auto"/>
            </w:tcBorders>
            <w:shd w:val="solid" w:color="000000" w:fill="000000"/>
            <w:hideMark/>
          </w:tcPr>
          <w:p w14:paraId="530D6A19" w14:textId="49F96123"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45"/>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45"/>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hideMark/>
          </w:tcPr>
          <w:p w14:paraId="44AC2C4E" w14:textId="77777777" w:rsidR="00602EEB" w:rsidRPr="00935CE1" w:rsidRDefault="00602EEB">
            <w:pPr>
              <w:rPr>
                <w:rFonts w:ascii="Arial Narrow" w:hAnsi="Arial Narrow"/>
                <w:iCs/>
                <w:sz w:val="20"/>
                <w:szCs w:val="20"/>
              </w:rPr>
            </w:pPr>
            <w:r w:rsidRPr="00935CE1">
              <w:rPr>
                <w:rFonts w:ascii="Arial Narrow" w:hAnsi="Arial Narrow"/>
                <w:iCs/>
                <w:sz w:val="20"/>
                <w:szCs w:val="20"/>
              </w:rPr>
              <w:t>1.594</w:t>
            </w:r>
          </w:p>
        </w:tc>
        <w:tc>
          <w:tcPr>
            <w:tcW w:w="836" w:type="dxa"/>
            <w:tcBorders>
              <w:top w:val="nil"/>
              <w:left w:val="single" w:sz="4" w:space="0" w:color="auto"/>
              <w:bottom w:val="nil"/>
              <w:right w:val="single" w:sz="4" w:space="0" w:color="auto"/>
            </w:tcBorders>
            <w:hideMark/>
          </w:tcPr>
          <w:p w14:paraId="1C2C8368" w14:textId="259AFE2E"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44"/>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4"/>
                <w14:textFill>
                  <w14:solidFill>
                    <w14:srgbClr w14:val="000000">
                      <w14:alpha w14:val="100000"/>
                    </w14:srgbClr>
                  </w14:solidFill>
                </w14:textFill>
              </w:rPr>
              <w:t>|</w:t>
            </w:r>
            <w:r w:rsidR="006E503C" w:rsidRPr="006E503C">
              <w:rPr>
                <w:rFonts w:ascii="Arial Narrow" w:hAnsi="Arial Narrow"/>
                <w:b/>
                <w:bCs/>
                <w:iCs/>
                <w:sz w:val="20"/>
                <w:szCs w:val="20"/>
                <w:vertAlign w:val="superscript"/>
              </w:rPr>
              <w:t>1</w:t>
            </w:r>
          </w:p>
        </w:tc>
        <w:tc>
          <w:tcPr>
            <w:tcW w:w="821" w:type="dxa"/>
            <w:tcBorders>
              <w:top w:val="nil"/>
              <w:left w:val="single" w:sz="4" w:space="0" w:color="auto"/>
              <w:bottom w:val="nil"/>
              <w:right w:val="single" w:sz="4" w:space="0" w:color="auto"/>
            </w:tcBorders>
            <w:hideMark/>
          </w:tcPr>
          <w:p w14:paraId="72B9E2CD" w14:textId="33FAF7D5"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60"/>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60"/>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4A78E835" w14:textId="77777777" w:rsidTr="00BD6E95">
        <w:tc>
          <w:tcPr>
            <w:tcW w:w="5406" w:type="dxa"/>
            <w:tcBorders>
              <w:top w:val="nil"/>
              <w:left w:val="single" w:sz="4" w:space="0" w:color="auto"/>
              <w:bottom w:val="nil"/>
              <w:right w:val="single" w:sz="4" w:space="0" w:color="auto"/>
            </w:tcBorders>
            <w:vAlign w:val="bottom"/>
            <w:hideMark/>
          </w:tcPr>
          <w:p w14:paraId="64EE6AFA" w14:textId="77777777" w:rsidR="00602EEB" w:rsidRPr="00935CE1" w:rsidRDefault="00602EEB">
            <w:pPr>
              <w:rPr>
                <w:rFonts w:ascii="Arial Narrow" w:hAnsi="Arial Narrow"/>
                <w:iCs/>
                <w:sz w:val="20"/>
                <w:szCs w:val="20"/>
              </w:rPr>
            </w:pPr>
            <w:bookmarkStart w:id="90" w:name="RANGE!A13"/>
            <w:r w:rsidRPr="00935CE1">
              <w:rPr>
                <w:rFonts w:ascii="Arial Narrow" w:hAnsi="Arial Narrow"/>
                <w:iCs/>
                <w:sz w:val="20"/>
                <w:szCs w:val="20"/>
              </w:rPr>
              <w:t>Excluding CAR-T &amp; redistributing patients to other subsequent treatment</w:t>
            </w:r>
            <w:bookmarkEnd w:id="90"/>
            <w:r w:rsidRPr="00935CE1">
              <w:rPr>
                <w:rFonts w:ascii="Arial Narrow" w:hAnsi="Arial Narrow"/>
                <w:iCs/>
                <w:sz w:val="20"/>
                <w:szCs w:val="20"/>
              </w:rPr>
              <w:t>s</w:t>
            </w:r>
          </w:p>
        </w:tc>
        <w:tc>
          <w:tcPr>
            <w:tcW w:w="977" w:type="dxa"/>
            <w:tcBorders>
              <w:top w:val="nil"/>
              <w:left w:val="single" w:sz="4" w:space="0" w:color="auto"/>
              <w:bottom w:val="nil"/>
              <w:right w:val="single" w:sz="4" w:space="0" w:color="auto"/>
            </w:tcBorders>
            <w:shd w:val="solid" w:color="000000" w:fill="000000"/>
            <w:vAlign w:val="bottom"/>
            <w:hideMark/>
          </w:tcPr>
          <w:p w14:paraId="298AD3C9" w14:textId="41D31BB9"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9"/>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9"/>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vAlign w:val="bottom"/>
            <w:hideMark/>
          </w:tcPr>
          <w:p w14:paraId="4DEB8D20" w14:textId="77777777" w:rsidR="00602EEB" w:rsidRPr="00935CE1" w:rsidRDefault="00602EEB">
            <w:pPr>
              <w:rPr>
                <w:rFonts w:ascii="Arial Narrow" w:hAnsi="Arial Narrow"/>
                <w:iCs/>
                <w:sz w:val="20"/>
                <w:szCs w:val="20"/>
              </w:rPr>
            </w:pPr>
            <w:r w:rsidRPr="00935CE1">
              <w:rPr>
                <w:rFonts w:ascii="Arial Narrow" w:hAnsi="Arial Narrow"/>
                <w:iCs/>
                <w:sz w:val="20"/>
                <w:szCs w:val="20"/>
              </w:rPr>
              <w:t>1.588</w:t>
            </w:r>
          </w:p>
        </w:tc>
        <w:tc>
          <w:tcPr>
            <w:tcW w:w="836" w:type="dxa"/>
            <w:tcBorders>
              <w:top w:val="nil"/>
              <w:left w:val="single" w:sz="4" w:space="0" w:color="auto"/>
              <w:bottom w:val="nil"/>
              <w:right w:val="single" w:sz="4" w:space="0" w:color="auto"/>
            </w:tcBorders>
            <w:vAlign w:val="bottom"/>
            <w:hideMark/>
          </w:tcPr>
          <w:p w14:paraId="6091ECEC" w14:textId="398E6AC9"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8"/>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8"/>
                <w14:textFill>
                  <w14:solidFill>
                    <w14:srgbClr w14:val="000000">
                      <w14:alpha w14:val="100000"/>
                    </w14:srgbClr>
                  </w14:solidFill>
                </w14:textFill>
              </w:rPr>
              <w:t>|</w:t>
            </w:r>
            <w:r w:rsidR="00AA1B7E" w:rsidRPr="00AA1B7E">
              <w:rPr>
                <w:rFonts w:ascii="Arial Narrow" w:hAnsi="Arial Narrow"/>
                <w:iCs/>
                <w:sz w:val="20"/>
                <w:szCs w:val="20"/>
                <w:vertAlign w:val="superscript"/>
              </w:rPr>
              <w:t>3</w:t>
            </w:r>
          </w:p>
        </w:tc>
        <w:tc>
          <w:tcPr>
            <w:tcW w:w="821" w:type="dxa"/>
            <w:tcBorders>
              <w:top w:val="nil"/>
              <w:left w:val="single" w:sz="4" w:space="0" w:color="auto"/>
              <w:bottom w:val="nil"/>
              <w:right w:val="single" w:sz="4" w:space="0" w:color="auto"/>
            </w:tcBorders>
            <w:vAlign w:val="bottom"/>
            <w:hideMark/>
          </w:tcPr>
          <w:p w14:paraId="593B13F1" w14:textId="291BC8B9"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7"/>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7"/>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5BE4543E" w14:textId="77777777" w:rsidTr="00BD6E95">
        <w:tc>
          <w:tcPr>
            <w:tcW w:w="5406" w:type="dxa"/>
            <w:tcBorders>
              <w:top w:val="nil"/>
              <w:left w:val="single" w:sz="4" w:space="0" w:color="auto"/>
              <w:bottom w:val="single" w:sz="4" w:space="0" w:color="auto"/>
              <w:right w:val="single" w:sz="4" w:space="0" w:color="auto"/>
            </w:tcBorders>
            <w:vAlign w:val="bottom"/>
            <w:hideMark/>
          </w:tcPr>
          <w:p w14:paraId="1B710310" w14:textId="77777777" w:rsidR="00602EEB" w:rsidRPr="00935CE1" w:rsidRDefault="00602EEB">
            <w:pPr>
              <w:rPr>
                <w:rFonts w:ascii="Arial Narrow" w:hAnsi="Arial Narrow"/>
                <w:iCs/>
                <w:sz w:val="20"/>
                <w:szCs w:val="20"/>
              </w:rPr>
            </w:pPr>
            <w:bookmarkStart w:id="91" w:name="RANGE!A14"/>
            <w:r w:rsidRPr="00935CE1">
              <w:rPr>
                <w:rFonts w:ascii="Arial Narrow" w:hAnsi="Arial Narrow"/>
                <w:iCs/>
                <w:sz w:val="20"/>
                <w:szCs w:val="20"/>
              </w:rPr>
              <w:t>Reducing CAR-T cost to $300,000</w:t>
            </w:r>
            <w:bookmarkEnd w:id="91"/>
          </w:p>
        </w:tc>
        <w:tc>
          <w:tcPr>
            <w:tcW w:w="977" w:type="dxa"/>
            <w:tcBorders>
              <w:top w:val="nil"/>
              <w:left w:val="single" w:sz="4" w:space="0" w:color="auto"/>
              <w:bottom w:val="single" w:sz="4" w:space="0" w:color="auto"/>
              <w:right w:val="single" w:sz="4" w:space="0" w:color="auto"/>
            </w:tcBorders>
            <w:shd w:val="solid" w:color="000000" w:fill="000000"/>
            <w:vAlign w:val="bottom"/>
            <w:hideMark/>
          </w:tcPr>
          <w:p w14:paraId="598F2D11" w14:textId="755EA1B2"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6"/>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6"/>
                <w14:textFill>
                  <w14:solidFill>
                    <w14:srgbClr w14:val="000000">
                      <w14:alpha w14:val="100000"/>
                    </w14:srgbClr>
                  </w14:solidFill>
                </w14:textFill>
              </w:rPr>
              <w:t>|</w:t>
            </w:r>
          </w:p>
        </w:tc>
        <w:tc>
          <w:tcPr>
            <w:tcW w:w="977" w:type="dxa"/>
            <w:tcBorders>
              <w:top w:val="nil"/>
              <w:left w:val="single" w:sz="4" w:space="0" w:color="auto"/>
              <w:bottom w:val="single" w:sz="4" w:space="0" w:color="auto"/>
              <w:right w:val="single" w:sz="4" w:space="0" w:color="auto"/>
            </w:tcBorders>
            <w:vAlign w:val="bottom"/>
            <w:hideMark/>
          </w:tcPr>
          <w:p w14:paraId="64C0BE1D" w14:textId="77777777" w:rsidR="00602EEB" w:rsidRPr="00935CE1" w:rsidRDefault="00602EEB">
            <w:pPr>
              <w:rPr>
                <w:rFonts w:ascii="Arial Narrow" w:hAnsi="Arial Narrow"/>
                <w:iCs/>
                <w:sz w:val="20"/>
                <w:szCs w:val="20"/>
              </w:rPr>
            </w:pPr>
            <w:r w:rsidRPr="00935CE1">
              <w:rPr>
                <w:rFonts w:ascii="Arial Narrow" w:hAnsi="Arial Narrow"/>
                <w:iCs/>
                <w:sz w:val="20"/>
                <w:szCs w:val="20"/>
              </w:rPr>
              <w:t>1.588</w:t>
            </w:r>
          </w:p>
        </w:tc>
        <w:tc>
          <w:tcPr>
            <w:tcW w:w="836" w:type="dxa"/>
            <w:tcBorders>
              <w:top w:val="nil"/>
              <w:left w:val="single" w:sz="4" w:space="0" w:color="auto"/>
              <w:bottom w:val="single" w:sz="4" w:space="0" w:color="auto"/>
              <w:right w:val="single" w:sz="4" w:space="0" w:color="auto"/>
            </w:tcBorders>
            <w:vAlign w:val="bottom"/>
            <w:hideMark/>
          </w:tcPr>
          <w:p w14:paraId="514A4FAD" w14:textId="0A5E1C5B"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5"/>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5"/>
                <w14:textFill>
                  <w14:solidFill>
                    <w14:srgbClr w14:val="000000">
                      <w14:alpha w14:val="100000"/>
                    </w14:srgbClr>
                  </w14:solidFill>
                </w14:textFill>
              </w:rPr>
              <w:t>|</w:t>
            </w:r>
            <w:r w:rsidR="00744133" w:rsidRPr="003A4705">
              <w:rPr>
                <w:rFonts w:ascii="Arial Narrow" w:hAnsi="Arial Narrow"/>
                <w:iCs/>
                <w:sz w:val="20"/>
                <w:szCs w:val="20"/>
                <w:vertAlign w:val="superscript"/>
              </w:rPr>
              <w:t>2</w:t>
            </w:r>
          </w:p>
        </w:tc>
        <w:tc>
          <w:tcPr>
            <w:tcW w:w="821" w:type="dxa"/>
            <w:tcBorders>
              <w:top w:val="nil"/>
              <w:left w:val="single" w:sz="4" w:space="0" w:color="auto"/>
              <w:bottom w:val="single" w:sz="4" w:space="0" w:color="auto"/>
              <w:right w:val="single" w:sz="4" w:space="0" w:color="auto"/>
            </w:tcBorders>
            <w:vAlign w:val="bottom"/>
            <w:hideMark/>
          </w:tcPr>
          <w:p w14:paraId="2ADF8454" w14:textId="689D035A"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4"/>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4"/>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240098D5" w14:textId="77777777" w:rsidTr="00B43DE6">
        <w:tc>
          <w:tcPr>
            <w:tcW w:w="9017" w:type="dxa"/>
            <w:gridSpan w:val="5"/>
            <w:tcBorders>
              <w:top w:val="single" w:sz="4" w:space="0" w:color="auto"/>
              <w:left w:val="single" w:sz="4" w:space="0" w:color="auto"/>
              <w:bottom w:val="nil"/>
              <w:right w:val="single" w:sz="4" w:space="0" w:color="auto"/>
            </w:tcBorders>
            <w:hideMark/>
          </w:tcPr>
          <w:p w14:paraId="6180C489" w14:textId="77777777" w:rsidR="00602EEB" w:rsidRPr="00935CE1" w:rsidRDefault="00602EEB">
            <w:pPr>
              <w:rPr>
                <w:rFonts w:ascii="Arial Narrow" w:hAnsi="Arial Narrow"/>
                <w:iCs/>
                <w:sz w:val="20"/>
                <w:szCs w:val="20"/>
              </w:rPr>
            </w:pPr>
            <w:r w:rsidRPr="00935CE1">
              <w:rPr>
                <w:rFonts w:ascii="Arial Narrow" w:hAnsi="Arial Narrow"/>
                <w:b/>
                <w:bCs/>
                <w:iCs/>
                <w:sz w:val="20"/>
                <w:szCs w:val="20"/>
              </w:rPr>
              <w:t>Multivariate sensitivity analysis (MVSA)</w:t>
            </w:r>
          </w:p>
        </w:tc>
      </w:tr>
      <w:tr w:rsidR="00602EEB" w:rsidRPr="00935CE1" w14:paraId="54D28186" w14:textId="77777777" w:rsidTr="00B43DE6">
        <w:tc>
          <w:tcPr>
            <w:tcW w:w="9017" w:type="dxa"/>
            <w:gridSpan w:val="5"/>
            <w:tcBorders>
              <w:top w:val="single" w:sz="4" w:space="0" w:color="auto"/>
              <w:left w:val="single" w:sz="4" w:space="0" w:color="auto"/>
              <w:bottom w:val="nil"/>
              <w:right w:val="single" w:sz="4" w:space="0" w:color="auto"/>
            </w:tcBorders>
            <w:hideMark/>
          </w:tcPr>
          <w:p w14:paraId="40534031" w14:textId="409C9737" w:rsidR="00602EEB" w:rsidRPr="00935CE1" w:rsidRDefault="00602EEB">
            <w:pPr>
              <w:rPr>
                <w:rFonts w:ascii="Arial Narrow" w:hAnsi="Arial Narrow"/>
                <w:iCs/>
                <w:sz w:val="20"/>
                <w:szCs w:val="20"/>
              </w:rPr>
            </w:pPr>
            <w:r w:rsidRPr="00935CE1">
              <w:rPr>
                <w:rFonts w:ascii="Arial Narrow" w:hAnsi="Arial Narrow"/>
                <w:b/>
                <w:bCs/>
                <w:iCs/>
                <w:sz w:val="20"/>
                <w:szCs w:val="20"/>
              </w:rPr>
              <w:t>MVSA 1: ESC-requested MVSA</w:t>
            </w:r>
          </w:p>
        </w:tc>
      </w:tr>
      <w:tr w:rsidR="003B453D" w:rsidRPr="00935CE1" w14:paraId="10A8F4C8" w14:textId="77777777" w:rsidTr="00BD6E95">
        <w:tc>
          <w:tcPr>
            <w:tcW w:w="5406" w:type="dxa"/>
            <w:tcBorders>
              <w:top w:val="nil"/>
              <w:left w:val="single" w:sz="4" w:space="0" w:color="auto"/>
              <w:bottom w:val="nil"/>
              <w:right w:val="single" w:sz="4" w:space="0" w:color="auto"/>
            </w:tcBorders>
            <w:hideMark/>
          </w:tcPr>
          <w:p w14:paraId="2ABFD6D6" w14:textId="77777777" w:rsidR="00602EEB" w:rsidRPr="00935CE1" w:rsidRDefault="00602EEB" w:rsidP="00F9600A">
            <w:pPr>
              <w:jc w:val="left"/>
              <w:rPr>
                <w:rFonts w:ascii="Arial Narrow" w:hAnsi="Arial Narrow"/>
                <w:b/>
                <w:bCs/>
                <w:iCs/>
                <w:sz w:val="20"/>
                <w:szCs w:val="20"/>
              </w:rPr>
            </w:pPr>
            <w:r w:rsidRPr="00935CE1">
              <w:rPr>
                <w:rFonts w:ascii="Arial Narrow" w:hAnsi="Arial Narrow"/>
                <w:iCs/>
                <w:sz w:val="20"/>
                <w:szCs w:val="20"/>
              </w:rPr>
              <w:t>i) 10% rule criteria (treatment-specific), as truncation points for PFS and OS</w:t>
            </w:r>
          </w:p>
        </w:tc>
        <w:tc>
          <w:tcPr>
            <w:tcW w:w="977" w:type="dxa"/>
            <w:tcBorders>
              <w:top w:val="nil"/>
              <w:left w:val="single" w:sz="4" w:space="0" w:color="auto"/>
              <w:bottom w:val="nil"/>
              <w:right w:val="single" w:sz="4" w:space="0" w:color="auto"/>
            </w:tcBorders>
            <w:shd w:val="solid" w:color="000000" w:fill="000000"/>
            <w:hideMark/>
          </w:tcPr>
          <w:p w14:paraId="1CA18B76" w14:textId="610EC6C9"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3"/>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3"/>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hideMark/>
          </w:tcPr>
          <w:p w14:paraId="7C6FFEC9" w14:textId="77777777" w:rsidR="00602EEB" w:rsidRPr="00935CE1" w:rsidRDefault="00602EEB">
            <w:pPr>
              <w:rPr>
                <w:rFonts w:ascii="Arial Narrow" w:hAnsi="Arial Narrow"/>
                <w:iCs/>
                <w:sz w:val="20"/>
                <w:szCs w:val="20"/>
              </w:rPr>
            </w:pPr>
            <w:r w:rsidRPr="00935CE1">
              <w:rPr>
                <w:rFonts w:ascii="Arial Narrow" w:hAnsi="Arial Narrow"/>
                <w:iCs/>
                <w:sz w:val="20"/>
                <w:szCs w:val="20"/>
              </w:rPr>
              <w:t>1.569</w:t>
            </w:r>
          </w:p>
        </w:tc>
        <w:tc>
          <w:tcPr>
            <w:tcW w:w="836" w:type="dxa"/>
            <w:tcBorders>
              <w:top w:val="nil"/>
              <w:left w:val="single" w:sz="4" w:space="0" w:color="auto"/>
              <w:bottom w:val="nil"/>
              <w:right w:val="single" w:sz="4" w:space="0" w:color="auto"/>
            </w:tcBorders>
            <w:hideMark/>
          </w:tcPr>
          <w:p w14:paraId="6F8E6BD0" w14:textId="0882DB7C"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2"/>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2"/>
                <w14:textFill>
                  <w14:solidFill>
                    <w14:srgbClr w14:val="000000">
                      <w14:alpha w14:val="100000"/>
                    </w14:srgbClr>
                  </w14:solidFill>
                </w14:textFill>
              </w:rPr>
              <w:t>|</w:t>
            </w:r>
            <w:r w:rsidR="00744133" w:rsidRPr="003A4705">
              <w:rPr>
                <w:rFonts w:ascii="Arial Narrow" w:hAnsi="Arial Narrow"/>
                <w:iCs/>
                <w:sz w:val="20"/>
                <w:szCs w:val="20"/>
                <w:vertAlign w:val="superscript"/>
              </w:rPr>
              <w:t>2</w:t>
            </w:r>
          </w:p>
        </w:tc>
        <w:tc>
          <w:tcPr>
            <w:tcW w:w="821" w:type="dxa"/>
            <w:tcBorders>
              <w:top w:val="nil"/>
              <w:left w:val="single" w:sz="4" w:space="0" w:color="auto"/>
              <w:bottom w:val="nil"/>
              <w:right w:val="single" w:sz="4" w:space="0" w:color="auto"/>
            </w:tcBorders>
            <w:hideMark/>
          </w:tcPr>
          <w:p w14:paraId="45CB0213" w14:textId="70D874B2"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1"/>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1"/>
                <w14:textFill>
                  <w14:solidFill>
                    <w14:srgbClr w14:val="000000">
                      <w14:alpha w14:val="100000"/>
                    </w14:srgbClr>
                  </w14:solidFill>
                </w14:textFill>
              </w:rPr>
              <w:t>|</w:t>
            </w:r>
            <w:r w:rsidR="00602EEB" w:rsidRPr="00935CE1">
              <w:rPr>
                <w:rFonts w:ascii="Arial Narrow" w:hAnsi="Arial Narrow"/>
                <w:iCs/>
                <w:sz w:val="20"/>
                <w:szCs w:val="20"/>
              </w:rPr>
              <w:t>%</w:t>
            </w:r>
          </w:p>
        </w:tc>
      </w:tr>
      <w:tr w:rsidR="003B453D" w:rsidRPr="00935CE1" w14:paraId="3A104A65" w14:textId="77777777" w:rsidTr="00BD6E95">
        <w:tc>
          <w:tcPr>
            <w:tcW w:w="5406" w:type="dxa"/>
            <w:tcBorders>
              <w:top w:val="nil"/>
              <w:left w:val="single" w:sz="4" w:space="0" w:color="auto"/>
              <w:bottom w:val="nil"/>
              <w:right w:val="single" w:sz="4" w:space="0" w:color="auto"/>
            </w:tcBorders>
            <w:hideMark/>
          </w:tcPr>
          <w:p w14:paraId="6D899951" w14:textId="77777777" w:rsidR="00602EEB" w:rsidRPr="00935CE1" w:rsidRDefault="00602EEB" w:rsidP="00F9600A">
            <w:pPr>
              <w:jc w:val="left"/>
              <w:rPr>
                <w:rFonts w:ascii="Arial Narrow" w:hAnsi="Arial Narrow"/>
                <w:b/>
                <w:bCs/>
                <w:iCs/>
                <w:sz w:val="20"/>
                <w:szCs w:val="20"/>
              </w:rPr>
            </w:pPr>
            <w:r w:rsidRPr="00935CE1">
              <w:rPr>
                <w:rFonts w:ascii="Arial Narrow" w:hAnsi="Arial Narrow"/>
                <w:iCs/>
                <w:sz w:val="20"/>
                <w:szCs w:val="20"/>
              </w:rPr>
              <w:t>ii) i + using the STARGLO-reported mean total time on treatment (treatment cycles) to calculate treatment costs for all components in both arms</w:t>
            </w:r>
          </w:p>
        </w:tc>
        <w:tc>
          <w:tcPr>
            <w:tcW w:w="977" w:type="dxa"/>
            <w:tcBorders>
              <w:top w:val="nil"/>
              <w:left w:val="single" w:sz="4" w:space="0" w:color="auto"/>
              <w:bottom w:val="nil"/>
              <w:right w:val="single" w:sz="4" w:space="0" w:color="auto"/>
            </w:tcBorders>
            <w:shd w:val="solid" w:color="000000" w:fill="000000"/>
            <w:hideMark/>
          </w:tcPr>
          <w:p w14:paraId="52CBA3CC" w14:textId="06392C30"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0"/>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0"/>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hideMark/>
          </w:tcPr>
          <w:p w14:paraId="6957AE2F" w14:textId="77777777" w:rsidR="00602EEB" w:rsidRPr="00935CE1" w:rsidRDefault="00602EEB">
            <w:pPr>
              <w:rPr>
                <w:rFonts w:ascii="Arial Narrow" w:hAnsi="Arial Narrow"/>
                <w:iCs/>
                <w:sz w:val="20"/>
                <w:szCs w:val="20"/>
              </w:rPr>
            </w:pPr>
            <w:r w:rsidRPr="00935CE1">
              <w:rPr>
                <w:rFonts w:ascii="Arial Narrow" w:hAnsi="Arial Narrow"/>
                <w:iCs/>
                <w:sz w:val="20"/>
                <w:szCs w:val="20"/>
              </w:rPr>
              <w:t>1.569</w:t>
            </w:r>
          </w:p>
        </w:tc>
        <w:tc>
          <w:tcPr>
            <w:tcW w:w="836" w:type="dxa"/>
            <w:tcBorders>
              <w:top w:val="nil"/>
              <w:left w:val="single" w:sz="4" w:space="0" w:color="auto"/>
              <w:bottom w:val="nil"/>
              <w:right w:val="single" w:sz="4" w:space="0" w:color="auto"/>
            </w:tcBorders>
            <w:hideMark/>
          </w:tcPr>
          <w:p w14:paraId="63C2428C" w14:textId="78BBCACE"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49"/>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9"/>
                <w14:textFill>
                  <w14:solidFill>
                    <w14:srgbClr w14:val="000000">
                      <w14:alpha w14:val="100000"/>
                    </w14:srgbClr>
                  </w14:solidFill>
                </w14:textFill>
              </w:rPr>
              <w:t>|</w:t>
            </w:r>
            <w:r w:rsidR="00744133" w:rsidRPr="003A4705">
              <w:rPr>
                <w:rFonts w:ascii="Arial Narrow" w:hAnsi="Arial Narrow"/>
                <w:iCs/>
                <w:sz w:val="20"/>
                <w:szCs w:val="20"/>
                <w:vertAlign w:val="superscript"/>
              </w:rPr>
              <w:t>2</w:t>
            </w:r>
          </w:p>
        </w:tc>
        <w:tc>
          <w:tcPr>
            <w:tcW w:w="821" w:type="dxa"/>
            <w:tcBorders>
              <w:top w:val="nil"/>
              <w:left w:val="single" w:sz="4" w:space="0" w:color="auto"/>
              <w:bottom w:val="nil"/>
              <w:right w:val="single" w:sz="4" w:space="0" w:color="auto"/>
            </w:tcBorders>
            <w:hideMark/>
          </w:tcPr>
          <w:p w14:paraId="2E7FF045" w14:textId="5AA16BF4"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48"/>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8"/>
                <w14:textFill>
                  <w14:solidFill>
                    <w14:srgbClr w14:val="000000">
                      <w14:alpha w14:val="100000"/>
                    </w14:srgbClr>
                  </w14:solidFill>
                </w14:textFill>
              </w:rPr>
              <w:t>|</w:t>
            </w:r>
            <w:r w:rsidR="00602EEB" w:rsidRPr="00935CE1">
              <w:rPr>
                <w:rFonts w:ascii="Arial Narrow" w:hAnsi="Arial Narrow"/>
                <w:iCs/>
                <w:sz w:val="20"/>
                <w:szCs w:val="20"/>
              </w:rPr>
              <w:t>%</w:t>
            </w:r>
          </w:p>
        </w:tc>
      </w:tr>
      <w:tr w:rsidR="003B453D" w:rsidRPr="00935CE1" w14:paraId="484D14FF" w14:textId="77777777" w:rsidTr="00BD6E95">
        <w:tc>
          <w:tcPr>
            <w:tcW w:w="5406" w:type="dxa"/>
            <w:tcBorders>
              <w:top w:val="nil"/>
              <w:left w:val="single" w:sz="4" w:space="0" w:color="auto"/>
              <w:bottom w:val="nil"/>
              <w:right w:val="single" w:sz="4" w:space="0" w:color="auto"/>
            </w:tcBorders>
            <w:hideMark/>
          </w:tcPr>
          <w:p w14:paraId="658E4D6F" w14:textId="77777777" w:rsidR="00602EEB" w:rsidRPr="00935CE1" w:rsidRDefault="00602EEB" w:rsidP="00F9600A">
            <w:pPr>
              <w:jc w:val="left"/>
              <w:rPr>
                <w:rFonts w:ascii="Arial Narrow" w:hAnsi="Arial Narrow"/>
                <w:b/>
                <w:bCs/>
                <w:iCs/>
                <w:sz w:val="20"/>
                <w:szCs w:val="20"/>
              </w:rPr>
            </w:pPr>
            <w:r w:rsidRPr="00935CE1">
              <w:rPr>
                <w:rFonts w:ascii="Arial Narrow" w:hAnsi="Arial Narrow"/>
                <w:iCs/>
                <w:sz w:val="20"/>
                <w:szCs w:val="20"/>
              </w:rPr>
              <w:t>iii) ii + Combine PFS health states with a pooled utility value (utility of ‘on-treatment’ = ‘off-treatment’ = 0.713)</w:t>
            </w:r>
          </w:p>
        </w:tc>
        <w:tc>
          <w:tcPr>
            <w:tcW w:w="977" w:type="dxa"/>
            <w:tcBorders>
              <w:top w:val="nil"/>
              <w:left w:val="single" w:sz="4" w:space="0" w:color="auto"/>
              <w:bottom w:val="nil"/>
              <w:right w:val="single" w:sz="4" w:space="0" w:color="auto"/>
            </w:tcBorders>
            <w:shd w:val="solid" w:color="000000" w:fill="000000"/>
            <w:hideMark/>
          </w:tcPr>
          <w:p w14:paraId="1F3D7803" w14:textId="322AACA1"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47"/>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47"/>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hideMark/>
          </w:tcPr>
          <w:p w14:paraId="1431D905" w14:textId="77777777" w:rsidR="00602EEB" w:rsidRPr="00935CE1" w:rsidRDefault="00602EEB">
            <w:pPr>
              <w:rPr>
                <w:rFonts w:ascii="Arial Narrow" w:hAnsi="Arial Narrow"/>
                <w:iCs/>
                <w:sz w:val="20"/>
                <w:szCs w:val="20"/>
              </w:rPr>
            </w:pPr>
            <w:r w:rsidRPr="00935CE1">
              <w:rPr>
                <w:rFonts w:ascii="Arial Narrow" w:hAnsi="Arial Narrow"/>
                <w:iCs/>
                <w:sz w:val="20"/>
                <w:szCs w:val="20"/>
              </w:rPr>
              <w:t>1.569</w:t>
            </w:r>
          </w:p>
        </w:tc>
        <w:tc>
          <w:tcPr>
            <w:tcW w:w="836" w:type="dxa"/>
            <w:tcBorders>
              <w:top w:val="nil"/>
              <w:left w:val="single" w:sz="4" w:space="0" w:color="auto"/>
              <w:bottom w:val="nil"/>
              <w:right w:val="single" w:sz="4" w:space="0" w:color="auto"/>
            </w:tcBorders>
            <w:hideMark/>
          </w:tcPr>
          <w:p w14:paraId="575F44B2" w14:textId="4495CD9A"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46"/>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6"/>
                <w14:textFill>
                  <w14:solidFill>
                    <w14:srgbClr w14:val="000000">
                      <w14:alpha w14:val="100000"/>
                    </w14:srgbClr>
                  </w14:solidFill>
                </w14:textFill>
              </w:rPr>
              <w:t>|</w:t>
            </w:r>
            <w:r w:rsidR="00744133" w:rsidRPr="003A4705">
              <w:rPr>
                <w:rFonts w:ascii="Arial Narrow" w:hAnsi="Arial Narrow"/>
                <w:iCs/>
                <w:sz w:val="20"/>
                <w:szCs w:val="20"/>
                <w:vertAlign w:val="superscript"/>
              </w:rPr>
              <w:t>2</w:t>
            </w:r>
          </w:p>
        </w:tc>
        <w:tc>
          <w:tcPr>
            <w:tcW w:w="821" w:type="dxa"/>
            <w:tcBorders>
              <w:top w:val="nil"/>
              <w:left w:val="single" w:sz="4" w:space="0" w:color="auto"/>
              <w:bottom w:val="nil"/>
              <w:right w:val="single" w:sz="4" w:space="0" w:color="auto"/>
            </w:tcBorders>
            <w:hideMark/>
          </w:tcPr>
          <w:p w14:paraId="7CDB3D1F" w14:textId="6BA98A95"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45"/>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5"/>
                <w14:textFill>
                  <w14:solidFill>
                    <w14:srgbClr w14:val="000000">
                      <w14:alpha w14:val="100000"/>
                    </w14:srgbClr>
                  </w14:solidFill>
                </w14:textFill>
              </w:rPr>
              <w:t>|</w:t>
            </w:r>
            <w:r w:rsidR="00602EEB" w:rsidRPr="00935CE1">
              <w:rPr>
                <w:rFonts w:ascii="Arial Narrow" w:hAnsi="Arial Narrow"/>
                <w:iCs/>
                <w:sz w:val="20"/>
                <w:szCs w:val="20"/>
              </w:rPr>
              <w:t>%</w:t>
            </w:r>
          </w:p>
        </w:tc>
      </w:tr>
      <w:tr w:rsidR="003B453D" w:rsidRPr="00935CE1" w14:paraId="4F1689F8" w14:textId="77777777" w:rsidTr="00BD6E95">
        <w:tc>
          <w:tcPr>
            <w:tcW w:w="5406" w:type="dxa"/>
            <w:tcBorders>
              <w:top w:val="nil"/>
              <w:left w:val="single" w:sz="4" w:space="0" w:color="auto"/>
              <w:bottom w:val="nil"/>
              <w:right w:val="single" w:sz="4" w:space="0" w:color="auto"/>
            </w:tcBorders>
            <w:hideMark/>
          </w:tcPr>
          <w:p w14:paraId="77063367" w14:textId="77777777" w:rsidR="00602EEB" w:rsidRPr="00935CE1" w:rsidRDefault="00602EEB" w:rsidP="00F9600A">
            <w:pPr>
              <w:jc w:val="left"/>
              <w:rPr>
                <w:rFonts w:ascii="Arial Narrow" w:hAnsi="Arial Narrow"/>
                <w:b/>
                <w:bCs/>
                <w:iCs/>
                <w:sz w:val="20"/>
                <w:szCs w:val="20"/>
              </w:rPr>
            </w:pPr>
            <w:r w:rsidRPr="00935CE1">
              <w:rPr>
                <w:rFonts w:ascii="Arial Narrow" w:hAnsi="Arial Narrow"/>
                <w:iCs/>
                <w:sz w:val="20"/>
                <w:szCs w:val="20"/>
              </w:rPr>
              <w:t>iv) iii + 15-year time horizon</w:t>
            </w:r>
          </w:p>
        </w:tc>
        <w:tc>
          <w:tcPr>
            <w:tcW w:w="977" w:type="dxa"/>
            <w:tcBorders>
              <w:top w:val="nil"/>
              <w:left w:val="single" w:sz="4" w:space="0" w:color="auto"/>
              <w:bottom w:val="nil"/>
              <w:right w:val="single" w:sz="4" w:space="0" w:color="auto"/>
            </w:tcBorders>
            <w:shd w:val="solid" w:color="000000" w:fill="000000"/>
            <w:hideMark/>
          </w:tcPr>
          <w:p w14:paraId="43EEFF17" w14:textId="47D8CBB2"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44"/>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44"/>
                <w14:textFill>
                  <w14:solidFill>
                    <w14:srgbClr w14:val="000000">
                      <w14:alpha w14:val="100000"/>
                    </w14:srgbClr>
                  </w14:solidFill>
                </w14:textFill>
              </w:rPr>
              <w:t>|</w:t>
            </w:r>
          </w:p>
        </w:tc>
        <w:tc>
          <w:tcPr>
            <w:tcW w:w="977" w:type="dxa"/>
            <w:tcBorders>
              <w:top w:val="nil"/>
              <w:left w:val="single" w:sz="4" w:space="0" w:color="auto"/>
              <w:bottom w:val="nil"/>
              <w:right w:val="single" w:sz="4" w:space="0" w:color="auto"/>
            </w:tcBorders>
            <w:hideMark/>
          </w:tcPr>
          <w:p w14:paraId="42BCEBE6" w14:textId="77777777" w:rsidR="00602EEB" w:rsidRPr="00935CE1" w:rsidRDefault="00602EEB">
            <w:pPr>
              <w:rPr>
                <w:rFonts w:ascii="Arial Narrow" w:hAnsi="Arial Narrow"/>
                <w:iCs/>
                <w:sz w:val="20"/>
                <w:szCs w:val="20"/>
              </w:rPr>
            </w:pPr>
            <w:r w:rsidRPr="00935CE1">
              <w:rPr>
                <w:rFonts w:ascii="Arial Narrow" w:hAnsi="Arial Narrow"/>
                <w:iCs/>
                <w:sz w:val="20"/>
                <w:szCs w:val="20"/>
              </w:rPr>
              <w:t>1.405</w:t>
            </w:r>
          </w:p>
        </w:tc>
        <w:tc>
          <w:tcPr>
            <w:tcW w:w="836" w:type="dxa"/>
            <w:tcBorders>
              <w:top w:val="nil"/>
              <w:left w:val="single" w:sz="4" w:space="0" w:color="auto"/>
              <w:bottom w:val="nil"/>
              <w:right w:val="single" w:sz="4" w:space="0" w:color="auto"/>
            </w:tcBorders>
            <w:hideMark/>
          </w:tcPr>
          <w:p w14:paraId="64B2A886" w14:textId="2032928F"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60"/>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60"/>
                <w14:textFill>
                  <w14:solidFill>
                    <w14:srgbClr w14:val="000000">
                      <w14:alpha w14:val="100000"/>
                    </w14:srgbClr>
                  </w14:solidFill>
                </w14:textFill>
              </w:rPr>
              <w:t>|</w:t>
            </w:r>
            <w:r w:rsidR="002317BA" w:rsidRPr="00AA1B7E">
              <w:rPr>
                <w:rFonts w:ascii="Arial Narrow" w:hAnsi="Arial Narrow"/>
                <w:iCs/>
                <w:sz w:val="20"/>
                <w:szCs w:val="20"/>
                <w:vertAlign w:val="superscript"/>
              </w:rPr>
              <w:t>3</w:t>
            </w:r>
          </w:p>
        </w:tc>
        <w:tc>
          <w:tcPr>
            <w:tcW w:w="821" w:type="dxa"/>
            <w:tcBorders>
              <w:top w:val="nil"/>
              <w:left w:val="single" w:sz="4" w:space="0" w:color="auto"/>
              <w:bottom w:val="nil"/>
              <w:right w:val="single" w:sz="4" w:space="0" w:color="auto"/>
            </w:tcBorders>
            <w:hideMark/>
          </w:tcPr>
          <w:p w14:paraId="34F811F2" w14:textId="64EDAB3C"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9"/>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9"/>
                <w14:textFill>
                  <w14:solidFill>
                    <w14:srgbClr w14:val="000000">
                      <w14:alpha w14:val="100000"/>
                    </w14:srgbClr>
                  </w14:solidFill>
                </w14:textFill>
              </w:rPr>
              <w:t>|</w:t>
            </w:r>
            <w:r w:rsidR="00602EEB" w:rsidRPr="00935CE1">
              <w:rPr>
                <w:rFonts w:ascii="Arial Narrow" w:hAnsi="Arial Narrow"/>
                <w:iCs/>
                <w:sz w:val="20"/>
                <w:szCs w:val="20"/>
              </w:rPr>
              <w:t>%</w:t>
            </w:r>
          </w:p>
        </w:tc>
      </w:tr>
      <w:tr w:rsidR="003B453D" w:rsidRPr="00935CE1" w14:paraId="4BA8E690" w14:textId="77777777" w:rsidTr="00BD6E95">
        <w:tc>
          <w:tcPr>
            <w:tcW w:w="5406" w:type="dxa"/>
            <w:tcBorders>
              <w:top w:val="nil"/>
              <w:left w:val="single" w:sz="4" w:space="0" w:color="auto"/>
              <w:bottom w:val="single" w:sz="4" w:space="0" w:color="auto"/>
              <w:right w:val="single" w:sz="4" w:space="0" w:color="auto"/>
            </w:tcBorders>
            <w:hideMark/>
          </w:tcPr>
          <w:p w14:paraId="2C6BB049" w14:textId="77777777" w:rsidR="00602EEB" w:rsidRPr="00935CE1" w:rsidRDefault="00602EEB" w:rsidP="00F9600A">
            <w:pPr>
              <w:jc w:val="left"/>
              <w:rPr>
                <w:rFonts w:ascii="Arial Narrow" w:hAnsi="Arial Narrow"/>
                <w:b/>
                <w:bCs/>
                <w:iCs/>
                <w:sz w:val="20"/>
                <w:szCs w:val="20"/>
              </w:rPr>
            </w:pPr>
            <w:r w:rsidRPr="00935CE1">
              <w:rPr>
                <w:rFonts w:ascii="Arial Narrow" w:hAnsi="Arial Narrow"/>
                <w:iCs/>
                <w:sz w:val="20"/>
                <w:szCs w:val="20"/>
              </w:rPr>
              <w:t>v) iv + use of Weibull extrapolation for PFS and OS</w:t>
            </w:r>
          </w:p>
        </w:tc>
        <w:tc>
          <w:tcPr>
            <w:tcW w:w="977" w:type="dxa"/>
            <w:tcBorders>
              <w:top w:val="nil"/>
              <w:left w:val="single" w:sz="4" w:space="0" w:color="auto"/>
              <w:bottom w:val="single" w:sz="4" w:space="0" w:color="auto"/>
              <w:right w:val="single" w:sz="4" w:space="0" w:color="auto"/>
            </w:tcBorders>
            <w:shd w:val="solid" w:color="000000" w:fill="000000"/>
            <w:hideMark/>
          </w:tcPr>
          <w:p w14:paraId="3A569E69" w14:textId="19A67415"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8"/>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8"/>
                <w14:textFill>
                  <w14:solidFill>
                    <w14:srgbClr w14:val="000000">
                      <w14:alpha w14:val="100000"/>
                    </w14:srgbClr>
                  </w14:solidFill>
                </w14:textFill>
              </w:rPr>
              <w:t>|</w:t>
            </w:r>
          </w:p>
        </w:tc>
        <w:tc>
          <w:tcPr>
            <w:tcW w:w="977" w:type="dxa"/>
            <w:tcBorders>
              <w:top w:val="nil"/>
              <w:left w:val="single" w:sz="4" w:space="0" w:color="auto"/>
              <w:bottom w:val="single" w:sz="4" w:space="0" w:color="auto"/>
              <w:right w:val="single" w:sz="4" w:space="0" w:color="auto"/>
            </w:tcBorders>
            <w:hideMark/>
          </w:tcPr>
          <w:p w14:paraId="2807FD56" w14:textId="77777777" w:rsidR="00602EEB" w:rsidRPr="00935CE1" w:rsidRDefault="00602EEB">
            <w:pPr>
              <w:rPr>
                <w:rFonts w:ascii="Arial Narrow" w:hAnsi="Arial Narrow"/>
                <w:iCs/>
                <w:sz w:val="20"/>
                <w:szCs w:val="20"/>
              </w:rPr>
            </w:pPr>
            <w:r w:rsidRPr="00935CE1">
              <w:rPr>
                <w:rFonts w:ascii="Arial Narrow" w:hAnsi="Arial Narrow"/>
                <w:iCs/>
                <w:sz w:val="20"/>
                <w:szCs w:val="20"/>
              </w:rPr>
              <w:t>1.114</w:t>
            </w:r>
          </w:p>
        </w:tc>
        <w:tc>
          <w:tcPr>
            <w:tcW w:w="836" w:type="dxa"/>
            <w:tcBorders>
              <w:top w:val="nil"/>
              <w:left w:val="single" w:sz="4" w:space="0" w:color="auto"/>
              <w:bottom w:val="single" w:sz="4" w:space="0" w:color="auto"/>
              <w:right w:val="single" w:sz="4" w:space="0" w:color="auto"/>
            </w:tcBorders>
            <w:hideMark/>
          </w:tcPr>
          <w:p w14:paraId="558E81E4" w14:textId="40CCF493"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7"/>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7"/>
                <w14:textFill>
                  <w14:solidFill>
                    <w14:srgbClr w14:val="000000">
                      <w14:alpha w14:val="100000"/>
                    </w14:srgbClr>
                  </w14:solidFill>
                </w14:textFill>
              </w:rPr>
              <w:t>|</w:t>
            </w:r>
            <w:r w:rsidR="002317BA" w:rsidRPr="00AA1B7E">
              <w:rPr>
                <w:rFonts w:ascii="Arial Narrow" w:hAnsi="Arial Narrow"/>
                <w:iCs/>
                <w:sz w:val="20"/>
                <w:szCs w:val="20"/>
                <w:vertAlign w:val="superscript"/>
              </w:rPr>
              <w:t>3</w:t>
            </w:r>
          </w:p>
        </w:tc>
        <w:tc>
          <w:tcPr>
            <w:tcW w:w="821" w:type="dxa"/>
            <w:tcBorders>
              <w:top w:val="nil"/>
              <w:left w:val="single" w:sz="4" w:space="0" w:color="auto"/>
              <w:bottom w:val="single" w:sz="4" w:space="0" w:color="auto"/>
              <w:right w:val="single" w:sz="4" w:space="0" w:color="auto"/>
            </w:tcBorders>
            <w:hideMark/>
          </w:tcPr>
          <w:p w14:paraId="5719E3C4" w14:textId="712AB70E"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6"/>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6"/>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69F01F05" w14:textId="77777777" w:rsidTr="00BD6E95">
        <w:tc>
          <w:tcPr>
            <w:tcW w:w="5406" w:type="dxa"/>
            <w:tcBorders>
              <w:top w:val="single" w:sz="4" w:space="0" w:color="auto"/>
              <w:left w:val="single" w:sz="4" w:space="0" w:color="auto"/>
              <w:bottom w:val="single" w:sz="4" w:space="0" w:color="auto"/>
              <w:right w:val="single" w:sz="4" w:space="0" w:color="auto"/>
            </w:tcBorders>
            <w:hideMark/>
          </w:tcPr>
          <w:p w14:paraId="1A0A9014" w14:textId="71FF88E8" w:rsidR="00602EEB" w:rsidRPr="00935CE1" w:rsidRDefault="00602EEB" w:rsidP="00154624">
            <w:pPr>
              <w:jc w:val="left"/>
              <w:rPr>
                <w:rFonts w:ascii="Arial Narrow" w:hAnsi="Arial Narrow"/>
                <w:b/>
                <w:bCs/>
                <w:iCs/>
                <w:color w:val="0070C0"/>
                <w:sz w:val="20"/>
                <w:szCs w:val="20"/>
              </w:rPr>
            </w:pPr>
            <w:r w:rsidRPr="00935CE1">
              <w:rPr>
                <w:rFonts w:ascii="Arial Narrow" w:hAnsi="Arial Narrow"/>
                <w:b/>
                <w:bCs/>
                <w:iCs/>
                <w:sz w:val="20"/>
                <w:szCs w:val="20"/>
              </w:rPr>
              <w:t xml:space="preserve">MVSA 2: </w:t>
            </w:r>
            <w:r w:rsidRPr="00935CE1">
              <w:rPr>
                <w:rFonts w:ascii="Arial Narrow" w:hAnsi="Arial Narrow"/>
                <w:b/>
                <w:bCs/>
                <w:iCs/>
                <w:sz w:val="20"/>
                <w:szCs w:val="20"/>
              </w:rPr>
              <w:br/>
            </w:r>
            <w:r w:rsidRPr="00935CE1">
              <w:rPr>
                <w:rFonts w:ascii="Arial Narrow" w:hAnsi="Arial Narrow"/>
                <w:iCs/>
                <w:sz w:val="20"/>
                <w:szCs w:val="20"/>
              </w:rPr>
              <w:t xml:space="preserve">MVSA 1 + </w:t>
            </w:r>
            <w:r w:rsidRPr="00935CE1">
              <w:rPr>
                <w:rFonts w:ascii="Arial Narrow" w:hAnsi="Arial Narrow"/>
                <w:iCs/>
                <w:sz w:val="20"/>
                <w:szCs w:val="20"/>
              </w:rPr>
              <w:br/>
              <w:t>setting CAR-T costs to $300,000</w:t>
            </w:r>
          </w:p>
        </w:tc>
        <w:tc>
          <w:tcPr>
            <w:tcW w:w="977" w:type="dxa"/>
            <w:tcBorders>
              <w:top w:val="single" w:sz="4" w:space="0" w:color="auto"/>
              <w:left w:val="single" w:sz="4" w:space="0" w:color="auto"/>
              <w:bottom w:val="single" w:sz="4" w:space="0" w:color="auto"/>
              <w:right w:val="single" w:sz="4" w:space="0" w:color="auto"/>
            </w:tcBorders>
            <w:shd w:val="solid" w:color="000000" w:fill="000000"/>
            <w:hideMark/>
          </w:tcPr>
          <w:p w14:paraId="2246019F" w14:textId="336924B0"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5"/>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5"/>
                <w14:textFill>
                  <w14:solidFill>
                    <w14:srgbClr w14:val="000000">
                      <w14:alpha w14:val="100000"/>
                    </w14:srgbClr>
                  </w14:solidFill>
                </w14:textFill>
              </w:rPr>
              <w:t>|</w:t>
            </w:r>
          </w:p>
        </w:tc>
        <w:tc>
          <w:tcPr>
            <w:tcW w:w="977" w:type="dxa"/>
            <w:tcBorders>
              <w:top w:val="single" w:sz="4" w:space="0" w:color="auto"/>
              <w:left w:val="single" w:sz="4" w:space="0" w:color="auto"/>
              <w:bottom w:val="single" w:sz="4" w:space="0" w:color="auto"/>
              <w:right w:val="single" w:sz="4" w:space="0" w:color="auto"/>
            </w:tcBorders>
            <w:hideMark/>
          </w:tcPr>
          <w:p w14:paraId="72B8E6A2" w14:textId="77777777" w:rsidR="00602EEB" w:rsidRPr="00935CE1" w:rsidRDefault="00602EEB">
            <w:pPr>
              <w:rPr>
                <w:rFonts w:ascii="Arial Narrow" w:hAnsi="Arial Narrow"/>
                <w:iCs/>
                <w:sz w:val="20"/>
                <w:szCs w:val="20"/>
              </w:rPr>
            </w:pPr>
            <w:r w:rsidRPr="00935CE1">
              <w:rPr>
                <w:rFonts w:ascii="Arial Narrow" w:hAnsi="Arial Narrow"/>
                <w:iCs/>
                <w:sz w:val="20"/>
                <w:szCs w:val="20"/>
              </w:rPr>
              <w:t>1.114</w:t>
            </w:r>
          </w:p>
        </w:tc>
        <w:tc>
          <w:tcPr>
            <w:tcW w:w="836" w:type="dxa"/>
            <w:tcBorders>
              <w:top w:val="single" w:sz="4" w:space="0" w:color="auto"/>
              <w:left w:val="single" w:sz="4" w:space="0" w:color="auto"/>
              <w:bottom w:val="single" w:sz="4" w:space="0" w:color="auto"/>
              <w:right w:val="single" w:sz="4" w:space="0" w:color="auto"/>
            </w:tcBorders>
            <w:hideMark/>
          </w:tcPr>
          <w:p w14:paraId="3A74C5B2" w14:textId="64AA28B5"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4"/>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4"/>
                <w14:textFill>
                  <w14:solidFill>
                    <w14:srgbClr w14:val="000000">
                      <w14:alpha w14:val="100000"/>
                    </w14:srgbClr>
                  </w14:solidFill>
                </w14:textFill>
              </w:rPr>
              <w:t>|</w:t>
            </w:r>
            <w:r w:rsidR="007E47F7" w:rsidRPr="007E47F7">
              <w:rPr>
                <w:rFonts w:ascii="Arial Narrow" w:hAnsi="Arial Narrow"/>
                <w:iCs/>
                <w:sz w:val="20"/>
                <w:szCs w:val="20"/>
                <w:vertAlign w:val="superscript"/>
              </w:rPr>
              <w:t>4</w:t>
            </w:r>
          </w:p>
        </w:tc>
        <w:tc>
          <w:tcPr>
            <w:tcW w:w="821" w:type="dxa"/>
            <w:tcBorders>
              <w:top w:val="single" w:sz="4" w:space="0" w:color="auto"/>
              <w:left w:val="single" w:sz="4" w:space="0" w:color="auto"/>
              <w:bottom w:val="single" w:sz="4" w:space="0" w:color="auto"/>
              <w:right w:val="single" w:sz="4" w:space="0" w:color="auto"/>
            </w:tcBorders>
            <w:hideMark/>
          </w:tcPr>
          <w:p w14:paraId="2CD1066C" w14:textId="175653A5"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3"/>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3"/>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1CE1E786" w14:textId="77777777" w:rsidTr="00BD6E95">
        <w:tc>
          <w:tcPr>
            <w:tcW w:w="5406" w:type="dxa"/>
            <w:tcBorders>
              <w:top w:val="single" w:sz="4" w:space="0" w:color="auto"/>
              <w:left w:val="single" w:sz="4" w:space="0" w:color="auto"/>
              <w:bottom w:val="single" w:sz="4" w:space="0" w:color="auto"/>
              <w:right w:val="single" w:sz="4" w:space="0" w:color="auto"/>
            </w:tcBorders>
            <w:hideMark/>
          </w:tcPr>
          <w:p w14:paraId="3BE2EF17" w14:textId="58EC36F1" w:rsidR="00602EEB" w:rsidRPr="00935CE1" w:rsidRDefault="00602EEB" w:rsidP="00154624">
            <w:pPr>
              <w:jc w:val="left"/>
              <w:rPr>
                <w:rFonts w:ascii="Arial Narrow" w:hAnsi="Arial Narrow"/>
                <w:b/>
                <w:bCs/>
                <w:iCs/>
                <w:sz w:val="20"/>
                <w:szCs w:val="20"/>
              </w:rPr>
            </w:pPr>
            <w:r w:rsidRPr="00935CE1">
              <w:rPr>
                <w:rFonts w:ascii="Arial Narrow" w:hAnsi="Arial Narrow"/>
                <w:b/>
                <w:bCs/>
                <w:iCs/>
                <w:sz w:val="20"/>
                <w:szCs w:val="20"/>
              </w:rPr>
              <w:t xml:space="preserve">MVSA 3: </w:t>
            </w:r>
            <w:r w:rsidRPr="00935CE1">
              <w:rPr>
                <w:rFonts w:ascii="Arial Narrow" w:hAnsi="Arial Narrow"/>
                <w:b/>
                <w:bCs/>
                <w:iCs/>
                <w:sz w:val="20"/>
                <w:szCs w:val="20"/>
              </w:rPr>
              <w:br/>
            </w:r>
            <w:r w:rsidRPr="00935CE1">
              <w:rPr>
                <w:rFonts w:ascii="Arial Narrow" w:hAnsi="Arial Narrow"/>
                <w:iCs/>
                <w:sz w:val="20"/>
                <w:szCs w:val="20"/>
              </w:rPr>
              <w:t xml:space="preserve">MVSA 1 + </w:t>
            </w:r>
            <w:r w:rsidRPr="00935CE1">
              <w:rPr>
                <w:rFonts w:ascii="Arial Narrow" w:hAnsi="Arial Narrow"/>
                <w:iCs/>
                <w:sz w:val="20"/>
                <w:szCs w:val="20"/>
              </w:rPr>
              <w:br/>
              <w:t>exclusion of CAR-T costs</w:t>
            </w:r>
          </w:p>
        </w:tc>
        <w:tc>
          <w:tcPr>
            <w:tcW w:w="977" w:type="dxa"/>
            <w:tcBorders>
              <w:top w:val="single" w:sz="4" w:space="0" w:color="auto"/>
              <w:left w:val="single" w:sz="4" w:space="0" w:color="auto"/>
              <w:bottom w:val="single" w:sz="4" w:space="0" w:color="auto"/>
              <w:right w:val="single" w:sz="4" w:space="0" w:color="auto"/>
            </w:tcBorders>
            <w:shd w:val="solid" w:color="000000" w:fill="000000"/>
            <w:hideMark/>
          </w:tcPr>
          <w:p w14:paraId="0BFB0AE4" w14:textId="2E01980E"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52"/>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52"/>
                <w14:textFill>
                  <w14:solidFill>
                    <w14:srgbClr w14:val="000000">
                      <w14:alpha w14:val="100000"/>
                    </w14:srgbClr>
                  </w14:solidFill>
                </w14:textFill>
              </w:rPr>
              <w:t>|</w:t>
            </w:r>
          </w:p>
        </w:tc>
        <w:tc>
          <w:tcPr>
            <w:tcW w:w="977" w:type="dxa"/>
            <w:tcBorders>
              <w:top w:val="single" w:sz="4" w:space="0" w:color="auto"/>
              <w:left w:val="single" w:sz="4" w:space="0" w:color="auto"/>
              <w:bottom w:val="single" w:sz="4" w:space="0" w:color="auto"/>
              <w:right w:val="single" w:sz="4" w:space="0" w:color="auto"/>
            </w:tcBorders>
            <w:hideMark/>
          </w:tcPr>
          <w:p w14:paraId="38DD95E2" w14:textId="77777777" w:rsidR="00602EEB" w:rsidRPr="00935CE1" w:rsidRDefault="00602EEB">
            <w:pPr>
              <w:rPr>
                <w:rFonts w:ascii="Arial Narrow" w:hAnsi="Arial Narrow"/>
                <w:iCs/>
                <w:sz w:val="20"/>
                <w:szCs w:val="20"/>
              </w:rPr>
            </w:pPr>
            <w:r w:rsidRPr="00935CE1">
              <w:rPr>
                <w:rFonts w:ascii="Arial Narrow" w:hAnsi="Arial Narrow"/>
                <w:iCs/>
                <w:sz w:val="20"/>
                <w:szCs w:val="20"/>
              </w:rPr>
              <w:t>1.114</w:t>
            </w:r>
          </w:p>
        </w:tc>
        <w:tc>
          <w:tcPr>
            <w:tcW w:w="836" w:type="dxa"/>
            <w:tcBorders>
              <w:top w:val="single" w:sz="4" w:space="0" w:color="auto"/>
              <w:left w:val="single" w:sz="4" w:space="0" w:color="auto"/>
              <w:bottom w:val="single" w:sz="4" w:space="0" w:color="auto"/>
              <w:right w:val="single" w:sz="4" w:space="0" w:color="auto"/>
            </w:tcBorders>
            <w:hideMark/>
          </w:tcPr>
          <w:p w14:paraId="27CBDCC4" w14:textId="5ECE647A"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51"/>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1"/>
                <w14:textFill>
                  <w14:solidFill>
                    <w14:srgbClr w14:val="000000">
                      <w14:alpha w14:val="100000"/>
                    </w14:srgbClr>
                  </w14:solidFill>
                </w14:textFill>
              </w:rPr>
              <w:t>|</w:t>
            </w:r>
            <w:r w:rsidR="007E47F7" w:rsidRPr="007E47F7">
              <w:rPr>
                <w:rFonts w:ascii="Arial Narrow" w:hAnsi="Arial Narrow"/>
                <w:iCs/>
                <w:sz w:val="20"/>
                <w:szCs w:val="20"/>
                <w:vertAlign w:val="superscript"/>
              </w:rPr>
              <w:t>4</w:t>
            </w:r>
          </w:p>
        </w:tc>
        <w:tc>
          <w:tcPr>
            <w:tcW w:w="821" w:type="dxa"/>
            <w:tcBorders>
              <w:top w:val="single" w:sz="4" w:space="0" w:color="auto"/>
              <w:left w:val="single" w:sz="4" w:space="0" w:color="auto"/>
              <w:bottom w:val="single" w:sz="4" w:space="0" w:color="auto"/>
              <w:right w:val="single" w:sz="4" w:space="0" w:color="auto"/>
            </w:tcBorders>
            <w:hideMark/>
          </w:tcPr>
          <w:p w14:paraId="52E100A0" w14:textId="3E35155D"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50"/>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50"/>
                <w14:textFill>
                  <w14:solidFill>
                    <w14:srgbClr w14:val="000000">
                      <w14:alpha w14:val="100000"/>
                    </w14:srgbClr>
                  </w14:solidFill>
                </w14:textFill>
              </w:rPr>
              <w:t>|</w:t>
            </w:r>
            <w:r w:rsidR="00602EEB" w:rsidRPr="00935CE1">
              <w:rPr>
                <w:rFonts w:ascii="Arial Narrow" w:hAnsi="Arial Narrow"/>
                <w:iCs/>
                <w:sz w:val="20"/>
                <w:szCs w:val="20"/>
              </w:rPr>
              <w:t>%</w:t>
            </w:r>
          </w:p>
        </w:tc>
      </w:tr>
      <w:tr w:rsidR="00602EEB" w:rsidRPr="00935CE1" w14:paraId="13A520A7" w14:textId="77777777" w:rsidTr="00BD6E95">
        <w:tc>
          <w:tcPr>
            <w:tcW w:w="5406" w:type="dxa"/>
            <w:tcBorders>
              <w:top w:val="single" w:sz="4" w:space="0" w:color="auto"/>
              <w:left w:val="single" w:sz="4" w:space="0" w:color="auto"/>
              <w:bottom w:val="single" w:sz="4" w:space="0" w:color="auto"/>
              <w:right w:val="single" w:sz="4" w:space="0" w:color="auto"/>
            </w:tcBorders>
            <w:hideMark/>
          </w:tcPr>
          <w:p w14:paraId="7A5DF677" w14:textId="05EA92BC" w:rsidR="00602EEB" w:rsidRPr="00935CE1" w:rsidRDefault="00602EEB" w:rsidP="008D1B91">
            <w:pPr>
              <w:jc w:val="left"/>
              <w:rPr>
                <w:rFonts w:ascii="Arial Narrow" w:hAnsi="Arial Narrow"/>
                <w:b/>
                <w:bCs/>
                <w:iCs/>
                <w:color w:val="0070C0"/>
                <w:sz w:val="20"/>
                <w:szCs w:val="20"/>
              </w:rPr>
            </w:pPr>
            <w:r w:rsidRPr="00935CE1">
              <w:rPr>
                <w:rFonts w:ascii="Arial Narrow" w:hAnsi="Arial Narrow"/>
                <w:b/>
                <w:bCs/>
                <w:iCs/>
                <w:sz w:val="20"/>
                <w:szCs w:val="20"/>
              </w:rPr>
              <w:t xml:space="preserve">MVSA 5: </w:t>
            </w:r>
            <w:r w:rsidRPr="00935CE1">
              <w:rPr>
                <w:rFonts w:ascii="Arial Narrow" w:hAnsi="Arial Narrow"/>
                <w:b/>
                <w:bCs/>
                <w:iCs/>
                <w:sz w:val="20"/>
                <w:szCs w:val="20"/>
              </w:rPr>
              <w:br/>
            </w:r>
            <w:r w:rsidRPr="00935CE1">
              <w:rPr>
                <w:rFonts w:ascii="Arial Narrow" w:hAnsi="Arial Narrow"/>
                <w:iCs/>
                <w:sz w:val="20"/>
                <w:szCs w:val="20"/>
              </w:rPr>
              <w:t xml:space="preserve">MVSA 1 + </w:t>
            </w:r>
            <w:r w:rsidRPr="00935CE1">
              <w:rPr>
                <w:rFonts w:ascii="Arial Narrow" w:hAnsi="Arial Narrow"/>
                <w:iCs/>
                <w:sz w:val="20"/>
                <w:szCs w:val="20"/>
              </w:rPr>
              <w:br/>
              <w:t>exclusion of CAR-T costs +</w:t>
            </w:r>
            <w:r w:rsidRPr="00935CE1">
              <w:rPr>
                <w:rFonts w:ascii="Arial Narrow" w:hAnsi="Arial Narrow"/>
                <w:iCs/>
                <w:sz w:val="20"/>
                <w:szCs w:val="20"/>
              </w:rPr>
              <w:br/>
              <w:t>PFS and OS extrapolation functions back to Log-normal</w:t>
            </w:r>
          </w:p>
        </w:tc>
        <w:tc>
          <w:tcPr>
            <w:tcW w:w="977" w:type="dxa"/>
            <w:tcBorders>
              <w:top w:val="single" w:sz="4" w:space="0" w:color="auto"/>
              <w:left w:val="single" w:sz="4" w:space="0" w:color="auto"/>
              <w:bottom w:val="single" w:sz="4" w:space="0" w:color="auto"/>
              <w:right w:val="single" w:sz="4" w:space="0" w:color="auto"/>
            </w:tcBorders>
            <w:shd w:val="solid" w:color="000000" w:fill="000000"/>
            <w:hideMark/>
          </w:tcPr>
          <w:p w14:paraId="01C52DE4" w14:textId="68F168CE" w:rsidR="00602EEB" w:rsidRPr="00797198" w:rsidRDefault="00BD6E95">
            <w:pPr>
              <w:rPr>
                <w:rFonts w:ascii="Arial Narrow" w:hAnsi="Arial Narrow"/>
                <w:iCs/>
                <w:sz w:val="20"/>
                <w:szCs w:val="20"/>
                <w:highlight w:val="darkGray"/>
              </w:rPr>
            </w:pPr>
            <w:r w:rsidRPr="00BD6E95">
              <w:rPr>
                <w:rFonts w:ascii="Arial Narrow" w:hAnsi="Arial Narrow"/>
                <w:iCs/>
                <w:color w:val="000000"/>
                <w:spacing w:val="9"/>
                <w:sz w:val="20"/>
                <w:szCs w:val="20"/>
                <w:fitText w:val="310" w:id="-632053749"/>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49"/>
                <w14:textFill>
                  <w14:solidFill>
                    <w14:srgbClr w14:val="000000">
                      <w14:alpha w14:val="100000"/>
                    </w14:srgbClr>
                  </w14:solidFill>
                </w14:textFill>
              </w:rPr>
              <w:t>|</w:t>
            </w:r>
          </w:p>
        </w:tc>
        <w:tc>
          <w:tcPr>
            <w:tcW w:w="977" w:type="dxa"/>
            <w:tcBorders>
              <w:top w:val="single" w:sz="4" w:space="0" w:color="auto"/>
              <w:left w:val="single" w:sz="4" w:space="0" w:color="auto"/>
              <w:bottom w:val="single" w:sz="4" w:space="0" w:color="auto"/>
              <w:right w:val="single" w:sz="4" w:space="0" w:color="auto"/>
            </w:tcBorders>
            <w:hideMark/>
          </w:tcPr>
          <w:p w14:paraId="047E44A5" w14:textId="77777777" w:rsidR="00602EEB" w:rsidRPr="00935CE1" w:rsidRDefault="00602EEB">
            <w:pPr>
              <w:rPr>
                <w:rFonts w:ascii="Arial Narrow" w:hAnsi="Arial Narrow"/>
                <w:iCs/>
                <w:sz w:val="20"/>
                <w:szCs w:val="20"/>
              </w:rPr>
            </w:pPr>
            <w:r w:rsidRPr="00935CE1">
              <w:rPr>
                <w:rFonts w:ascii="Arial Narrow" w:hAnsi="Arial Narrow"/>
                <w:iCs/>
                <w:sz w:val="20"/>
                <w:szCs w:val="20"/>
              </w:rPr>
              <w:t>1.405</w:t>
            </w:r>
          </w:p>
        </w:tc>
        <w:tc>
          <w:tcPr>
            <w:tcW w:w="836" w:type="dxa"/>
            <w:tcBorders>
              <w:top w:val="single" w:sz="4" w:space="0" w:color="auto"/>
              <w:left w:val="single" w:sz="4" w:space="0" w:color="auto"/>
              <w:bottom w:val="single" w:sz="4" w:space="0" w:color="auto"/>
              <w:right w:val="single" w:sz="4" w:space="0" w:color="auto"/>
            </w:tcBorders>
            <w:hideMark/>
          </w:tcPr>
          <w:p w14:paraId="7B1C25FD" w14:textId="5768A95C" w:rsidR="00602EEB"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48"/>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8"/>
                <w14:textFill>
                  <w14:solidFill>
                    <w14:srgbClr w14:val="000000">
                      <w14:alpha w14:val="100000"/>
                    </w14:srgbClr>
                  </w14:solidFill>
                </w14:textFill>
              </w:rPr>
              <w:t>|</w:t>
            </w:r>
            <w:r w:rsidR="002317BA" w:rsidRPr="00AA1B7E">
              <w:rPr>
                <w:rFonts w:ascii="Arial Narrow" w:hAnsi="Arial Narrow"/>
                <w:iCs/>
                <w:sz w:val="20"/>
                <w:szCs w:val="20"/>
                <w:vertAlign w:val="superscript"/>
              </w:rPr>
              <w:t>3</w:t>
            </w:r>
          </w:p>
        </w:tc>
        <w:tc>
          <w:tcPr>
            <w:tcW w:w="821" w:type="dxa"/>
            <w:tcBorders>
              <w:top w:val="single" w:sz="4" w:space="0" w:color="auto"/>
              <w:left w:val="single" w:sz="4" w:space="0" w:color="auto"/>
              <w:bottom w:val="single" w:sz="4" w:space="0" w:color="auto"/>
              <w:right w:val="single" w:sz="4" w:space="0" w:color="auto"/>
            </w:tcBorders>
            <w:hideMark/>
          </w:tcPr>
          <w:p w14:paraId="01EA46A7" w14:textId="16968C47" w:rsidR="00602EEB" w:rsidRPr="00935CE1" w:rsidRDefault="00BD6E95">
            <w:pPr>
              <w:rPr>
                <w:rFonts w:ascii="Arial Narrow" w:hAnsi="Arial Narrow"/>
                <w:iCs/>
                <w:sz w:val="20"/>
                <w:szCs w:val="20"/>
              </w:rPr>
            </w:pPr>
            <w:r w:rsidRPr="00BD6E95">
              <w:rPr>
                <w:rFonts w:ascii="Arial Narrow" w:hAnsi="Arial Narrow"/>
                <w:iCs/>
                <w:color w:val="000000"/>
                <w:spacing w:val="9"/>
                <w:sz w:val="20"/>
                <w:szCs w:val="20"/>
                <w:shd w:val="solid" w:color="000000" w:fill="000000"/>
                <w:fitText w:val="310" w:id="-632053747"/>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7"/>
                <w14:textFill>
                  <w14:solidFill>
                    <w14:srgbClr w14:val="000000">
                      <w14:alpha w14:val="100000"/>
                    </w14:srgbClr>
                  </w14:solidFill>
                </w14:textFill>
              </w:rPr>
              <w:t>|</w:t>
            </w:r>
            <w:r w:rsidR="00602EEB" w:rsidRPr="00935CE1">
              <w:rPr>
                <w:rFonts w:ascii="Arial Narrow" w:hAnsi="Arial Narrow"/>
                <w:iCs/>
                <w:sz w:val="20"/>
                <w:szCs w:val="20"/>
              </w:rPr>
              <w:t>%</w:t>
            </w:r>
          </w:p>
        </w:tc>
      </w:tr>
      <w:tr w:rsidR="0088366F" w:rsidRPr="00935CE1" w14:paraId="2DD9F938" w14:textId="77777777" w:rsidTr="00BD6E95">
        <w:tc>
          <w:tcPr>
            <w:tcW w:w="5406" w:type="dxa"/>
            <w:tcBorders>
              <w:top w:val="single" w:sz="4" w:space="0" w:color="auto"/>
              <w:left w:val="single" w:sz="4" w:space="0" w:color="auto"/>
              <w:bottom w:val="single" w:sz="4" w:space="0" w:color="auto"/>
              <w:right w:val="single" w:sz="4" w:space="0" w:color="auto"/>
            </w:tcBorders>
          </w:tcPr>
          <w:p w14:paraId="1AD251CB" w14:textId="77777777" w:rsidR="0088366F" w:rsidRDefault="0055571F" w:rsidP="008D1B91">
            <w:pPr>
              <w:jc w:val="left"/>
              <w:rPr>
                <w:rFonts w:ascii="Arial Narrow" w:hAnsi="Arial Narrow"/>
                <w:b/>
                <w:bCs/>
                <w:iCs/>
                <w:sz w:val="20"/>
                <w:szCs w:val="20"/>
              </w:rPr>
            </w:pPr>
            <w:r>
              <w:rPr>
                <w:rFonts w:ascii="Arial Narrow" w:hAnsi="Arial Narrow"/>
                <w:b/>
                <w:bCs/>
                <w:iCs/>
                <w:sz w:val="20"/>
                <w:szCs w:val="20"/>
              </w:rPr>
              <w:t xml:space="preserve">MVSA 6: </w:t>
            </w:r>
          </w:p>
          <w:p w14:paraId="7E403F27" w14:textId="77777777" w:rsidR="00F05FD7" w:rsidRDefault="0055571F" w:rsidP="008D1B91">
            <w:pPr>
              <w:jc w:val="left"/>
              <w:rPr>
                <w:rFonts w:ascii="Arial Narrow" w:hAnsi="Arial Narrow"/>
                <w:iCs/>
                <w:sz w:val="20"/>
                <w:szCs w:val="20"/>
              </w:rPr>
            </w:pPr>
            <w:r w:rsidRPr="0055571F">
              <w:rPr>
                <w:rFonts w:ascii="Arial Narrow" w:hAnsi="Arial Narrow"/>
                <w:iCs/>
                <w:sz w:val="20"/>
                <w:szCs w:val="20"/>
              </w:rPr>
              <w:t xml:space="preserve">MVSA 1 + </w:t>
            </w:r>
          </w:p>
          <w:p w14:paraId="70E2B347" w14:textId="018C4BB0" w:rsidR="0055571F" w:rsidRPr="0055571F" w:rsidRDefault="0055571F" w:rsidP="008D1B91">
            <w:pPr>
              <w:jc w:val="left"/>
              <w:rPr>
                <w:rFonts w:ascii="Arial Narrow" w:hAnsi="Arial Narrow"/>
                <w:iCs/>
                <w:sz w:val="20"/>
                <w:szCs w:val="20"/>
              </w:rPr>
            </w:pPr>
            <w:r w:rsidRPr="0055571F">
              <w:rPr>
                <w:rFonts w:ascii="Arial Narrow" w:hAnsi="Arial Narrow"/>
                <w:iCs/>
                <w:sz w:val="20"/>
                <w:szCs w:val="20"/>
              </w:rPr>
              <w:t xml:space="preserve">20 year time horizon </w:t>
            </w:r>
          </w:p>
        </w:tc>
        <w:tc>
          <w:tcPr>
            <w:tcW w:w="977" w:type="dxa"/>
            <w:tcBorders>
              <w:top w:val="single" w:sz="4" w:space="0" w:color="auto"/>
              <w:left w:val="single" w:sz="4" w:space="0" w:color="auto"/>
              <w:bottom w:val="single" w:sz="4" w:space="0" w:color="auto"/>
              <w:right w:val="single" w:sz="4" w:space="0" w:color="auto"/>
            </w:tcBorders>
            <w:shd w:val="solid" w:color="000000" w:fill="000000"/>
          </w:tcPr>
          <w:p w14:paraId="44049D95" w14:textId="4C44BD07" w:rsidR="0088366F" w:rsidRPr="00935CE1" w:rsidRDefault="00BD6E95">
            <w:pPr>
              <w:rPr>
                <w:rFonts w:ascii="Arial Narrow" w:hAnsi="Arial Narrow"/>
                <w:iCs/>
                <w:sz w:val="20"/>
                <w:szCs w:val="20"/>
              </w:rPr>
            </w:pPr>
            <w:r w:rsidRPr="00BD6E95">
              <w:rPr>
                <w:rFonts w:ascii="Arial Narrow" w:hAnsi="Arial Narrow"/>
                <w:iCs/>
                <w:color w:val="000000"/>
                <w:spacing w:val="9"/>
                <w:sz w:val="20"/>
                <w:szCs w:val="20"/>
                <w:fitText w:val="310" w:id="-632053746"/>
                <w14:textFill>
                  <w14:solidFill>
                    <w14:srgbClr w14:val="000000">
                      <w14:alpha w14:val="100000"/>
                    </w14:srgbClr>
                  </w14:solidFill>
                </w14:textFill>
              </w:rPr>
              <w:t>||  |</w:t>
            </w:r>
            <w:r w:rsidRPr="00BD6E95">
              <w:rPr>
                <w:rFonts w:ascii="Arial Narrow" w:hAnsi="Arial Narrow"/>
                <w:iCs/>
                <w:color w:val="000000"/>
                <w:spacing w:val="4"/>
                <w:sz w:val="20"/>
                <w:szCs w:val="20"/>
                <w:fitText w:val="310" w:id="-632053746"/>
                <w14:textFill>
                  <w14:solidFill>
                    <w14:srgbClr w14:val="000000">
                      <w14:alpha w14:val="100000"/>
                    </w14:srgbClr>
                  </w14:solidFill>
                </w14:textFill>
              </w:rPr>
              <w:t>|</w:t>
            </w:r>
          </w:p>
        </w:tc>
        <w:tc>
          <w:tcPr>
            <w:tcW w:w="977" w:type="dxa"/>
            <w:tcBorders>
              <w:top w:val="single" w:sz="4" w:space="0" w:color="auto"/>
              <w:left w:val="single" w:sz="4" w:space="0" w:color="auto"/>
              <w:bottom w:val="single" w:sz="4" w:space="0" w:color="auto"/>
              <w:right w:val="single" w:sz="4" w:space="0" w:color="auto"/>
            </w:tcBorders>
          </w:tcPr>
          <w:p w14:paraId="001E4176" w14:textId="267D9335" w:rsidR="0088366F" w:rsidRPr="00935CE1" w:rsidRDefault="004204AF">
            <w:pPr>
              <w:rPr>
                <w:rFonts w:ascii="Arial Narrow" w:hAnsi="Arial Narrow"/>
                <w:iCs/>
                <w:sz w:val="20"/>
                <w:szCs w:val="20"/>
              </w:rPr>
            </w:pPr>
            <w:r>
              <w:rPr>
                <w:rFonts w:ascii="Arial Narrow" w:hAnsi="Arial Narrow"/>
                <w:iCs/>
                <w:sz w:val="20"/>
                <w:szCs w:val="20"/>
              </w:rPr>
              <w:t>1.144</w:t>
            </w:r>
          </w:p>
        </w:tc>
        <w:tc>
          <w:tcPr>
            <w:tcW w:w="836" w:type="dxa"/>
            <w:tcBorders>
              <w:top w:val="single" w:sz="4" w:space="0" w:color="auto"/>
              <w:left w:val="single" w:sz="4" w:space="0" w:color="auto"/>
              <w:bottom w:val="single" w:sz="4" w:space="0" w:color="auto"/>
              <w:right w:val="single" w:sz="4" w:space="0" w:color="auto"/>
            </w:tcBorders>
          </w:tcPr>
          <w:p w14:paraId="23C207A9" w14:textId="3199CB3A" w:rsidR="0088366F" w:rsidRPr="00C76BC2" w:rsidRDefault="00BD6E95">
            <w:pPr>
              <w:rPr>
                <w:rFonts w:ascii="Arial Narrow" w:hAnsi="Arial Narrow"/>
                <w:iCs/>
                <w:sz w:val="20"/>
                <w:szCs w:val="20"/>
                <w:highlight w:val="darkGray"/>
              </w:rPr>
            </w:pPr>
            <w:r w:rsidRPr="00BD6E95">
              <w:rPr>
                <w:rFonts w:ascii="Arial Narrow" w:hAnsi="Arial Narrow"/>
                <w:iCs/>
                <w:color w:val="000000"/>
                <w:spacing w:val="9"/>
                <w:sz w:val="20"/>
                <w:szCs w:val="20"/>
                <w:shd w:val="solid" w:color="000000" w:fill="000000"/>
                <w:fitText w:val="310" w:id="-632053745"/>
                <w14:textFill>
                  <w14:solidFill>
                    <w14:srgbClr w14:val="000000">
                      <w14:alpha w14:val="100000"/>
                    </w14:srgbClr>
                  </w14:solidFill>
                </w14:textFill>
              </w:rPr>
              <w:t>||  |</w:t>
            </w:r>
            <w:r w:rsidRPr="00BD6E95">
              <w:rPr>
                <w:rFonts w:ascii="Arial Narrow" w:hAnsi="Arial Narrow"/>
                <w:iCs/>
                <w:color w:val="000000"/>
                <w:spacing w:val="4"/>
                <w:sz w:val="20"/>
                <w:szCs w:val="20"/>
                <w:shd w:val="solid" w:color="000000" w:fill="000000"/>
                <w:fitText w:val="310" w:id="-632053745"/>
                <w14:textFill>
                  <w14:solidFill>
                    <w14:srgbClr w14:val="000000">
                      <w14:alpha w14:val="100000"/>
                    </w14:srgbClr>
                  </w14:solidFill>
                </w14:textFill>
              </w:rPr>
              <w:t>|</w:t>
            </w:r>
            <w:r w:rsidR="002317BA" w:rsidRPr="00AA1B7E">
              <w:rPr>
                <w:rFonts w:ascii="Arial Narrow" w:hAnsi="Arial Narrow"/>
                <w:iCs/>
                <w:sz w:val="20"/>
                <w:szCs w:val="20"/>
                <w:vertAlign w:val="superscript"/>
              </w:rPr>
              <w:t>3</w:t>
            </w:r>
          </w:p>
        </w:tc>
        <w:tc>
          <w:tcPr>
            <w:tcW w:w="821" w:type="dxa"/>
            <w:tcBorders>
              <w:top w:val="single" w:sz="4" w:space="0" w:color="auto"/>
              <w:left w:val="single" w:sz="4" w:space="0" w:color="auto"/>
              <w:bottom w:val="single" w:sz="4" w:space="0" w:color="auto"/>
              <w:right w:val="single" w:sz="4" w:space="0" w:color="auto"/>
            </w:tcBorders>
          </w:tcPr>
          <w:p w14:paraId="65ACB649" w14:textId="3FB8DC64" w:rsidR="0088366F" w:rsidRPr="00935CE1" w:rsidRDefault="00BD6E95">
            <w:pPr>
              <w:rPr>
                <w:rFonts w:ascii="Arial Narrow" w:hAnsi="Arial Narrow"/>
                <w:iCs/>
                <w:sz w:val="20"/>
                <w:szCs w:val="20"/>
              </w:rPr>
            </w:pPr>
            <w:r>
              <w:rPr>
                <w:rFonts w:ascii="Arial Narrow" w:hAnsi="Arial Narrow"/>
                <w:iCs/>
                <w:color w:val="000000"/>
                <w:spacing w:val="9"/>
                <w:sz w:val="20"/>
                <w:szCs w:val="20"/>
                <w:shd w:val="solid" w:color="000000" w:fill="000000"/>
                <w:fitText w:val="310" w:id="-632053744"/>
                <w14:textFill>
                  <w14:solidFill>
                    <w14:srgbClr w14:val="000000">
                      <w14:alpha w14:val="100000"/>
                    </w14:srgbClr>
                  </w14:solidFill>
                </w14:textFill>
              </w:rPr>
              <w:t>||  |</w:t>
            </w:r>
            <w:r>
              <w:rPr>
                <w:rFonts w:ascii="Arial Narrow" w:hAnsi="Arial Narrow"/>
                <w:iCs/>
                <w:color w:val="000000"/>
                <w:spacing w:val="1"/>
                <w:sz w:val="20"/>
                <w:szCs w:val="20"/>
                <w:shd w:val="solid" w:color="000000" w:fill="000000"/>
                <w:fitText w:val="310" w:id="-632053744"/>
                <w14:textFill>
                  <w14:solidFill>
                    <w14:srgbClr w14:val="000000">
                      <w14:alpha w14:val="100000"/>
                    </w14:srgbClr>
                  </w14:solidFill>
                </w14:textFill>
              </w:rPr>
              <w:t>|</w:t>
            </w:r>
            <w:r w:rsidR="002A1C47">
              <w:rPr>
                <w:rFonts w:ascii="Arial Narrow" w:hAnsi="Arial Narrow"/>
                <w:iCs/>
                <w:sz w:val="20"/>
                <w:szCs w:val="20"/>
              </w:rPr>
              <w:t>%</w:t>
            </w:r>
          </w:p>
        </w:tc>
      </w:tr>
    </w:tbl>
    <w:p w14:paraId="6C98DCEE" w14:textId="77777777" w:rsidR="006E503C" w:rsidRPr="001154E6" w:rsidRDefault="006E503C" w:rsidP="006E503C">
      <w:pPr>
        <w:pStyle w:val="TableFigureFooter"/>
        <w:rPr>
          <w:bCs/>
          <w:i/>
          <w:iCs/>
        </w:rPr>
      </w:pPr>
      <w:r w:rsidRPr="001154E6">
        <w:rPr>
          <w:bCs/>
          <w:i/>
          <w:iCs/>
        </w:rPr>
        <w:t>The redacted values correspond to the following ranges:</w:t>
      </w:r>
    </w:p>
    <w:p w14:paraId="3F608A13" w14:textId="788249F4" w:rsidR="006E503C" w:rsidRPr="001154E6" w:rsidRDefault="006E503C" w:rsidP="006E503C">
      <w:pPr>
        <w:pStyle w:val="TableFigureFooter"/>
        <w:rPr>
          <w:bCs/>
          <w:i/>
          <w:iCs/>
        </w:rPr>
      </w:pPr>
      <w:r w:rsidRPr="001154E6">
        <w:rPr>
          <w:bCs/>
          <w:i/>
          <w:iCs/>
          <w:vertAlign w:val="superscript"/>
        </w:rPr>
        <w:t>1</w:t>
      </w:r>
      <w:r w:rsidR="00694DC3" w:rsidRPr="001154E6">
        <w:rPr>
          <w:bCs/>
          <w:i/>
          <w:iCs/>
          <w:vertAlign w:val="superscript"/>
        </w:rPr>
        <w:t xml:space="preserve"> </w:t>
      </w:r>
      <w:r w:rsidRPr="001154E6">
        <w:rPr>
          <w:bCs/>
          <w:i/>
          <w:iCs/>
        </w:rPr>
        <w:t xml:space="preserve">$35,000 to &lt; $45,000 </w:t>
      </w:r>
    </w:p>
    <w:p w14:paraId="759DDF3A" w14:textId="77777777" w:rsidR="006E503C" w:rsidRPr="001154E6" w:rsidRDefault="006E503C" w:rsidP="006E503C">
      <w:pPr>
        <w:pStyle w:val="TableFigureFooter"/>
        <w:rPr>
          <w:bCs/>
          <w:i/>
          <w:iCs/>
        </w:rPr>
      </w:pPr>
      <w:r w:rsidRPr="001154E6">
        <w:rPr>
          <w:bCs/>
          <w:i/>
          <w:iCs/>
          <w:vertAlign w:val="superscript"/>
        </w:rPr>
        <w:t>2</w:t>
      </w:r>
      <w:r w:rsidRPr="001154E6">
        <w:rPr>
          <w:bCs/>
          <w:i/>
          <w:iCs/>
        </w:rPr>
        <w:t xml:space="preserve"> $45,000 to &lt; $55,000</w:t>
      </w:r>
    </w:p>
    <w:p w14:paraId="7314C4E5" w14:textId="7CFAE7E6" w:rsidR="006E503C" w:rsidRPr="001154E6" w:rsidRDefault="00C11E6B" w:rsidP="006E503C">
      <w:pPr>
        <w:pStyle w:val="TableFigureFooter"/>
        <w:rPr>
          <w:bCs/>
          <w:i/>
          <w:iCs/>
        </w:rPr>
      </w:pPr>
      <w:r w:rsidRPr="001154E6">
        <w:rPr>
          <w:bCs/>
          <w:i/>
          <w:iCs/>
          <w:vertAlign w:val="superscript"/>
        </w:rPr>
        <w:t>3</w:t>
      </w:r>
      <w:r w:rsidR="007379C0" w:rsidRPr="001154E6">
        <w:rPr>
          <w:bCs/>
          <w:i/>
          <w:iCs/>
          <w:vertAlign w:val="superscript"/>
        </w:rPr>
        <w:t xml:space="preserve"> </w:t>
      </w:r>
      <w:r w:rsidR="006E503C" w:rsidRPr="001154E6">
        <w:rPr>
          <w:bCs/>
          <w:i/>
          <w:iCs/>
        </w:rPr>
        <w:t xml:space="preserve">$55,000 to &lt; $75,000 </w:t>
      </w:r>
    </w:p>
    <w:p w14:paraId="7ED26F70" w14:textId="57819B35" w:rsidR="006E503C" w:rsidRPr="001154E6" w:rsidRDefault="0019687C" w:rsidP="006E503C">
      <w:pPr>
        <w:pStyle w:val="TableFigureFooter"/>
        <w:rPr>
          <w:bCs/>
          <w:i/>
          <w:iCs/>
        </w:rPr>
      </w:pPr>
      <w:r w:rsidRPr="001154E6">
        <w:rPr>
          <w:bCs/>
          <w:i/>
          <w:iCs/>
          <w:vertAlign w:val="superscript"/>
        </w:rPr>
        <w:t>4</w:t>
      </w:r>
      <w:r w:rsidR="006E503C" w:rsidRPr="001154E6">
        <w:rPr>
          <w:bCs/>
          <w:i/>
          <w:iCs/>
          <w:vertAlign w:val="superscript"/>
        </w:rPr>
        <w:t xml:space="preserve"> </w:t>
      </w:r>
      <w:r w:rsidR="006E503C" w:rsidRPr="001154E6">
        <w:rPr>
          <w:bCs/>
          <w:i/>
          <w:iCs/>
        </w:rPr>
        <w:t>$75,000 to &lt; $95,000</w:t>
      </w:r>
    </w:p>
    <w:p w14:paraId="5B24C5D1" w14:textId="77777777" w:rsidR="00F257F5" w:rsidRPr="00935CE1" w:rsidRDefault="00F257F5" w:rsidP="00F257F5">
      <w:pPr>
        <w:spacing w:before="60" w:after="60"/>
        <w:rPr>
          <w:rFonts w:asciiTheme="minorHAnsi" w:hAnsiTheme="minorHAnsi"/>
          <w:iCs/>
          <w:snapToGrid w:val="0"/>
        </w:rPr>
      </w:pPr>
    </w:p>
    <w:p w14:paraId="4445ADC5" w14:textId="51F04712" w:rsidR="006F1AAA" w:rsidRPr="00935CE1" w:rsidRDefault="00AE0E44" w:rsidP="00154042">
      <w:pPr>
        <w:numPr>
          <w:ilvl w:val="1"/>
          <w:numId w:val="1"/>
        </w:numPr>
        <w:spacing w:before="60" w:after="60"/>
        <w:rPr>
          <w:rFonts w:asciiTheme="minorHAnsi" w:hAnsiTheme="minorHAnsi"/>
          <w:iCs/>
          <w:snapToGrid w:val="0"/>
        </w:rPr>
      </w:pPr>
      <w:bookmarkStart w:id="92" w:name="_Ref201146331"/>
      <w:r w:rsidRPr="00935CE1">
        <w:rPr>
          <w:rFonts w:asciiTheme="minorHAnsi" w:hAnsiTheme="minorHAnsi"/>
          <w:iCs/>
          <w:snapToGrid w:val="0"/>
        </w:rPr>
        <w:t xml:space="preserve">The ESC </w:t>
      </w:r>
      <w:r w:rsidR="00946A96" w:rsidRPr="00935CE1">
        <w:rPr>
          <w:rFonts w:asciiTheme="minorHAnsi" w:hAnsiTheme="minorHAnsi"/>
          <w:iCs/>
          <w:snapToGrid w:val="0"/>
        </w:rPr>
        <w:t xml:space="preserve">accepted the corrections made in the revised economic model provided in the PSCR. However, </w:t>
      </w:r>
      <w:r w:rsidR="003C08B3" w:rsidRPr="00935CE1">
        <w:rPr>
          <w:rFonts w:asciiTheme="minorHAnsi" w:hAnsiTheme="minorHAnsi"/>
          <w:iCs/>
          <w:snapToGrid w:val="0"/>
        </w:rPr>
        <w:t xml:space="preserve">the ESC considered that additional </w:t>
      </w:r>
      <w:r w:rsidR="00983F97" w:rsidRPr="00935CE1">
        <w:rPr>
          <w:rFonts w:asciiTheme="minorHAnsi" w:hAnsiTheme="minorHAnsi"/>
          <w:iCs/>
          <w:snapToGrid w:val="0"/>
        </w:rPr>
        <w:t xml:space="preserve">changes to the economic model were required and proposed a revised base case that </w:t>
      </w:r>
      <w:r w:rsidR="00FC701E" w:rsidRPr="00935CE1">
        <w:rPr>
          <w:rFonts w:asciiTheme="minorHAnsi" w:hAnsiTheme="minorHAnsi"/>
          <w:iCs/>
          <w:snapToGrid w:val="0"/>
        </w:rPr>
        <w:t>incorporated the following:</w:t>
      </w:r>
      <w:bookmarkEnd w:id="92"/>
    </w:p>
    <w:p w14:paraId="24B77DAB" w14:textId="310139BE" w:rsidR="00B65D79" w:rsidRPr="00935CE1" w:rsidRDefault="00B65D79" w:rsidP="007368C9">
      <w:pPr>
        <w:pStyle w:val="3-BodyText"/>
        <w:numPr>
          <w:ilvl w:val="0"/>
          <w:numId w:val="16"/>
        </w:numPr>
        <w:spacing w:before="0" w:after="120"/>
        <w:ind w:left="1134" w:hanging="425"/>
        <w:rPr>
          <w:iCs/>
        </w:rPr>
      </w:pPr>
      <w:r w:rsidRPr="00935CE1">
        <w:rPr>
          <w:iCs/>
        </w:rPr>
        <w:t>a 15-year time horizon;</w:t>
      </w:r>
    </w:p>
    <w:p w14:paraId="281885F9" w14:textId="30075793" w:rsidR="00FC701E" w:rsidRPr="00935CE1" w:rsidRDefault="00797000" w:rsidP="007368C9">
      <w:pPr>
        <w:pStyle w:val="3-BodyText"/>
        <w:numPr>
          <w:ilvl w:val="0"/>
          <w:numId w:val="16"/>
        </w:numPr>
        <w:spacing w:before="0" w:after="120"/>
        <w:ind w:left="1134" w:hanging="425"/>
        <w:rPr>
          <w:iCs/>
        </w:rPr>
      </w:pPr>
      <w:r w:rsidRPr="00935CE1">
        <w:rPr>
          <w:iCs/>
        </w:rPr>
        <w:t>application of the 10% rule using the Pocock (2002) methodology</w:t>
      </w:r>
      <w:r w:rsidR="00720780" w:rsidRPr="00935CE1">
        <w:rPr>
          <w:iCs/>
        </w:rPr>
        <w:t xml:space="preserve"> to determine treatment specific truncation points for PFS and OS</w:t>
      </w:r>
      <w:r w:rsidR="00BA2DB3" w:rsidRPr="00935CE1">
        <w:rPr>
          <w:iCs/>
        </w:rPr>
        <w:t>;</w:t>
      </w:r>
    </w:p>
    <w:p w14:paraId="05A1F897" w14:textId="64A3F56F" w:rsidR="00BA2DB3" w:rsidRPr="00935CE1" w:rsidRDefault="003973E2" w:rsidP="007368C9">
      <w:pPr>
        <w:pStyle w:val="3-BodyText"/>
        <w:numPr>
          <w:ilvl w:val="0"/>
          <w:numId w:val="16"/>
        </w:numPr>
        <w:spacing w:before="0" w:after="120"/>
        <w:ind w:left="1134" w:hanging="425"/>
        <w:rPr>
          <w:iCs/>
        </w:rPr>
      </w:pPr>
      <w:r w:rsidRPr="00935CE1">
        <w:rPr>
          <w:iCs/>
        </w:rPr>
        <w:t>use of</w:t>
      </w:r>
      <w:r w:rsidR="000301C9" w:rsidRPr="00935CE1">
        <w:rPr>
          <w:iCs/>
        </w:rPr>
        <w:t xml:space="preserve"> the STARGLO-reported mean T</w:t>
      </w:r>
      <w:r w:rsidR="00846056" w:rsidRPr="00935CE1">
        <w:rPr>
          <w:iCs/>
        </w:rPr>
        <w:t>T</w:t>
      </w:r>
      <w:r w:rsidR="000301C9" w:rsidRPr="00935CE1">
        <w:rPr>
          <w:iCs/>
        </w:rPr>
        <w:t>OT (treatment cycles) to calculate treatment costs for all components of both arms</w:t>
      </w:r>
      <w:r w:rsidR="002F1A4D" w:rsidRPr="00935CE1">
        <w:rPr>
          <w:iCs/>
        </w:rPr>
        <w:t>;</w:t>
      </w:r>
    </w:p>
    <w:p w14:paraId="25766F3E" w14:textId="3D0882B5" w:rsidR="002F1A4D" w:rsidRPr="00935CE1" w:rsidRDefault="002F1A4D" w:rsidP="007368C9">
      <w:pPr>
        <w:pStyle w:val="3-BodyText"/>
        <w:numPr>
          <w:ilvl w:val="0"/>
          <w:numId w:val="16"/>
        </w:numPr>
        <w:spacing w:before="0" w:after="120"/>
        <w:ind w:left="1134" w:hanging="425"/>
        <w:rPr>
          <w:iCs/>
        </w:rPr>
      </w:pPr>
      <w:r w:rsidRPr="00935CE1">
        <w:rPr>
          <w:iCs/>
        </w:rPr>
        <w:t>combining of the PFS health states with a po</w:t>
      </w:r>
      <w:r w:rsidR="009315E0" w:rsidRPr="00935CE1">
        <w:rPr>
          <w:iCs/>
        </w:rPr>
        <w:t xml:space="preserve">oled utility value (utility of ‘on treatment’ = ‘off treatment’ </w:t>
      </w:r>
      <w:r w:rsidR="00746843" w:rsidRPr="00935CE1">
        <w:rPr>
          <w:iCs/>
        </w:rPr>
        <w:t xml:space="preserve">= </w:t>
      </w:r>
      <w:r w:rsidR="00B950CE" w:rsidRPr="00935CE1">
        <w:rPr>
          <w:iCs/>
        </w:rPr>
        <w:t>0.713)</w:t>
      </w:r>
    </w:p>
    <w:p w14:paraId="6552C0BB" w14:textId="720BC0E0" w:rsidR="00AD76B5" w:rsidRPr="00935CE1" w:rsidRDefault="00BA5BF0" w:rsidP="007368C9">
      <w:pPr>
        <w:pStyle w:val="3-BodyText"/>
        <w:numPr>
          <w:ilvl w:val="0"/>
          <w:numId w:val="16"/>
        </w:numPr>
        <w:spacing w:before="0" w:after="120"/>
        <w:ind w:left="1134" w:hanging="425"/>
        <w:rPr>
          <w:iCs/>
        </w:rPr>
      </w:pPr>
      <w:r w:rsidRPr="00935CE1">
        <w:rPr>
          <w:iCs/>
        </w:rPr>
        <w:t xml:space="preserve">use of Weibull extrapolation for PFS and OS. </w:t>
      </w:r>
    </w:p>
    <w:p w14:paraId="67534D14" w14:textId="4A13ECE4" w:rsidR="00BA5BF0" w:rsidRDefault="00BA5BF0" w:rsidP="00BA5BF0">
      <w:pPr>
        <w:pStyle w:val="3-BodyText"/>
        <w:spacing w:before="0" w:after="120"/>
        <w:ind w:left="709"/>
        <w:rPr>
          <w:iCs/>
        </w:rPr>
      </w:pPr>
      <w:r w:rsidRPr="00935CE1">
        <w:rPr>
          <w:iCs/>
        </w:rPr>
        <w:t xml:space="preserve">The ESC noted that the revised base case increased the </w:t>
      </w:r>
      <w:r w:rsidR="000116B6" w:rsidRPr="00935CE1">
        <w:rPr>
          <w:iCs/>
        </w:rPr>
        <w:t xml:space="preserve">ICER provided in the PSCR from </w:t>
      </w:r>
      <w:r w:rsidR="00260374" w:rsidRPr="00260374">
        <w:rPr>
          <w:iCs/>
        </w:rPr>
        <w:t>$35,000 to &lt; $45,000</w:t>
      </w:r>
      <w:r w:rsidR="000116B6" w:rsidRPr="00935CE1">
        <w:rPr>
          <w:iCs/>
        </w:rPr>
        <w:t xml:space="preserve">per QALY gained to </w:t>
      </w:r>
      <w:r w:rsidR="00174160" w:rsidRPr="00174160">
        <w:rPr>
          <w:iCs/>
        </w:rPr>
        <w:t xml:space="preserve">$55,000 to &lt; $75,000 </w:t>
      </w:r>
      <w:r w:rsidR="00D6661D" w:rsidRPr="00935CE1">
        <w:rPr>
          <w:iCs/>
        </w:rPr>
        <w:t>per QALY gained</w:t>
      </w:r>
      <w:r w:rsidR="000116B6" w:rsidRPr="00935CE1">
        <w:rPr>
          <w:iCs/>
        </w:rPr>
        <w:t xml:space="preserve">. </w:t>
      </w:r>
      <w:r w:rsidR="0072116C" w:rsidRPr="00935CE1">
        <w:rPr>
          <w:iCs/>
        </w:rPr>
        <w:t xml:space="preserve">The ESC </w:t>
      </w:r>
      <w:r w:rsidR="000B5B77" w:rsidRPr="00935CE1">
        <w:rPr>
          <w:iCs/>
        </w:rPr>
        <w:t xml:space="preserve">also noted that if the </w:t>
      </w:r>
      <w:r w:rsidR="0072116C" w:rsidRPr="00935CE1">
        <w:rPr>
          <w:iCs/>
        </w:rPr>
        <w:t xml:space="preserve">cost of CAR-T </w:t>
      </w:r>
      <w:r w:rsidR="008C1740" w:rsidRPr="00935CE1">
        <w:rPr>
          <w:iCs/>
        </w:rPr>
        <w:t>was reduced from</w:t>
      </w:r>
      <w:r w:rsidR="0072116C" w:rsidRPr="00935CE1">
        <w:rPr>
          <w:iCs/>
        </w:rPr>
        <w:t xml:space="preserve"> $500,000</w:t>
      </w:r>
      <w:r w:rsidR="008C1740" w:rsidRPr="00935CE1">
        <w:rPr>
          <w:iCs/>
        </w:rPr>
        <w:t xml:space="preserve"> to $300,000 the </w:t>
      </w:r>
      <w:r w:rsidR="002D32BC" w:rsidRPr="00935CE1">
        <w:rPr>
          <w:iCs/>
        </w:rPr>
        <w:t xml:space="preserve">ICER would increase further to </w:t>
      </w:r>
      <w:r w:rsidR="00C55AED" w:rsidRPr="00C55AED">
        <w:rPr>
          <w:iCs/>
        </w:rPr>
        <w:t>$75,000 to &lt; $95,000</w:t>
      </w:r>
      <w:r w:rsidR="002D32BC" w:rsidRPr="00935CE1">
        <w:rPr>
          <w:iCs/>
        </w:rPr>
        <w:t xml:space="preserve">per QALY gained. </w:t>
      </w:r>
    </w:p>
    <w:p w14:paraId="51848CB2" w14:textId="241EB4F9" w:rsidR="001655AB" w:rsidRPr="00C97E5D" w:rsidRDefault="001655AB" w:rsidP="00C97E5D">
      <w:pPr>
        <w:numPr>
          <w:ilvl w:val="1"/>
          <w:numId w:val="1"/>
        </w:numPr>
        <w:spacing w:before="60" w:after="60"/>
        <w:rPr>
          <w:rFonts w:asciiTheme="minorHAnsi" w:hAnsiTheme="minorHAnsi"/>
          <w:iCs/>
          <w:snapToGrid w:val="0"/>
        </w:rPr>
      </w:pPr>
      <w:r w:rsidRPr="00E81E1F">
        <w:rPr>
          <w:rFonts w:asciiTheme="minorHAnsi" w:hAnsiTheme="minorHAnsi"/>
          <w:iCs/>
          <w:snapToGrid w:val="0"/>
        </w:rPr>
        <w:t xml:space="preserve">The </w:t>
      </w:r>
      <w:r w:rsidR="00F67E52">
        <w:rPr>
          <w:rFonts w:asciiTheme="minorHAnsi" w:hAnsiTheme="minorHAnsi"/>
          <w:iCs/>
          <w:snapToGrid w:val="0"/>
        </w:rPr>
        <w:t>pre-PBAC response</w:t>
      </w:r>
      <w:r w:rsidR="005D579A">
        <w:rPr>
          <w:rFonts w:asciiTheme="minorHAnsi" w:hAnsiTheme="minorHAnsi"/>
          <w:iCs/>
          <w:snapToGrid w:val="0"/>
        </w:rPr>
        <w:t xml:space="preserve"> </w:t>
      </w:r>
      <w:r w:rsidR="00493D56">
        <w:rPr>
          <w:rFonts w:asciiTheme="minorHAnsi" w:hAnsiTheme="minorHAnsi"/>
          <w:iCs/>
          <w:snapToGrid w:val="0"/>
        </w:rPr>
        <w:t xml:space="preserve">accepted the </w:t>
      </w:r>
      <w:r w:rsidR="00DF7F12">
        <w:rPr>
          <w:rFonts w:asciiTheme="minorHAnsi" w:hAnsiTheme="minorHAnsi"/>
          <w:iCs/>
          <w:snapToGrid w:val="0"/>
        </w:rPr>
        <w:t>ESC proposal to combine the PFS health states with a pooled utility value</w:t>
      </w:r>
      <w:r w:rsidR="005D579A">
        <w:rPr>
          <w:rFonts w:asciiTheme="minorHAnsi" w:hAnsiTheme="minorHAnsi"/>
          <w:iCs/>
          <w:snapToGrid w:val="0"/>
        </w:rPr>
        <w:t xml:space="preserve">. However, the </w:t>
      </w:r>
      <w:r w:rsidR="00F60A92">
        <w:rPr>
          <w:rFonts w:asciiTheme="minorHAnsi" w:hAnsiTheme="minorHAnsi"/>
          <w:iCs/>
          <w:snapToGrid w:val="0"/>
        </w:rPr>
        <w:t>pre-PBAC response</w:t>
      </w:r>
      <w:r w:rsidR="00D87E40">
        <w:rPr>
          <w:rFonts w:asciiTheme="minorHAnsi" w:hAnsiTheme="minorHAnsi"/>
          <w:iCs/>
          <w:snapToGrid w:val="0"/>
        </w:rPr>
        <w:t xml:space="preserve"> </w:t>
      </w:r>
      <w:r w:rsidR="002E7F57">
        <w:rPr>
          <w:rFonts w:asciiTheme="minorHAnsi" w:hAnsiTheme="minorHAnsi"/>
          <w:iCs/>
          <w:snapToGrid w:val="0"/>
        </w:rPr>
        <w:t xml:space="preserve">argued that </w:t>
      </w:r>
      <w:r w:rsidR="00860B4B">
        <w:rPr>
          <w:rFonts w:asciiTheme="minorHAnsi" w:hAnsiTheme="minorHAnsi"/>
          <w:iCs/>
          <w:snapToGrid w:val="0"/>
        </w:rPr>
        <w:t xml:space="preserve">the </w:t>
      </w:r>
      <w:proofErr w:type="spellStart"/>
      <w:r w:rsidR="002E7F57">
        <w:rPr>
          <w:rFonts w:asciiTheme="minorHAnsi" w:hAnsiTheme="minorHAnsi"/>
          <w:iCs/>
          <w:snapToGrid w:val="0"/>
        </w:rPr>
        <w:t>Gebski</w:t>
      </w:r>
      <w:proofErr w:type="spellEnd"/>
      <w:r w:rsidR="002E7F57">
        <w:rPr>
          <w:rFonts w:asciiTheme="minorHAnsi" w:hAnsiTheme="minorHAnsi"/>
          <w:iCs/>
          <w:snapToGrid w:val="0"/>
        </w:rPr>
        <w:t xml:space="preserve"> </w:t>
      </w:r>
      <w:r w:rsidR="009215F4">
        <w:rPr>
          <w:rFonts w:asciiTheme="minorHAnsi" w:hAnsiTheme="minorHAnsi"/>
          <w:iCs/>
          <w:snapToGrid w:val="0"/>
        </w:rPr>
        <w:t xml:space="preserve">(2018) </w:t>
      </w:r>
      <w:r w:rsidR="00C15ED7">
        <w:rPr>
          <w:rFonts w:asciiTheme="minorHAnsi" w:hAnsiTheme="minorHAnsi"/>
          <w:iCs/>
          <w:snapToGrid w:val="0"/>
        </w:rPr>
        <w:t xml:space="preserve">approach </w:t>
      </w:r>
      <w:r w:rsidR="0015662D">
        <w:rPr>
          <w:rFonts w:asciiTheme="minorHAnsi" w:hAnsiTheme="minorHAnsi"/>
          <w:iCs/>
          <w:snapToGrid w:val="0"/>
        </w:rPr>
        <w:t>should be used in preference to the</w:t>
      </w:r>
      <w:r w:rsidR="00B01D1B">
        <w:rPr>
          <w:rFonts w:asciiTheme="minorHAnsi" w:hAnsiTheme="minorHAnsi"/>
          <w:iCs/>
          <w:snapToGrid w:val="0"/>
        </w:rPr>
        <w:t xml:space="preserve"> application of the 10% rule</w:t>
      </w:r>
      <w:r w:rsidR="00C469BB">
        <w:rPr>
          <w:rFonts w:asciiTheme="minorHAnsi" w:hAnsiTheme="minorHAnsi"/>
          <w:iCs/>
          <w:snapToGrid w:val="0"/>
        </w:rPr>
        <w:t xml:space="preserve"> for OS and PFS truncation points</w:t>
      </w:r>
      <w:r w:rsidR="00B01D1B">
        <w:rPr>
          <w:rFonts w:asciiTheme="minorHAnsi" w:hAnsiTheme="minorHAnsi"/>
          <w:iCs/>
          <w:snapToGrid w:val="0"/>
        </w:rPr>
        <w:t xml:space="preserve">, </w:t>
      </w:r>
      <w:r w:rsidR="0082506F">
        <w:rPr>
          <w:rFonts w:asciiTheme="minorHAnsi" w:hAnsiTheme="minorHAnsi"/>
          <w:iCs/>
          <w:snapToGrid w:val="0"/>
        </w:rPr>
        <w:t xml:space="preserve">that the </w:t>
      </w:r>
      <w:r w:rsidR="00E20059">
        <w:rPr>
          <w:rFonts w:asciiTheme="minorHAnsi" w:hAnsiTheme="minorHAnsi"/>
          <w:iCs/>
          <w:snapToGrid w:val="0"/>
        </w:rPr>
        <w:t>log-normal extrapolation demonstrate</w:t>
      </w:r>
      <w:r w:rsidR="0084411B">
        <w:rPr>
          <w:rFonts w:asciiTheme="minorHAnsi" w:hAnsiTheme="minorHAnsi"/>
          <w:iCs/>
          <w:snapToGrid w:val="0"/>
        </w:rPr>
        <w:t>d</w:t>
      </w:r>
      <w:r w:rsidR="00E20059">
        <w:rPr>
          <w:rFonts w:asciiTheme="minorHAnsi" w:hAnsiTheme="minorHAnsi"/>
          <w:iCs/>
          <w:snapToGrid w:val="0"/>
        </w:rPr>
        <w:t xml:space="preserve"> </w:t>
      </w:r>
      <w:r w:rsidR="003F6476">
        <w:rPr>
          <w:rFonts w:asciiTheme="minorHAnsi" w:hAnsiTheme="minorHAnsi"/>
          <w:iCs/>
          <w:snapToGrid w:val="0"/>
        </w:rPr>
        <w:t xml:space="preserve">a better visual </w:t>
      </w:r>
      <w:r w:rsidR="004810F6">
        <w:rPr>
          <w:rFonts w:asciiTheme="minorHAnsi" w:hAnsiTheme="minorHAnsi"/>
          <w:iCs/>
          <w:snapToGrid w:val="0"/>
        </w:rPr>
        <w:t xml:space="preserve">and statistical </w:t>
      </w:r>
      <w:r w:rsidR="003F6476">
        <w:rPr>
          <w:rFonts w:asciiTheme="minorHAnsi" w:hAnsiTheme="minorHAnsi"/>
          <w:iCs/>
          <w:snapToGrid w:val="0"/>
        </w:rPr>
        <w:t xml:space="preserve">fit </w:t>
      </w:r>
      <w:r w:rsidR="003273CA">
        <w:rPr>
          <w:rFonts w:asciiTheme="minorHAnsi" w:hAnsiTheme="minorHAnsi"/>
          <w:iCs/>
          <w:snapToGrid w:val="0"/>
        </w:rPr>
        <w:t xml:space="preserve">to the observed STARGLO trial data for both OS and PFS </w:t>
      </w:r>
      <w:r w:rsidR="00C469BB">
        <w:rPr>
          <w:rFonts w:asciiTheme="minorHAnsi" w:hAnsiTheme="minorHAnsi"/>
          <w:iCs/>
          <w:snapToGrid w:val="0"/>
        </w:rPr>
        <w:t>compared to the Weibull model, and that</w:t>
      </w:r>
      <w:r w:rsidR="00B36837">
        <w:rPr>
          <w:rFonts w:asciiTheme="minorHAnsi" w:hAnsiTheme="minorHAnsi"/>
          <w:iCs/>
          <w:snapToGrid w:val="0"/>
        </w:rPr>
        <w:t xml:space="preserve"> the modelled </w:t>
      </w:r>
      <w:r w:rsidR="001B56E6" w:rsidRPr="00C97E5D">
        <w:rPr>
          <w:rFonts w:asciiTheme="minorHAnsi" w:hAnsiTheme="minorHAnsi"/>
          <w:iCs/>
          <w:snapToGrid w:val="0"/>
        </w:rPr>
        <w:t xml:space="preserve">mean </w:t>
      </w:r>
      <w:r w:rsidR="001B56E6" w:rsidRPr="00766526">
        <w:rPr>
          <w:rFonts w:asciiTheme="minorHAnsi" w:hAnsiTheme="minorHAnsi"/>
          <w:iCs/>
          <w:snapToGrid w:val="0"/>
        </w:rPr>
        <w:t>of 8.1</w:t>
      </w:r>
      <w:r w:rsidR="001B56E6" w:rsidRPr="00C97E5D">
        <w:rPr>
          <w:rFonts w:asciiTheme="minorHAnsi" w:hAnsiTheme="minorHAnsi"/>
          <w:iCs/>
          <w:snapToGrid w:val="0"/>
        </w:rPr>
        <w:t xml:space="preserve"> cycles</w:t>
      </w:r>
      <w:r w:rsidR="00C469BB">
        <w:rPr>
          <w:rFonts w:asciiTheme="minorHAnsi" w:hAnsiTheme="minorHAnsi"/>
          <w:iCs/>
          <w:snapToGrid w:val="0"/>
        </w:rPr>
        <w:t xml:space="preserve"> </w:t>
      </w:r>
      <w:r w:rsidR="006E55A1">
        <w:rPr>
          <w:rFonts w:asciiTheme="minorHAnsi" w:hAnsiTheme="minorHAnsi"/>
          <w:iCs/>
          <w:snapToGrid w:val="0"/>
        </w:rPr>
        <w:t>should be used to calculate treatment costs. In addition, the pre-PBAC response</w:t>
      </w:r>
      <w:r w:rsidR="005E6C52">
        <w:rPr>
          <w:rFonts w:asciiTheme="minorHAnsi" w:hAnsiTheme="minorHAnsi"/>
          <w:iCs/>
          <w:snapToGrid w:val="0"/>
        </w:rPr>
        <w:t xml:space="preserve"> </w:t>
      </w:r>
      <w:r w:rsidR="00D67AC4">
        <w:rPr>
          <w:rFonts w:asciiTheme="minorHAnsi" w:hAnsiTheme="minorHAnsi"/>
          <w:iCs/>
          <w:snapToGrid w:val="0"/>
        </w:rPr>
        <w:t xml:space="preserve">reiterated </w:t>
      </w:r>
      <w:r w:rsidR="00F61629">
        <w:rPr>
          <w:rFonts w:asciiTheme="minorHAnsi" w:hAnsiTheme="minorHAnsi"/>
          <w:iCs/>
          <w:snapToGrid w:val="0"/>
        </w:rPr>
        <w:t xml:space="preserve">its previous arguments (see paragraph </w:t>
      </w:r>
      <w:r w:rsidR="00F61629">
        <w:rPr>
          <w:rFonts w:asciiTheme="minorHAnsi" w:hAnsiTheme="minorHAnsi"/>
          <w:iCs/>
          <w:snapToGrid w:val="0"/>
        </w:rPr>
        <w:fldChar w:fldCharType="begin" w:fldLock="1"/>
      </w:r>
      <w:r w:rsidR="00F61629">
        <w:rPr>
          <w:rFonts w:asciiTheme="minorHAnsi" w:hAnsiTheme="minorHAnsi"/>
          <w:iCs/>
          <w:snapToGrid w:val="0"/>
        </w:rPr>
        <w:instrText xml:space="preserve"> REF _Ref203984098 \r \h </w:instrText>
      </w:r>
      <w:r w:rsidR="00C97E5D">
        <w:rPr>
          <w:rFonts w:asciiTheme="minorHAnsi" w:hAnsiTheme="minorHAnsi"/>
          <w:iCs/>
          <w:snapToGrid w:val="0"/>
        </w:rPr>
        <w:instrText xml:space="preserve"> \* MERGEFORMAT </w:instrText>
      </w:r>
      <w:r w:rsidR="00F61629">
        <w:rPr>
          <w:rFonts w:asciiTheme="minorHAnsi" w:hAnsiTheme="minorHAnsi"/>
          <w:iCs/>
          <w:snapToGrid w:val="0"/>
        </w:rPr>
      </w:r>
      <w:r w:rsidR="00F61629">
        <w:rPr>
          <w:rFonts w:asciiTheme="minorHAnsi" w:hAnsiTheme="minorHAnsi"/>
          <w:iCs/>
          <w:snapToGrid w:val="0"/>
        </w:rPr>
        <w:fldChar w:fldCharType="separate"/>
      </w:r>
      <w:r w:rsidR="008D2753">
        <w:rPr>
          <w:rFonts w:asciiTheme="minorHAnsi" w:hAnsiTheme="minorHAnsi"/>
          <w:iCs/>
          <w:snapToGrid w:val="0"/>
        </w:rPr>
        <w:t>6.37</w:t>
      </w:r>
      <w:r w:rsidR="00F61629">
        <w:rPr>
          <w:rFonts w:asciiTheme="minorHAnsi" w:hAnsiTheme="minorHAnsi"/>
          <w:iCs/>
          <w:snapToGrid w:val="0"/>
        </w:rPr>
        <w:fldChar w:fldCharType="end"/>
      </w:r>
      <w:r w:rsidR="00F61629">
        <w:rPr>
          <w:rFonts w:asciiTheme="minorHAnsi" w:hAnsiTheme="minorHAnsi"/>
          <w:iCs/>
          <w:snapToGrid w:val="0"/>
        </w:rPr>
        <w:t xml:space="preserve">) that a 20-year time horizon was appropriate. As such, the pre-PBAC response </w:t>
      </w:r>
      <w:r w:rsidR="00AF22B0">
        <w:rPr>
          <w:rFonts w:asciiTheme="minorHAnsi" w:hAnsiTheme="minorHAnsi"/>
          <w:iCs/>
          <w:snapToGrid w:val="0"/>
        </w:rPr>
        <w:t>provided a revised economic model which maintained a 20-year time horizon</w:t>
      </w:r>
      <w:r w:rsidR="005A4C34">
        <w:rPr>
          <w:rFonts w:asciiTheme="minorHAnsi" w:hAnsiTheme="minorHAnsi"/>
          <w:iCs/>
          <w:snapToGrid w:val="0"/>
        </w:rPr>
        <w:t xml:space="preserve">, a log-normal extrapolation and modelled TTOT, but incorporated truncation points as determined by the </w:t>
      </w:r>
      <w:proofErr w:type="spellStart"/>
      <w:r w:rsidR="005A4C34">
        <w:rPr>
          <w:rFonts w:asciiTheme="minorHAnsi" w:hAnsiTheme="minorHAnsi"/>
          <w:iCs/>
          <w:snapToGrid w:val="0"/>
        </w:rPr>
        <w:t>Gebski</w:t>
      </w:r>
      <w:proofErr w:type="spellEnd"/>
      <w:r w:rsidR="005A4C34">
        <w:rPr>
          <w:rFonts w:asciiTheme="minorHAnsi" w:hAnsiTheme="minorHAnsi"/>
          <w:iCs/>
          <w:snapToGrid w:val="0"/>
        </w:rPr>
        <w:t xml:space="preserve"> (2018) methodology</w:t>
      </w:r>
      <w:r w:rsidR="00756522">
        <w:rPr>
          <w:rFonts w:asciiTheme="minorHAnsi" w:hAnsiTheme="minorHAnsi"/>
          <w:iCs/>
          <w:snapToGrid w:val="0"/>
        </w:rPr>
        <w:t xml:space="preserve"> and adopted a pooled utility value of 0.713 for the PFS health states. </w:t>
      </w:r>
      <w:r w:rsidR="006E56CA">
        <w:rPr>
          <w:rFonts w:asciiTheme="minorHAnsi" w:hAnsiTheme="minorHAnsi"/>
          <w:iCs/>
          <w:snapToGrid w:val="0"/>
        </w:rPr>
        <w:t>The pre-PBAC response noted that the revised economic model result</w:t>
      </w:r>
      <w:r w:rsidR="009128EF">
        <w:rPr>
          <w:rFonts w:asciiTheme="minorHAnsi" w:hAnsiTheme="minorHAnsi"/>
          <w:iCs/>
          <w:snapToGrid w:val="0"/>
        </w:rPr>
        <w:t xml:space="preserve">ed in an ICER of </w:t>
      </w:r>
      <w:r w:rsidR="00520216" w:rsidRPr="00520216">
        <w:rPr>
          <w:rFonts w:asciiTheme="minorHAnsi" w:hAnsiTheme="minorHAnsi"/>
          <w:iCs/>
          <w:snapToGrid w:val="0"/>
        </w:rPr>
        <w:t>$35,000 to &lt; $45,000</w:t>
      </w:r>
      <w:r w:rsidR="009128EF">
        <w:rPr>
          <w:rFonts w:asciiTheme="minorHAnsi" w:hAnsiTheme="minorHAnsi"/>
          <w:iCs/>
          <w:snapToGrid w:val="0"/>
        </w:rPr>
        <w:t xml:space="preserve">per QALY gained. </w:t>
      </w:r>
    </w:p>
    <w:p w14:paraId="356EA1A4" w14:textId="16FD4405" w:rsidR="004A1142" w:rsidRDefault="00326133" w:rsidP="00154042">
      <w:pPr>
        <w:numPr>
          <w:ilvl w:val="1"/>
          <w:numId w:val="1"/>
        </w:numPr>
        <w:spacing w:before="60" w:after="60"/>
        <w:rPr>
          <w:rFonts w:asciiTheme="minorHAnsi" w:hAnsiTheme="minorHAnsi"/>
          <w:iCs/>
          <w:snapToGrid w:val="0"/>
        </w:rPr>
      </w:pPr>
      <w:r w:rsidRPr="00935CE1">
        <w:rPr>
          <w:rFonts w:asciiTheme="minorHAnsi" w:hAnsiTheme="minorHAnsi"/>
          <w:iCs/>
          <w:snapToGrid w:val="0"/>
        </w:rPr>
        <w:t>In addition to the modelled economic evaluation, t</w:t>
      </w:r>
      <w:r w:rsidR="007F686C" w:rsidRPr="00935CE1">
        <w:rPr>
          <w:rFonts w:asciiTheme="minorHAnsi" w:hAnsiTheme="minorHAnsi"/>
          <w:iCs/>
          <w:snapToGrid w:val="0"/>
        </w:rPr>
        <w:t>he submission presented a cost-comparison of Glofit-GemOx versus epcoritamab</w:t>
      </w:r>
      <w:r w:rsidR="003D04BF" w:rsidRPr="00935CE1">
        <w:rPr>
          <w:rFonts w:asciiTheme="minorHAnsi" w:hAnsiTheme="minorHAnsi"/>
          <w:iCs/>
          <w:snapToGrid w:val="0"/>
        </w:rPr>
        <w:t xml:space="preserve"> (to mimic the third-line setting)</w:t>
      </w:r>
      <w:r w:rsidRPr="00935CE1">
        <w:rPr>
          <w:rFonts w:asciiTheme="minorHAnsi" w:hAnsiTheme="minorHAnsi"/>
          <w:iCs/>
          <w:snapToGrid w:val="0"/>
        </w:rPr>
        <w:t xml:space="preserve"> as a supplementary analysis (</w:t>
      </w:r>
      <w:r w:rsidRPr="00935CE1">
        <w:rPr>
          <w:rFonts w:asciiTheme="minorHAnsi" w:hAnsiTheme="minorHAnsi"/>
          <w:iCs/>
          <w:snapToGrid w:val="0"/>
        </w:rPr>
        <w:fldChar w:fldCharType="begin" w:fldLock="1"/>
      </w:r>
      <w:r w:rsidRPr="00935CE1">
        <w:rPr>
          <w:rFonts w:asciiTheme="minorHAnsi" w:hAnsiTheme="minorHAnsi"/>
          <w:iCs/>
          <w:snapToGrid w:val="0"/>
        </w:rPr>
        <w:instrText xml:space="preserve"> REF _Ref196316099 \h </w:instrText>
      </w:r>
      <w:r w:rsidR="00154042" w:rsidRPr="00935CE1">
        <w:rPr>
          <w:rFonts w:asciiTheme="minorHAnsi" w:hAnsiTheme="minorHAnsi"/>
          <w:iCs/>
          <w:snapToGrid w:val="0"/>
        </w:rPr>
        <w:instrText xml:space="preserve"> \* MERGEFORMAT </w:instrText>
      </w:r>
      <w:r w:rsidRPr="00935CE1">
        <w:rPr>
          <w:rFonts w:asciiTheme="minorHAnsi" w:hAnsiTheme="minorHAnsi"/>
          <w:iCs/>
          <w:snapToGrid w:val="0"/>
        </w:rPr>
      </w:r>
      <w:r w:rsidRPr="00935CE1">
        <w:rPr>
          <w:rFonts w:asciiTheme="minorHAnsi" w:hAnsiTheme="minorHAnsi"/>
          <w:iCs/>
          <w:snapToGrid w:val="0"/>
        </w:rPr>
        <w:fldChar w:fldCharType="separate"/>
      </w:r>
      <w:r w:rsidR="003C21E7" w:rsidRPr="003C21E7">
        <w:rPr>
          <w:rFonts w:asciiTheme="minorHAnsi" w:hAnsiTheme="minorHAnsi"/>
          <w:iCs/>
          <w:snapToGrid w:val="0"/>
        </w:rPr>
        <w:t>Table 15</w:t>
      </w:r>
      <w:r w:rsidRPr="00935CE1">
        <w:rPr>
          <w:rFonts w:asciiTheme="minorHAnsi" w:hAnsiTheme="minorHAnsi"/>
          <w:iCs/>
          <w:snapToGrid w:val="0"/>
        </w:rPr>
        <w:fldChar w:fldCharType="end"/>
      </w:r>
      <w:r w:rsidRPr="00935CE1">
        <w:rPr>
          <w:rFonts w:asciiTheme="minorHAnsi" w:hAnsiTheme="minorHAnsi"/>
          <w:iCs/>
          <w:snapToGrid w:val="0"/>
        </w:rPr>
        <w:t>)</w:t>
      </w:r>
      <w:r w:rsidR="00F86280" w:rsidRPr="00935CE1">
        <w:rPr>
          <w:rFonts w:asciiTheme="minorHAnsi" w:hAnsiTheme="minorHAnsi"/>
          <w:iCs/>
          <w:snapToGrid w:val="0"/>
        </w:rPr>
        <w:t xml:space="preserve">. </w:t>
      </w:r>
      <w:r w:rsidR="007F686C" w:rsidRPr="00935CE1">
        <w:rPr>
          <w:rFonts w:asciiTheme="minorHAnsi" w:hAnsiTheme="minorHAnsi"/>
          <w:iCs/>
          <w:snapToGrid w:val="0"/>
        </w:rPr>
        <w:t xml:space="preserve">The </w:t>
      </w:r>
      <w:r w:rsidR="00BC2C32" w:rsidRPr="00935CE1">
        <w:rPr>
          <w:rFonts w:asciiTheme="minorHAnsi" w:hAnsiTheme="minorHAnsi"/>
          <w:iCs/>
          <w:snapToGrid w:val="0"/>
        </w:rPr>
        <w:t xml:space="preserve">analysis assumed patients would receive </w:t>
      </w:r>
      <w:r w:rsidR="004A5864" w:rsidRPr="00935CE1">
        <w:rPr>
          <w:rFonts w:asciiTheme="minorHAnsi" w:hAnsiTheme="minorHAnsi"/>
          <w:iCs/>
          <w:snapToGrid w:val="0"/>
        </w:rPr>
        <w:t xml:space="preserve">12 cycles </w:t>
      </w:r>
      <w:r w:rsidR="00BC2C32" w:rsidRPr="00935CE1">
        <w:rPr>
          <w:rFonts w:asciiTheme="minorHAnsi" w:hAnsiTheme="minorHAnsi"/>
          <w:iCs/>
          <w:snapToGrid w:val="0"/>
        </w:rPr>
        <w:t>of</w:t>
      </w:r>
      <w:r w:rsidR="004A5864" w:rsidRPr="00935CE1">
        <w:rPr>
          <w:rFonts w:asciiTheme="minorHAnsi" w:hAnsiTheme="minorHAnsi"/>
          <w:iCs/>
          <w:snapToGrid w:val="0"/>
        </w:rPr>
        <w:t xml:space="preserve"> Glofit-GemOx </w:t>
      </w:r>
      <w:r w:rsidR="00BC2C32" w:rsidRPr="00935CE1">
        <w:rPr>
          <w:rFonts w:asciiTheme="minorHAnsi" w:hAnsiTheme="minorHAnsi"/>
          <w:iCs/>
          <w:snapToGrid w:val="0"/>
        </w:rPr>
        <w:t>(i.e.</w:t>
      </w:r>
      <w:r w:rsidR="0033732D" w:rsidRPr="00935CE1">
        <w:rPr>
          <w:rFonts w:asciiTheme="minorHAnsi" w:hAnsiTheme="minorHAnsi"/>
          <w:iCs/>
          <w:snapToGrid w:val="0"/>
        </w:rPr>
        <w:t>,</w:t>
      </w:r>
      <w:r w:rsidR="00BC2C32" w:rsidRPr="00935CE1">
        <w:rPr>
          <w:rFonts w:asciiTheme="minorHAnsi" w:hAnsiTheme="minorHAnsi"/>
          <w:iCs/>
          <w:snapToGrid w:val="0"/>
        </w:rPr>
        <w:t xml:space="preserve"> the maximum treatment duration) </w:t>
      </w:r>
      <w:r w:rsidR="004A5864" w:rsidRPr="00935CE1">
        <w:rPr>
          <w:rFonts w:asciiTheme="minorHAnsi" w:hAnsiTheme="minorHAnsi"/>
          <w:iCs/>
          <w:snapToGrid w:val="0"/>
        </w:rPr>
        <w:t xml:space="preserve">and </w:t>
      </w:r>
      <w:r w:rsidR="00BC2C32" w:rsidRPr="00935CE1">
        <w:rPr>
          <w:rFonts w:asciiTheme="minorHAnsi" w:hAnsiTheme="minorHAnsi"/>
          <w:iCs/>
          <w:snapToGrid w:val="0"/>
        </w:rPr>
        <w:t xml:space="preserve">16 cycles of epcoritamab (the </w:t>
      </w:r>
      <w:r w:rsidR="004A5864" w:rsidRPr="00935CE1">
        <w:rPr>
          <w:rFonts w:asciiTheme="minorHAnsi" w:hAnsiTheme="minorHAnsi"/>
          <w:iCs/>
          <w:snapToGrid w:val="0"/>
        </w:rPr>
        <w:t>average treatment duration</w:t>
      </w:r>
      <w:r w:rsidR="00BD2E60" w:rsidRPr="00935CE1">
        <w:rPr>
          <w:rFonts w:asciiTheme="minorHAnsi" w:hAnsiTheme="minorHAnsi"/>
          <w:iCs/>
          <w:snapToGrid w:val="0"/>
        </w:rPr>
        <w:t>, estimated using PFS rates from EPCORE NHL-1 at 12- and 24-month follow-ups</w:t>
      </w:r>
      <w:r w:rsidR="00BC2C32" w:rsidRPr="00935CE1">
        <w:rPr>
          <w:rFonts w:asciiTheme="minorHAnsi" w:hAnsiTheme="minorHAnsi"/>
          <w:iCs/>
          <w:snapToGrid w:val="0"/>
        </w:rPr>
        <w:t>)</w:t>
      </w:r>
      <w:r w:rsidR="004A5864" w:rsidRPr="00935CE1">
        <w:rPr>
          <w:rFonts w:asciiTheme="minorHAnsi" w:hAnsiTheme="minorHAnsi"/>
          <w:iCs/>
          <w:snapToGrid w:val="0"/>
        </w:rPr>
        <w:t>.</w:t>
      </w:r>
      <w:r w:rsidR="00BC2C32" w:rsidRPr="00935CE1">
        <w:rPr>
          <w:rFonts w:asciiTheme="minorHAnsi" w:hAnsiTheme="minorHAnsi"/>
          <w:iCs/>
          <w:snapToGrid w:val="0"/>
        </w:rPr>
        <w:t xml:space="preserve"> The unit costs for Glofit-GemOx were consistent with the modelled economic evaluation (i.e.</w:t>
      </w:r>
      <w:r w:rsidR="0033732D" w:rsidRPr="00935CE1">
        <w:rPr>
          <w:rFonts w:asciiTheme="minorHAnsi" w:hAnsiTheme="minorHAnsi"/>
          <w:iCs/>
          <w:snapToGrid w:val="0"/>
        </w:rPr>
        <w:t>,</w:t>
      </w:r>
      <w:r w:rsidR="00BC2C32" w:rsidRPr="00935CE1">
        <w:rPr>
          <w:rFonts w:asciiTheme="minorHAnsi" w:hAnsiTheme="minorHAnsi"/>
          <w:iCs/>
          <w:snapToGrid w:val="0"/>
        </w:rPr>
        <w:t xml:space="preserve"> the proposed effective price)</w:t>
      </w:r>
      <w:r w:rsidR="002C6253" w:rsidRPr="00935CE1">
        <w:rPr>
          <w:rFonts w:asciiTheme="minorHAnsi" w:hAnsiTheme="minorHAnsi"/>
          <w:iCs/>
          <w:snapToGrid w:val="0"/>
        </w:rPr>
        <w:t>,</w:t>
      </w:r>
      <w:r w:rsidR="00BC2C32" w:rsidRPr="00935CE1">
        <w:rPr>
          <w:rFonts w:asciiTheme="minorHAnsi" w:hAnsiTheme="minorHAnsi"/>
          <w:iCs/>
          <w:snapToGrid w:val="0"/>
        </w:rPr>
        <w:t xml:space="preserve"> </w:t>
      </w:r>
      <w:r w:rsidR="00BC2C32" w:rsidRPr="00766526">
        <w:rPr>
          <w:rFonts w:asciiTheme="minorHAnsi" w:hAnsiTheme="minorHAnsi"/>
          <w:iCs/>
          <w:snapToGrid w:val="0"/>
        </w:rPr>
        <w:t>whereas the unit cost for epcoritamab</w:t>
      </w:r>
      <w:r w:rsidR="00EE0DDE" w:rsidRPr="00766526">
        <w:rPr>
          <w:rFonts w:asciiTheme="minorHAnsi" w:hAnsiTheme="minorHAnsi"/>
          <w:iCs/>
          <w:snapToGrid w:val="0"/>
        </w:rPr>
        <w:t xml:space="preserve"> (i.e., estimated effective price)</w:t>
      </w:r>
      <w:r w:rsidR="00BC2C32" w:rsidRPr="00766526">
        <w:rPr>
          <w:rFonts w:asciiTheme="minorHAnsi" w:hAnsiTheme="minorHAnsi"/>
          <w:iCs/>
          <w:snapToGrid w:val="0"/>
        </w:rPr>
        <w:t xml:space="preserve"> was estimated assuming a </w:t>
      </w:r>
      <w:r w:rsidR="00EE0DDE" w:rsidRPr="00766526">
        <w:rPr>
          <w:rFonts w:asciiTheme="minorHAnsi" w:hAnsiTheme="minorHAnsi"/>
          <w:iCs/>
          <w:snapToGrid w:val="0"/>
        </w:rPr>
        <w:t>20</w:t>
      </w:r>
      <w:r w:rsidR="00BC2C32" w:rsidRPr="00766526">
        <w:rPr>
          <w:rFonts w:asciiTheme="minorHAnsi" w:hAnsiTheme="minorHAnsi"/>
          <w:iCs/>
          <w:snapToGrid w:val="0"/>
        </w:rPr>
        <w:t>% discount applied</w:t>
      </w:r>
      <w:r w:rsidR="00BC2C32" w:rsidRPr="00935CE1">
        <w:rPr>
          <w:rFonts w:asciiTheme="minorHAnsi" w:hAnsiTheme="minorHAnsi"/>
          <w:iCs/>
          <w:snapToGrid w:val="0"/>
        </w:rPr>
        <w:t xml:space="preserve"> to the proposed published price in the epcoritamab PSD (</w:t>
      </w:r>
      <w:r w:rsidR="00EE0DDE" w:rsidRPr="00935CE1">
        <w:rPr>
          <w:rFonts w:asciiTheme="minorHAnsi" w:hAnsiTheme="minorHAnsi"/>
          <w:iCs/>
          <w:snapToGrid w:val="0"/>
        </w:rPr>
        <w:t>para</w:t>
      </w:r>
      <w:r w:rsidR="00CC5E5E" w:rsidRPr="00935CE1">
        <w:rPr>
          <w:rFonts w:asciiTheme="minorHAnsi" w:hAnsiTheme="minorHAnsi"/>
          <w:iCs/>
          <w:snapToGrid w:val="0"/>
        </w:rPr>
        <w:t>graph</w:t>
      </w:r>
      <w:r w:rsidR="00EE0DDE" w:rsidRPr="00935CE1">
        <w:rPr>
          <w:rFonts w:asciiTheme="minorHAnsi" w:hAnsiTheme="minorHAnsi"/>
          <w:iCs/>
          <w:snapToGrid w:val="0"/>
        </w:rPr>
        <w:t xml:space="preserve"> 3.1, epcoritamab PSD, November 2024</w:t>
      </w:r>
      <w:r w:rsidR="008F50BC" w:rsidRPr="00935CE1">
        <w:rPr>
          <w:rFonts w:asciiTheme="minorHAnsi" w:hAnsiTheme="minorHAnsi"/>
          <w:iCs/>
          <w:snapToGrid w:val="0"/>
        </w:rPr>
        <w:t xml:space="preserve"> PBAC Meeting</w:t>
      </w:r>
      <w:r w:rsidR="00BC2C32" w:rsidRPr="00935CE1">
        <w:rPr>
          <w:rFonts w:asciiTheme="minorHAnsi" w:hAnsiTheme="minorHAnsi"/>
          <w:iCs/>
          <w:snapToGrid w:val="0"/>
        </w:rPr>
        <w:t>).</w:t>
      </w:r>
      <w:r w:rsidR="00B0173E" w:rsidRPr="00935CE1">
        <w:rPr>
          <w:rFonts w:asciiTheme="minorHAnsi" w:hAnsiTheme="minorHAnsi"/>
          <w:iCs/>
          <w:snapToGrid w:val="0"/>
        </w:rPr>
        <w:t xml:space="preserve"> </w:t>
      </w:r>
      <w:r w:rsidR="00C17B17" w:rsidRPr="00935CE1">
        <w:rPr>
          <w:rFonts w:asciiTheme="minorHAnsi" w:hAnsiTheme="minorHAnsi"/>
          <w:iCs/>
          <w:snapToGrid w:val="0"/>
        </w:rPr>
        <w:t xml:space="preserve">The submission concluded that Glofit-GemOx would result in </w:t>
      </w:r>
      <w:r w:rsidR="00A723E9" w:rsidRPr="00935CE1">
        <w:rPr>
          <w:rFonts w:asciiTheme="minorHAnsi" w:hAnsiTheme="minorHAnsi"/>
          <w:iCs/>
          <w:snapToGrid w:val="0"/>
        </w:rPr>
        <w:t>a</w:t>
      </w:r>
      <w:r w:rsidR="00C17B17" w:rsidRPr="00935CE1">
        <w:rPr>
          <w:rFonts w:asciiTheme="minorHAnsi" w:hAnsiTheme="minorHAnsi"/>
          <w:iCs/>
          <w:snapToGrid w:val="0"/>
        </w:rPr>
        <w:t xml:space="preserve"> 45% cost savings compared to epcoritamab, based on the estimated</w:t>
      </w:r>
      <w:r w:rsidR="00A723E9" w:rsidRPr="00935CE1">
        <w:rPr>
          <w:rFonts w:asciiTheme="minorHAnsi" w:hAnsiTheme="minorHAnsi"/>
          <w:iCs/>
          <w:snapToGrid w:val="0"/>
        </w:rPr>
        <w:t>-</w:t>
      </w:r>
      <w:r w:rsidR="00C17B17" w:rsidRPr="00935CE1">
        <w:rPr>
          <w:rFonts w:asciiTheme="minorHAnsi" w:hAnsiTheme="minorHAnsi"/>
          <w:iCs/>
          <w:snapToGrid w:val="0"/>
        </w:rPr>
        <w:t>effective price</w:t>
      </w:r>
      <w:r w:rsidR="00A723E9" w:rsidRPr="00935CE1">
        <w:rPr>
          <w:rFonts w:asciiTheme="minorHAnsi" w:hAnsiTheme="minorHAnsi"/>
          <w:iCs/>
          <w:snapToGrid w:val="0"/>
        </w:rPr>
        <w:t xml:space="preserve"> of epcoritamab</w:t>
      </w:r>
      <w:r w:rsidR="00C17B17" w:rsidRPr="00935CE1">
        <w:rPr>
          <w:rFonts w:asciiTheme="minorHAnsi" w:hAnsiTheme="minorHAnsi"/>
          <w:iCs/>
          <w:snapToGrid w:val="0"/>
        </w:rPr>
        <w:t xml:space="preserve">, for the treatment of 3L R/R DLBCL patients (see </w:t>
      </w:r>
      <w:r w:rsidR="00C17B17" w:rsidRPr="00935CE1">
        <w:rPr>
          <w:rFonts w:asciiTheme="minorHAnsi" w:hAnsiTheme="minorHAnsi"/>
          <w:iCs/>
          <w:snapToGrid w:val="0"/>
        </w:rPr>
        <w:fldChar w:fldCharType="begin" w:fldLock="1"/>
      </w:r>
      <w:r w:rsidR="00C17B17" w:rsidRPr="00935CE1">
        <w:rPr>
          <w:rFonts w:asciiTheme="minorHAnsi" w:hAnsiTheme="minorHAnsi"/>
          <w:iCs/>
          <w:snapToGrid w:val="0"/>
        </w:rPr>
        <w:instrText xml:space="preserve"> REF _Ref196316099 \h </w:instrText>
      </w:r>
      <w:r w:rsidR="00154042" w:rsidRPr="00935CE1">
        <w:rPr>
          <w:rFonts w:asciiTheme="minorHAnsi" w:hAnsiTheme="minorHAnsi"/>
          <w:iCs/>
          <w:snapToGrid w:val="0"/>
        </w:rPr>
        <w:instrText xml:space="preserve"> \* MERGEFORMAT </w:instrText>
      </w:r>
      <w:r w:rsidR="00C17B17" w:rsidRPr="00935CE1">
        <w:rPr>
          <w:rFonts w:asciiTheme="minorHAnsi" w:hAnsiTheme="minorHAnsi"/>
          <w:iCs/>
          <w:snapToGrid w:val="0"/>
        </w:rPr>
      </w:r>
      <w:r w:rsidR="00C17B17" w:rsidRPr="00935CE1">
        <w:rPr>
          <w:rFonts w:asciiTheme="minorHAnsi" w:hAnsiTheme="minorHAnsi"/>
          <w:iCs/>
          <w:snapToGrid w:val="0"/>
        </w:rPr>
        <w:fldChar w:fldCharType="separate"/>
      </w:r>
      <w:r w:rsidR="003C21E7" w:rsidRPr="003C21E7">
        <w:rPr>
          <w:rFonts w:asciiTheme="minorHAnsi" w:hAnsiTheme="minorHAnsi"/>
          <w:iCs/>
          <w:snapToGrid w:val="0"/>
        </w:rPr>
        <w:t>Table 15</w:t>
      </w:r>
      <w:r w:rsidR="00C17B17" w:rsidRPr="00935CE1">
        <w:rPr>
          <w:rFonts w:asciiTheme="minorHAnsi" w:hAnsiTheme="minorHAnsi"/>
          <w:iCs/>
          <w:snapToGrid w:val="0"/>
        </w:rPr>
        <w:fldChar w:fldCharType="end"/>
      </w:r>
      <w:r w:rsidR="00C17B17" w:rsidRPr="00935CE1">
        <w:rPr>
          <w:rFonts w:asciiTheme="minorHAnsi" w:hAnsiTheme="minorHAnsi"/>
          <w:iCs/>
          <w:snapToGrid w:val="0"/>
        </w:rPr>
        <w:t>).</w:t>
      </w:r>
    </w:p>
    <w:p w14:paraId="303E472C" w14:textId="77777777" w:rsidR="00951F99" w:rsidRPr="00935CE1" w:rsidRDefault="00951F99" w:rsidP="00951F99">
      <w:pPr>
        <w:spacing w:before="60" w:after="60"/>
        <w:ind w:left="720"/>
        <w:rPr>
          <w:rFonts w:asciiTheme="minorHAnsi" w:hAnsiTheme="minorHAnsi"/>
          <w:iCs/>
          <w:snapToGrid w:val="0"/>
        </w:rPr>
      </w:pPr>
    </w:p>
    <w:p w14:paraId="7B164EB8" w14:textId="365F8034" w:rsidR="004A5864" w:rsidRPr="00935CE1" w:rsidRDefault="004A5864" w:rsidP="004A5864">
      <w:pPr>
        <w:pStyle w:val="Caption"/>
        <w:rPr>
          <w:iCs/>
        </w:rPr>
      </w:pPr>
      <w:bookmarkStart w:id="93" w:name="_Ref196316099"/>
      <w:r w:rsidRPr="00935CE1">
        <w:rPr>
          <w:iCs/>
        </w:rPr>
        <w:t xml:space="preserve">Table </w:t>
      </w:r>
      <w:r w:rsidR="00A53E6E" w:rsidRPr="00935CE1">
        <w:rPr>
          <w:iCs/>
        </w:rPr>
        <w:fldChar w:fldCharType="begin" w:fldLock="1"/>
      </w:r>
      <w:r w:rsidR="00A53E6E" w:rsidRPr="00935CE1">
        <w:rPr>
          <w:iCs/>
        </w:rPr>
        <w:instrText xml:space="preserve"> SEQ Table \* ARABIC </w:instrText>
      </w:r>
      <w:r w:rsidR="00A53E6E" w:rsidRPr="00935CE1">
        <w:rPr>
          <w:iCs/>
        </w:rPr>
        <w:fldChar w:fldCharType="separate"/>
      </w:r>
      <w:r w:rsidR="003C21E7">
        <w:rPr>
          <w:iCs/>
          <w:noProof/>
        </w:rPr>
        <w:t>15</w:t>
      </w:r>
      <w:r w:rsidR="00A53E6E" w:rsidRPr="00935CE1">
        <w:rPr>
          <w:iCs/>
          <w:noProof/>
        </w:rPr>
        <w:fldChar w:fldCharType="end"/>
      </w:r>
      <w:bookmarkEnd w:id="93"/>
      <w:r w:rsidRPr="00935CE1">
        <w:rPr>
          <w:iCs/>
        </w:rPr>
        <w:t>: Cost comparison, including the cost of obinutuzumab and administration (weighted average DPMQ/DPMA)</w:t>
      </w:r>
    </w:p>
    <w:tbl>
      <w:tblPr>
        <w:tblStyle w:val="TableGrid"/>
        <w:tblW w:w="5000" w:type="pct"/>
        <w:tblCellMar>
          <w:left w:w="28" w:type="dxa"/>
          <w:right w:w="28" w:type="dxa"/>
        </w:tblCellMar>
        <w:tblLook w:val="04A0" w:firstRow="1" w:lastRow="0" w:firstColumn="1" w:lastColumn="0" w:noHBand="0" w:noVBand="1"/>
        <w:tblCaption w:val="Table 15: Cost comparison, including the cost of obinutuzumab and administration (weighted average DPMQ/DPMA)"/>
      </w:tblPr>
      <w:tblGrid>
        <w:gridCol w:w="3004"/>
        <w:gridCol w:w="1423"/>
        <w:gridCol w:w="1583"/>
        <w:gridCol w:w="1582"/>
        <w:gridCol w:w="1425"/>
      </w:tblGrid>
      <w:tr w:rsidR="008A4A13" w:rsidRPr="00935CE1" w14:paraId="02FE005E" w14:textId="77777777" w:rsidTr="008A4A13">
        <w:trPr>
          <w:trHeight w:val="20"/>
        </w:trPr>
        <w:tc>
          <w:tcPr>
            <w:tcW w:w="1666" w:type="pct"/>
            <w:vMerge w:val="restart"/>
          </w:tcPr>
          <w:p w14:paraId="21D6F051" w14:textId="77777777" w:rsidR="008A4A13" w:rsidRPr="00935CE1" w:rsidRDefault="008A4A13" w:rsidP="00F274C6">
            <w:pPr>
              <w:pStyle w:val="Tabletext"/>
              <w:rPr>
                <w:b/>
                <w:bCs/>
                <w:iCs/>
              </w:rPr>
            </w:pPr>
            <w:r w:rsidRPr="00935CE1">
              <w:rPr>
                <w:b/>
                <w:bCs/>
                <w:iCs/>
              </w:rPr>
              <w:t>Item</w:t>
            </w:r>
          </w:p>
        </w:tc>
        <w:tc>
          <w:tcPr>
            <w:tcW w:w="1667" w:type="pct"/>
            <w:gridSpan w:val="2"/>
          </w:tcPr>
          <w:p w14:paraId="4DCE167C" w14:textId="77777777" w:rsidR="008A4A13" w:rsidRPr="00935CE1" w:rsidRDefault="008A4A13" w:rsidP="00F274C6">
            <w:pPr>
              <w:pStyle w:val="Tabletext"/>
              <w:rPr>
                <w:b/>
                <w:bCs/>
                <w:iCs/>
              </w:rPr>
            </w:pPr>
            <w:r w:rsidRPr="00935CE1">
              <w:rPr>
                <w:b/>
                <w:bCs/>
                <w:iCs/>
              </w:rPr>
              <w:t>Glofit-GemOx [12 cycles]</w:t>
            </w:r>
          </w:p>
        </w:tc>
        <w:tc>
          <w:tcPr>
            <w:tcW w:w="1667" w:type="pct"/>
            <w:gridSpan w:val="2"/>
          </w:tcPr>
          <w:p w14:paraId="764182B0" w14:textId="77777777" w:rsidR="008A4A13" w:rsidRPr="00935CE1" w:rsidRDefault="008A4A13" w:rsidP="00F274C6">
            <w:pPr>
              <w:pStyle w:val="Tabletext"/>
              <w:rPr>
                <w:b/>
                <w:bCs/>
                <w:iCs/>
              </w:rPr>
            </w:pPr>
            <w:r w:rsidRPr="00935CE1">
              <w:rPr>
                <w:b/>
                <w:bCs/>
                <w:iCs/>
              </w:rPr>
              <w:t>Epcoritamab [16 cycles]</w:t>
            </w:r>
          </w:p>
        </w:tc>
      </w:tr>
      <w:tr w:rsidR="008A4A13" w:rsidRPr="00935CE1" w14:paraId="2883A911" w14:textId="77777777" w:rsidTr="00F86280">
        <w:trPr>
          <w:trHeight w:val="20"/>
        </w:trPr>
        <w:tc>
          <w:tcPr>
            <w:tcW w:w="1666" w:type="pct"/>
            <w:vMerge/>
          </w:tcPr>
          <w:p w14:paraId="6560BEE8" w14:textId="77777777" w:rsidR="008A4A13" w:rsidRPr="00935CE1" w:rsidRDefault="008A4A13" w:rsidP="00F274C6">
            <w:pPr>
              <w:pStyle w:val="Tabletext"/>
              <w:rPr>
                <w:b/>
                <w:bCs/>
                <w:iCs/>
              </w:rPr>
            </w:pPr>
          </w:p>
        </w:tc>
        <w:tc>
          <w:tcPr>
            <w:tcW w:w="789" w:type="pct"/>
          </w:tcPr>
          <w:p w14:paraId="4B88C34B" w14:textId="6885C046" w:rsidR="008A4A13" w:rsidRPr="00935CE1" w:rsidRDefault="008A4A13" w:rsidP="00F274C6">
            <w:pPr>
              <w:pStyle w:val="Tabletext"/>
              <w:rPr>
                <w:b/>
                <w:bCs/>
                <w:iCs/>
              </w:rPr>
            </w:pPr>
            <w:r w:rsidRPr="00935CE1">
              <w:rPr>
                <w:b/>
                <w:bCs/>
                <w:iCs/>
              </w:rPr>
              <w:t>Proposed published price</w:t>
            </w:r>
          </w:p>
        </w:tc>
        <w:tc>
          <w:tcPr>
            <w:tcW w:w="878" w:type="pct"/>
          </w:tcPr>
          <w:p w14:paraId="58B8EC23" w14:textId="60EF9FD2" w:rsidR="008A4A13" w:rsidRPr="00935CE1" w:rsidRDefault="008A4A13" w:rsidP="00F274C6">
            <w:pPr>
              <w:pStyle w:val="Tabletext"/>
              <w:rPr>
                <w:b/>
                <w:bCs/>
                <w:iCs/>
              </w:rPr>
            </w:pPr>
            <w:r w:rsidRPr="00935CE1">
              <w:rPr>
                <w:b/>
                <w:bCs/>
                <w:iCs/>
              </w:rPr>
              <w:t xml:space="preserve">Proposed </w:t>
            </w:r>
            <w:r w:rsidR="00D31082" w:rsidRPr="00935CE1">
              <w:rPr>
                <w:b/>
                <w:bCs/>
                <w:iCs/>
              </w:rPr>
              <w:t>effective</w:t>
            </w:r>
            <w:r w:rsidRPr="00935CE1">
              <w:rPr>
                <w:b/>
                <w:bCs/>
                <w:iCs/>
              </w:rPr>
              <w:t xml:space="preserve"> price</w:t>
            </w:r>
          </w:p>
        </w:tc>
        <w:tc>
          <w:tcPr>
            <w:tcW w:w="877" w:type="pct"/>
          </w:tcPr>
          <w:p w14:paraId="4947D707" w14:textId="489B8A65" w:rsidR="008A4A13" w:rsidRPr="00935CE1" w:rsidRDefault="008A4A13" w:rsidP="00F274C6">
            <w:pPr>
              <w:pStyle w:val="Tabletext"/>
              <w:rPr>
                <w:b/>
                <w:bCs/>
                <w:iCs/>
              </w:rPr>
            </w:pPr>
            <w:r w:rsidRPr="00935CE1">
              <w:rPr>
                <w:b/>
                <w:bCs/>
                <w:iCs/>
              </w:rPr>
              <w:t>Proposed published price</w:t>
            </w:r>
            <w:r w:rsidR="00EE0DDE" w:rsidRPr="00935CE1">
              <w:rPr>
                <w:b/>
                <w:bCs/>
                <w:iCs/>
              </w:rPr>
              <w:t xml:space="preserve"> </w:t>
            </w:r>
            <w:r w:rsidR="00EE0DDE" w:rsidRPr="00935CE1">
              <w:rPr>
                <w:b/>
                <w:bCs/>
                <w:iCs/>
                <w:vertAlign w:val="superscript"/>
              </w:rPr>
              <w:t>a</w:t>
            </w:r>
          </w:p>
        </w:tc>
        <w:tc>
          <w:tcPr>
            <w:tcW w:w="790" w:type="pct"/>
          </w:tcPr>
          <w:p w14:paraId="6410F8FD" w14:textId="36D495A8" w:rsidR="008A4A13" w:rsidRPr="00935CE1" w:rsidRDefault="008A4A13" w:rsidP="00F274C6">
            <w:pPr>
              <w:pStyle w:val="Tabletext"/>
              <w:rPr>
                <w:b/>
                <w:bCs/>
                <w:iCs/>
              </w:rPr>
            </w:pPr>
            <w:r w:rsidRPr="00935CE1">
              <w:rPr>
                <w:b/>
                <w:bCs/>
                <w:iCs/>
              </w:rPr>
              <w:t>Estimated- effective price</w:t>
            </w:r>
            <w:r w:rsidR="00EE0DDE" w:rsidRPr="00935CE1">
              <w:rPr>
                <w:b/>
                <w:bCs/>
                <w:iCs/>
              </w:rPr>
              <w:t xml:space="preserve"> </w:t>
            </w:r>
            <w:r w:rsidR="00EE0DDE" w:rsidRPr="00935CE1">
              <w:rPr>
                <w:b/>
                <w:bCs/>
                <w:iCs/>
                <w:vertAlign w:val="superscript"/>
              </w:rPr>
              <w:t>a</w:t>
            </w:r>
          </w:p>
        </w:tc>
      </w:tr>
      <w:tr w:rsidR="008A4A13" w:rsidRPr="00935CE1" w14:paraId="58DF7C6F" w14:textId="77777777" w:rsidTr="00F86280">
        <w:trPr>
          <w:trHeight w:val="20"/>
        </w:trPr>
        <w:tc>
          <w:tcPr>
            <w:tcW w:w="1666" w:type="pct"/>
          </w:tcPr>
          <w:p w14:paraId="5DF9BBE1" w14:textId="77777777" w:rsidR="008A4A13" w:rsidRPr="00935CE1" w:rsidRDefault="008A4A13" w:rsidP="00F274C6">
            <w:pPr>
              <w:pStyle w:val="Tabletext"/>
              <w:rPr>
                <w:b/>
                <w:bCs/>
                <w:iCs/>
              </w:rPr>
            </w:pPr>
            <w:r w:rsidRPr="00935CE1">
              <w:rPr>
                <w:b/>
                <w:bCs/>
                <w:iCs/>
              </w:rPr>
              <w:t>Drug acquisition cost per course</w:t>
            </w:r>
          </w:p>
        </w:tc>
        <w:tc>
          <w:tcPr>
            <w:tcW w:w="789" w:type="pct"/>
          </w:tcPr>
          <w:p w14:paraId="50A98440" w14:textId="77777777" w:rsidR="008A4A13" w:rsidRPr="00935CE1" w:rsidRDefault="008A4A13" w:rsidP="00F274C6">
            <w:pPr>
              <w:pStyle w:val="Tabletext"/>
              <w:rPr>
                <w:iCs/>
              </w:rPr>
            </w:pPr>
            <w:r w:rsidRPr="00935CE1">
              <w:rPr>
                <w:iCs/>
              </w:rPr>
              <w:t>$</w:t>
            </w:r>
            <w:r w:rsidRPr="00700CE7">
              <w:rPr>
                <w:iCs/>
              </w:rPr>
              <w:t>188,382.77</w:t>
            </w:r>
          </w:p>
        </w:tc>
        <w:tc>
          <w:tcPr>
            <w:tcW w:w="878" w:type="pct"/>
          </w:tcPr>
          <w:p w14:paraId="1243591B" w14:textId="32CD5D12" w:rsidR="008A4A13" w:rsidRPr="00935CE1" w:rsidRDefault="008A4A13" w:rsidP="00F274C6">
            <w:pPr>
              <w:pStyle w:val="Tabletext"/>
              <w:rPr>
                <w:iCs/>
              </w:rPr>
            </w:pPr>
            <w:r w:rsidRPr="00935CE1">
              <w:rPr>
                <w:iCs/>
              </w:rPr>
              <w:t>$</w:t>
            </w:r>
            <w:r w:rsidR="00BD6E95" w:rsidRPr="00BD6E95">
              <w:rPr>
                <w:iCs/>
                <w:color w:val="000000"/>
                <w:spacing w:val="53"/>
                <w:shd w:val="solid" w:color="000000" w:fill="000000"/>
                <w:fitText w:val="330" w:id="-632053760"/>
                <w14:textFill>
                  <w14:solidFill>
                    <w14:srgbClr w14:val="000000">
                      <w14:alpha w14:val="100000"/>
                    </w14:srgbClr>
                  </w14:solidFill>
                </w14:textFill>
              </w:rPr>
              <w:t>|||</w:t>
            </w:r>
            <w:r w:rsidR="00BD6E95" w:rsidRPr="00BD6E95">
              <w:rPr>
                <w:iCs/>
                <w:color w:val="000000"/>
                <w:spacing w:val="1"/>
                <w:shd w:val="solid" w:color="000000" w:fill="000000"/>
                <w:fitText w:val="330" w:id="-632053760"/>
                <w14:textFill>
                  <w14:solidFill>
                    <w14:srgbClr w14:val="000000">
                      <w14:alpha w14:val="100000"/>
                    </w14:srgbClr>
                  </w14:solidFill>
                </w14:textFill>
              </w:rPr>
              <w:t>|</w:t>
            </w:r>
          </w:p>
        </w:tc>
        <w:tc>
          <w:tcPr>
            <w:tcW w:w="877" w:type="pct"/>
          </w:tcPr>
          <w:p w14:paraId="3CBE09B8" w14:textId="36D2B95C" w:rsidR="008A4A13" w:rsidRPr="00D25733" w:rsidRDefault="008A4A13" w:rsidP="00F274C6">
            <w:pPr>
              <w:pStyle w:val="Tabletext"/>
              <w:rPr>
                <w:iCs/>
              </w:rPr>
            </w:pPr>
            <w:r w:rsidRPr="00D25733">
              <w:rPr>
                <w:iCs/>
              </w:rPr>
              <w:t>$275,431.00</w:t>
            </w:r>
          </w:p>
        </w:tc>
        <w:tc>
          <w:tcPr>
            <w:tcW w:w="790" w:type="pct"/>
          </w:tcPr>
          <w:p w14:paraId="6187B86D" w14:textId="77777777" w:rsidR="008A4A13" w:rsidRPr="00D25733" w:rsidRDefault="008A4A13" w:rsidP="00F274C6">
            <w:pPr>
              <w:pStyle w:val="Tabletext"/>
              <w:rPr>
                <w:iCs/>
              </w:rPr>
            </w:pPr>
            <w:r w:rsidRPr="00D25733">
              <w:rPr>
                <w:iCs/>
              </w:rPr>
              <w:t>$</w:t>
            </w:r>
            <w:r w:rsidRPr="00F970DB">
              <w:rPr>
                <w:iCs/>
              </w:rPr>
              <w:t>221,086.86</w:t>
            </w:r>
          </w:p>
        </w:tc>
      </w:tr>
      <w:tr w:rsidR="008A4A13" w:rsidRPr="00935CE1" w14:paraId="7BE98CEA" w14:textId="77777777" w:rsidTr="00F86280">
        <w:trPr>
          <w:trHeight w:val="20"/>
        </w:trPr>
        <w:tc>
          <w:tcPr>
            <w:tcW w:w="3333" w:type="pct"/>
            <w:gridSpan w:val="3"/>
            <w:vAlign w:val="center"/>
          </w:tcPr>
          <w:p w14:paraId="10B59E45" w14:textId="77777777" w:rsidR="008A4A13" w:rsidRPr="00935CE1" w:rsidRDefault="008A4A13" w:rsidP="008A4A13">
            <w:pPr>
              <w:pStyle w:val="Tabletext"/>
              <w:rPr>
                <w:iCs/>
              </w:rPr>
            </w:pPr>
            <w:r w:rsidRPr="00935CE1">
              <w:rPr>
                <w:b/>
                <w:bCs/>
                <w:iCs/>
              </w:rPr>
              <w:t xml:space="preserve">Difference in drug cost per course </w:t>
            </w:r>
            <w:r w:rsidRPr="00935CE1">
              <w:rPr>
                <w:b/>
                <w:iCs/>
              </w:rPr>
              <w:t>(Glofit-GemOx vs epcoritamab)</w:t>
            </w:r>
          </w:p>
        </w:tc>
        <w:tc>
          <w:tcPr>
            <w:tcW w:w="877" w:type="pct"/>
          </w:tcPr>
          <w:p w14:paraId="22857EC8" w14:textId="1B0DD200" w:rsidR="008A4A13" w:rsidRPr="00935CE1" w:rsidRDefault="008A4A13" w:rsidP="00F274C6">
            <w:pPr>
              <w:pStyle w:val="Tabletext"/>
              <w:rPr>
                <w:b/>
                <w:bCs/>
                <w:iCs/>
              </w:rPr>
            </w:pPr>
            <w:r w:rsidRPr="00935CE1">
              <w:rPr>
                <w:b/>
                <w:bCs/>
                <w:iCs/>
              </w:rPr>
              <w:t>-$</w:t>
            </w:r>
            <w:r w:rsidR="00BD6E95" w:rsidRPr="00BD6E95">
              <w:rPr>
                <w:b/>
                <w:bCs/>
                <w:iCs/>
                <w:color w:val="000000"/>
                <w:spacing w:val="56"/>
                <w:shd w:val="solid" w:color="000000" w:fill="000000"/>
                <w:fitText w:val="354" w:id="-632053759"/>
                <w14:textFill>
                  <w14:solidFill>
                    <w14:srgbClr w14:val="000000">
                      <w14:alpha w14:val="100000"/>
                    </w14:srgbClr>
                  </w14:solidFill>
                </w14:textFill>
              </w:rPr>
              <w:t>|||</w:t>
            </w:r>
            <w:r w:rsidR="00BD6E95" w:rsidRPr="00BD6E95">
              <w:rPr>
                <w:b/>
                <w:bCs/>
                <w:iCs/>
                <w:color w:val="000000"/>
                <w:spacing w:val="3"/>
                <w:shd w:val="solid" w:color="000000" w:fill="000000"/>
                <w:fitText w:val="354" w:id="-632053759"/>
                <w14:textFill>
                  <w14:solidFill>
                    <w14:srgbClr w14:val="000000">
                      <w14:alpha w14:val="100000"/>
                    </w14:srgbClr>
                  </w14:solidFill>
                </w14:textFill>
              </w:rPr>
              <w:t>|</w:t>
            </w:r>
            <w:r w:rsidRPr="00935CE1">
              <w:rPr>
                <w:b/>
                <w:bCs/>
                <w:iCs/>
              </w:rPr>
              <w:t xml:space="preserve"> </w:t>
            </w:r>
            <w:r w:rsidRPr="00935CE1">
              <w:rPr>
                <w:b/>
                <w:bCs/>
                <w:iCs/>
              </w:rPr>
              <w:br/>
              <w:t>(-</w:t>
            </w:r>
            <w:r w:rsidR="00BD6E95" w:rsidRPr="00BD6E95">
              <w:rPr>
                <w:b/>
                <w:bCs/>
                <w:iCs/>
                <w:color w:val="000000"/>
                <w:spacing w:val="56"/>
                <w:shd w:val="solid" w:color="000000" w:fill="000000"/>
                <w:fitText w:val="354" w:id="-632053758"/>
                <w14:textFill>
                  <w14:solidFill>
                    <w14:srgbClr w14:val="000000">
                      <w14:alpha w14:val="100000"/>
                    </w14:srgbClr>
                  </w14:solidFill>
                </w14:textFill>
              </w:rPr>
              <w:t>|||</w:t>
            </w:r>
            <w:r w:rsidR="00BD6E95" w:rsidRPr="00BD6E95">
              <w:rPr>
                <w:b/>
                <w:bCs/>
                <w:iCs/>
                <w:color w:val="000000"/>
                <w:spacing w:val="3"/>
                <w:shd w:val="solid" w:color="000000" w:fill="000000"/>
                <w:fitText w:val="354" w:id="-632053758"/>
                <w14:textFill>
                  <w14:solidFill>
                    <w14:srgbClr w14:val="000000">
                      <w14:alpha w14:val="100000"/>
                    </w14:srgbClr>
                  </w14:solidFill>
                </w14:textFill>
              </w:rPr>
              <w:t>|</w:t>
            </w:r>
            <w:r w:rsidRPr="00935CE1">
              <w:rPr>
                <w:b/>
                <w:bCs/>
                <w:iCs/>
              </w:rPr>
              <w:t>%)</w:t>
            </w:r>
          </w:p>
        </w:tc>
        <w:tc>
          <w:tcPr>
            <w:tcW w:w="790" w:type="pct"/>
          </w:tcPr>
          <w:p w14:paraId="765D7D98" w14:textId="16CAB101" w:rsidR="008A4A13" w:rsidRPr="00935CE1" w:rsidRDefault="008A4A13" w:rsidP="00F274C6">
            <w:pPr>
              <w:pStyle w:val="Tabletext"/>
              <w:rPr>
                <w:b/>
                <w:bCs/>
                <w:iCs/>
              </w:rPr>
            </w:pPr>
            <w:r w:rsidRPr="00935CE1">
              <w:rPr>
                <w:b/>
                <w:bCs/>
                <w:iCs/>
              </w:rPr>
              <w:t>-$</w:t>
            </w:r>
            <w:r w:rsidR="00BD6E95" w:rsidRPr="00BD6E95">
              <w:rPr>
                <w:b/>
                <w:bCs/>
                <w:iCs/>
                <w:color w:val="000000"/>
                <w:spacing w:val="56"/>
                <w:shd w:val="solid" w:color="000000" w:fill="000000"/>
                <w:fitText w:val="354" w:id="-632053757"/>
                <w14:textFill>
                  <w14:solidFill>
                    <w14:srgbClr w14:val="000000">
                      <w14:alpha w14:val="100000"/>
                    </w14:srgbClr>
                  </w14:solidFill>
                </w14:textFill>
              </w:rPr>
              <w:t>|||</w:t>
            </w:r>
            <w:r w:rsidR="00BD6E95" w:rsidRPr="00BD6E95">
              <w:rPr>
                <w:b/>
                <w:bCs/>
                <w:iCs/>
                <w:color w:val="000000"/>
                <w:spacing w:val="3"/>
                <w:shd w:val="solid" w:color="000000" w:fill="000000"/>
                <w:fitText w:val="354" w:id="-632053757"/>
                <w14:textFill>
                  <w14:solidFill>
                    <w14:srgbClr w14:val="000000">
                      <w14:alpha w14:val="100000"/>
                    </w14:srgbClr>
                  </w14:solidFill>
                </w14:textFill>
              </w:rPr>
              <w:t>|</w:t>
            </w:r>
            <w:r w:rsidRPr="00935CE1">
              <w:rPr>
                <w:b/>
                <w:bCs/>
                <w:iCs/>
              </w:rPr>
              <w:t xml:space="preserve"> </w:t>
            </w:r>
            <w:r w:rsidRPr="00935CE1">
              <w:rPr>
                <w:b/>
                <w:bCs/>
                <w:iCs/>
              </w:rPr>
              <w:br/>
              <w:t>(-</w:t>
            </w:r>
            <w:r w:rsidR="00BD6E95" w:rsidRPr="00BD6E95">
              <w:rPr>
                <w:b/>
                <w:bCs/>
                <w:iCs/>
                <w:color w:val="000000"/>
                <w:spacing w:val="56"/>
                <w:shd w:val="solid" w:color="000000" w:fill="000000"/>
                <w:fitText w:val="354" w:id="-632053756"/>
                <w14:textFill>
                  <w14:solidFill>
                    <w14:srgbClr w14:val="000000">
                      <w14:alpha w14:val="100000"/>
                    </w14:srgbClr>
                  </w14:solidFill>
                </w14:textFill>
              </w:rPr>
              <w:t>|||</w:t>
            </w:r>
            <w:r w:rsidR="00BD6E95" w:rsidRPr="00BD6E95">
              <w:rPr>
                <w:b/>
                <w:bCs/>
                <w:iCs/>
                <w:color w:val="000000"/>
                <w:spacing w:val="3"/>
                <w:shd w:val="solid" w:color="000000" w:fill="000000"/>
                <w:fitText w:val="354" w:id="-632053756"/>
                <w14:textFill>
                  <w14:solidFill>
                    <w14:srgbClr w14:val="000000">
                      <w14:alpha w14:val="100000"/>
                    </w14:srgbClr>
                  </w14:solidFill>
                </w14:textFill>
              </w:rPr>
              <w:t>|</w:t>
            </w:r>
            <w:r w:rsidRPr="00935CE1">
              <w:rPr>
                <w:b/>
                <w:bCs/>
                <w:iCs/>
              </w:rPr>
              <w:t>%)</w:t>
            </w:r>
          </w:p>
        </w:tc>
      </w:tr>
    </w:tbl>
    <w:p w14:paraId="0DCE9557" w14:textId="5F78F4B3" w:rsidR="004A5864" w:rsidRPr="00935CE1" w:rsidRDefault="004A5864" w:rsidP="004A5864">
      <w:pPr>
        <w:pStyle w:val="TableFigureFooter"/>
        <w:rPr>
          <w:iCs/>
        </w:rPr>
      </w:pPr>
      <w:r w:rsidRPr="00935CE1">
        <w:rPr>
          <w:iCs/>
        </w:rPr>
        <w:t xml:space="preserve">Source: </w:t>
      </w:r>
      <w:r w:rsidR="0033732D" w:rsidRPr="00935CE1">
        <w:rPr>
          <w:iCs/>
        </w:rPr>
        <w:t>Table 2.7, p19 pf Supp Appendix and c</w:t>
      </w:r>
      <w:r w:rsidRPr="00935CE1">
        <w:rPr>
          <w:iCs/>
        </w:rPr>
        <w:t>ompiled during the evaluation.</w:t>
      </w:r>
    </w:p>
    <w:p w14:paraId="4943DE75" w14:textId="17436B44" w:rsidR="004A5864" w:rsidRPr="00935CE1" w:rsidRDefault="004A5864" w:rsidP="004A5864">
      <w:pPr>
        <w:pStyle w:val="TableFigureFooter"/>
        <w:rPr>
          <w:iCs/>
        </w:rPr>
      </w:pPr>
      <w:r w:rsidRPr="00935CE1">
        <w:rPr>
          <w:iCs/>
        </w:rPr>
        <w:t>Glofit-GemOx=glofitamab + gemcitabine + oxaliplati</w:t>
      </w:r>
      <w:r w:rsidR="00D31082" w:rsidRPr="00935CE1">
        <w:rPr>
          <w:iCs/>
        </w:rPr>
        <w:t>n</w:t>
      </w:r>
      <w:r w:rsidRPr="00935CE1">
        <w:rPr>
          <w:iCs/>
        </w:rPr>
        <w:t>.</w:t>
      </w:r>
    </w:p>
    <w:p w14:paraId="467BEB4E" w14:textId="0F8CC187" w:rsidR="00EE0DDE" w:rsidRPr="00935CE1" w:rsidRDefault="00EE0DDE" w:rsidP="004A5864">
      <w:pPr>
        <w:pStyle w:val="TableFigureFooter"/>
        <w:rPr>
          <w:iCs/>
        </w:rPr>
      </w:pPr>
      <w:proofErr w:type="spellStart"/>
      <w:r w:rsidRPr="00935CE1">
        <w:rPr>
          <w:iCs/>
          <w:vertAlign w:val="superscript"/>
        </w:rPr>
        <w:t>a</w:t>
      </w:r>
      <w:proofErr w:type="spellEnd"/>
      <w:r w:rsidRPr="00935CE1">
        <w:rPr>
          <w:iCs/>
        </w:rPr>
        <w:t xml:space="preserve"> The submission </w:t>
      </w:r>
      <w:r w:rsidR="00D31082" w:rsidRPr="00935CE1">
        <w:rPr>
          <w:iCs/>
        </w:rPr>
        <w:t xml:space="preserve">i) </w:t>
      </w:r>
      <w:r w:rsidRPr="00935CE1">
        <w:rPr>
          <w:iCs/>
        </w:rPr>
        <w:t>derived the published prices</w:t>
      </w:r>
      <w:r w:rsidR="00D31082" w:rsidRPr="00935CE1">
        <w:rPr>
          <w:iCs/>
        </w:rPr>
        <w:t xml:space="preserve"> (DPMQs)</w:t>
      </w:r>
      <w:r w:rsidRPr="00935CE1">
        <w:rPr>
          <w:iCs/>
        </w:rPr>
        <w:t xml:space="preserve"> from the epcoritamab PSD (para</w:t>
      </w:r>
      <w:r w:rsidR="00CC5E5E" w:rsidRPr="00935CE1">
        <w:rPr>
          <w:iCs/>
        </w:rPr>
        <w:t>graph</w:t>
      </w:r>
      <w:r w:rsidRPr="00935CE1">
        <w:rPr>
          <w:iCs/>
        </w:rPr>
        <w:t xml:space="preserve"> 3.1, epcoritamab PSD, November 2024</w:t>
      </w:r>
      <w:r w:rsidR="008E52E6" w:rsidRPr="00935CE1">
        <w:rPr>
          <w:iCs/>
        </w:rPr>
        <w:t xml:space="preserve"> PBAC meeting</w:t>
      </w:r>
      <w:r w:rsidRPr="00935CE1">
        <w:rPr>
          <w:iCs/>
        </w:rPr>
        <w:t xml:space="preserve">), </w:t>
      </w:r>
      <w:r w:rsidR="00D31082" w:rsidRPr="00935CE1">
        <w:rPr>
          <w:iCs/>
        </w:rPr>
        <w:t xml:space="preserve">ii) estimated the published AEMPs, </w:t>
      </w:r>
      <w:r w:rsidRPr="00935CE1">
        <w:rPr>
          <w:iCs/>
        </w:rPr>
        <w:t xml:space="preserve">and </w:t>
      </w:r>
      <w:r w:rsidR="00D31082" w:rsidRPr="00935CE1">
        <w:rPr>
          <w:iCs/>
        </w:rPr>
        <w:t xml:space="preserve">iii) </w:t>
      </w:r>
      <w:r w:rsidRPr="0036497E">
        <w:rPr>
          <w:iCs/>
        </w:rPr>
        <w:t>assumed a 20% SPA to estimate the effective price.</w:t>
      </w:r>
      <w:r w:rsidR="00D31082" w:rsidRPr="0036497E">
        <w:rPr>
          <w:iCs/>
        </w:rPr>
        <w:t xml:space="preserve"> The estimated published AEMPs were $769.23 and $9,230.77 for 4mg and 48mg vials, respectively. The estimated effective AEMPs were $615.38 and $7,384.62 for 4mg and 48mg vials, respectively.</w:t>
      </w:r>
    </w:p>
    <w:p w14:paraId="10C98979" w14:textId="423EC9DA" w:rsidR="00B0173E" w:rsidRPr="00935CE1" w:rsidRDefault="00B0173E" w:rsidP="00154042">
      <w:pPr>
        <w:numPr>
          <w:ilvl w:val="1"/>
          <w:numId w:val="1"/>
        </w:numPr>
        <w:spacing w:before="60" w:after="60"/>
        <w:rPr>
          <w:rFonts w:asciiTheme="minorHAnsi" w:hAnsiTheme="minorHAnsi"/>
          <w:iCs/>
          <w:snapToGrid w:val="0"/>
        </w:rPr>
      </w:pPr>
      <w:r w:rsidRPr="00935CE1">
        <w:rPr>
          <w:rFonts w:asciiTheme="minorHAnsi" w:hAnsiTheme="minorHAnsi"/>
          <w:iCs/>
          <w:snapToGrid w:val="0"/>
        </w:rPr>
        <w:t xml:space="preserve">The cost analysis presented in the submission inappropriately excluded several relevant costs, including </w:t>
      </w:r>
      <w:r w:rsidR="008C0556" w:rsidRPr="00935CE1">
        <w:rPr>
          <w:rFonts w:asciiTheme="minorHAnsi" w:hAnsiTheme="minorHAnsi"/>
          <w:iCs/>
          <w:snapToGrid w:val="0"/>
        </w:rPr>
        <w:t>pre-treatment</w:t>
      </w:r>
      <w:r w:rsidRPr="00935CE1">
        <w:rPr>
          <w:rFonts w:asciiTheme="minorHAnsi" w:hAnsiTheme="minorHAnsi"/>
          <w:iCs/>
          <w:snapToGrid w:val="0"/>
        </w:rPr>
        <w:t xml:space="preserve"> costs for obinutuzumab recommended in the Glofit-GemOx treatment regimen, other pre-medications costs for both treatments (i.e., methylprednisolone, acetaminophen/paracetamol, and diphenhydramine), as well as costs related to the administration of antineoplastic agents and patient monitoring. </w:t>
      </w:r>
      <w:r w:rsidR="00A723E9" w:rsidRPr="00935CE1">
        <w:rPr>
          <w:rFonts w:asciiTheme="minorHAnsi" w:hAnsiTheme="minorHAnsi"/>
          <w:iCs/>
          <w:snapToGrid w:val="0"/>
        </w:rPr>
        <w:t xml:space="preserve">However, accounting for these additional costs may not have a considerable impact on the results, given </w:t>
      </w:r>
      <w:r w:rsidR="007E6C9D" w:rsidRPr="00935CE1">
        <w:rPr>
          <w:rFonts w:asciiTheme="minorHAnsi" w:hAnsiTheme="minorHAnsi"/>
          <w:iCs/>
          <w:snapToGrid w:val="0"/>
        </w:rPr>
        <w:t xml:space="preserve">that </w:t>
      </w:r>
      <w:r w:rsidR="00A723E9" w:rsidRPr="00935CE1">
        <w:rPr>
          <w:rFonts w:asciiTheme="minorHAnsi" w:hAnsiTheme="minorHAnsi"/>
          <w:iCs/>
          <w:snapToGrid w:val="0"/>
        </w:rPr>
        <w:t xml:space="preserve">the additional cost of </w:t>
      </w:r>
      <w:r w:rsidR="008C0556" w:rsidRPr="00935CE1">
        <w:rPr>
          <w:rFonts w:asciiTheme="minorHAnsi" w:hAnsiTheme="minorHAnsi"/>
          <w:iCs/>
          <w:snapToGrid w:val="0"/>
        </w:rPr>
        <w:t>pre-treatment</w:t>
      </w:r>
      <w:r w:rsidR="00A723E9" w:rsidRPr="00935CE1">
        <w:rPr>
          <w:rFonts w:asciiTheme="minorHAnsi" w:hAnsiTheme="minorHAnsi"/>
          <w:iCs/>
          <w:snapToGrid w:val="0"/>
        </w:rPr>
        <w:t xml:space="preserve"> with obinutuzumab would be offset (at least partially) by lower administration costs (14 administrations with Glofit-GemOx versus 31 with epcoritamab)</w:t>
      </w:r>
      <w:r w:rsidR="007E6C9D" w:rsidRPr="00935CE1">
        <w:rPr>
          <w:rFonts w:asciiTheme="minorHAnsi" w:hAnsiTheme="minorHAnsi"/>
          <w:iCs/>
          <w:snapToGrid w:val="0"/>
        </w:rPr>
        <w:t>,</w:t>
      </w:r>
      <w:r w:rsidR="00A723E9" w:rsidRPr="00935CE1">
        <w:rPr>
          <w:rFonts w:asciiTheme="minorHAnsi" w:hAnsiTheme="minorHAnsi"/>
          <w:iCs/>
          <w:snapToGrid w:val="0"/>
        </w:rPr>
        <w:t xml:space="preserve"> and other premedication costs are relatively </w:t>
      </w:r>
      <w:r w:rsidR="001A27CF" w:rsidRPr="00935CE1">
        <w:rPr>
          <w:rFonts w:asciiTheme="minorHAnsi" w:hAnsiTheme="minorHAnsi"/>
          <w:iCs/>
          <w:snapToGrid w:val="0"/>
        </w:rPr>
        <w:t>inexpensive</w:t>
      </w:r>
      <w:r w:rsidR="00A723E9" w:rsidRPr="00935CE1">
        <w:rPr>
          <w:rFonts w:asciiTheme="minorHAnsi" w:hAnsiTheme="minorHAnsi"/>
          <w:iCs/>
          <w:snapToGrid w:val="0"/>
        </w:rPr>
        <w:t>.</w:t>
      </w:r>
    </w:p>
    <w:p w14:paraId="4866B6AC" w14:textId="5798D02B" w:rsidR="002A0BBB" w:rsidRPr="005B024E" w:rsidRDefault="002A0BBB" w:rsidP="002A0BBB">
      <w:pPr>
        <w:pStyle w:val="4-SubsectionHeading"/>
      </w:pPr>
      <w:bookmarkStart w:id="94" w:name="_Toc198716603"/>
      <w:r>
        <w:t>Glofit-GemOx</w:t>
      </w:r>
      <w:r w:rsidRPr="005B024E">
        <w:t xml:space="preserve"> cost/patient/</w:t>
      </w:r>
      <w:bookmarkEnd w:id="85"/>
      <w:r w:rsidRPr="005B024E">
        <w:t>course</w:t>
      </w:r>
      <w:bookmarkEnd w:id="86"/>
      <w:bookmarkEnd w:id="87"/>
      <w:bookmarkEnd w:id="94"/>
    </w:p>
    <w:p w14:paraId="0B66FF58" w14:textId="269FA0F3" w:rsidR="00DF2F4F" w:rsidRPr="00154042" w:rsidRDefault="00DF2F4F" w:rsidP="00154042">
      <w:pPr>
        <w:numPr>
          <w:ilvl w:val="1"/>
          <w:numId w:val="1"/>
        </w:numPr>
        <w:spacing w:before="60" w:after="60"/>
        <w:rPr>
          <w:rFonts w:asciiTheme="minorHAnsi" w:hAnsiTheme="minorHAnsi"/>
          <w:iCs/>
          <w:snapToGrid w:val="0"/>
        </w:rPr>
      </w:pPr>
      <w:bookmarkStart w:id="95" w:name="_Ref198048373"/>
      <w:bookmarkStart w:id="96" w:name="_Ref104805102"/>
      <w:r w:rsidRPr="00154042">
        <w:rPr>
          <w:rFonts w:asciiTheme="minorHAnsi" w:hAnsiTheme="minorHAnsi"/>
          <w:iCs/>
          <w:snapToGrid w:val="0"/>
        </w:rPr>
        <w:t>The recommended dose of glofitamab is 2.5 mg (1x 2.5 mg vial) on Day 8 in Treatment Cycle 1, 10 mg (1x 10 mg vial) on Day 15 in Treatment Cycle 1, and 30 mg (3x 10 mg vials) on Day 1 in Treatment Cycles 2 to 12. Based on the proposed effective EMP of glofitamab, the average cost per administration is shown in</w:t>
      </w:r>
      <w:r w:rsidR="00905857">
        <w:rPr>
          <w:rFonts w:asciiTheme="minorHAnsi" w:hAnsiTheme="minorHAnsi"/>
          <w:iCs/>
          <w:snapToGrid w:val="0"/>
        </w:rPr>
        <w:t xml:space="preserve"> </w:t>
      </w:r>
      <w:r w:rsidR="00905857">
        <w:rPr>
          <w:rFonts w:asciiTheme="minorHAnsi" w:hAnsiTheme="minorHAnsi"/>
          <w:iCs/>
          <w:snapToGrid w:val="0"/>
        </w:rPr>
        <w:fldChar w:fldCharType="begin" w:fldLock="1"/>
      </w:r>
      <w:r w:rsidR="00905857">
        <w:rPr>
          <w:rFonts w:asciiTheme="minorHAnsi" w:hAnsiTheme="minorHAnsi"/>
          <w:iCs/>
          <w:snapToGrid w:val="0"/>
        </w:rPr>
        <w:instrText xml:space="preserve"> REF _Ref201137090 \h </w:instrText>
      </w:r>
      <w:r w:rsidR="00905857">
        <w:rPr>
          <w:rFonts w:asciiTheme="minorHAnsi" w:hAnsiTheme="minorHAnsi"/>
          <w:iCs/>
          <w:snapToGrid w:val="0"/>
        </w:rPr>
      </w:r>
      <w:r w:rsidR="00905857">
        <w:rPr>
          <w:rFonts w:asciiTheme="minorHAnsi" w:hAnsiTheme="minorHAnsi"/>
          <w:iCs/>
          <w:snapToGrid w:val="0"/>
        </w:rPr>
        <w:fldChar w:fldCharType="separate"/>
      </w:r>
      <w:r w:rsidR="003C21E7">
        <w:t xml:space="preserve">Table </w:t>
      </w:r>
      <w:r w:rsidR="003C21E7">
        <w:rPr>
          <w:noProof/>
        </w:rPr>
        <w:t>16</w:t>
      </w:r>
      <w:r w:rsidR="00905857">
        <w:rPr>
          <w:rFonts w:asciiTheme="minorHAnsi" w:hAnsiTheme="minorHAnsi"/>
          <w:iCs/>
          <w:snapToGrid w:val="0"/>
        </w:rPr>
        <w:fldChar w:fldCharType="end"/>
      </w:r>
      <w:r w:rsidRPr="00154042">
        <w:rPr>
          <w:rFonts w:asciiTheme="minorHAnsi" w:hAnsiTheme="minorHAnsi"/>
          <w:iCs/>
          <w:snapToGrid w:val="0"/>
        </w:rPr>
        <w:t>.</w:t>
      </w:r>
    </w:p>
    <w:p w14:paraId="52273B87" w14:textId="4E981A11" w:rsidR="00D865BC" w:rsidRDefault="00D865BC" w:rsidP="00D865BC">
      <w:pPr>
        <w:pStyle w:val="Caption"/>
      </w:pPr>
      <w:bookmarkStart w:id="97" w:name="_Ref201137090"/>
      <w:r>
        <w:t xml:space="preserve">Table </w:t>
      </w:r>
      <w:r w:rsidR="00F257F5">
        <w:fldChar w:fldCharType="begin" w:fldLock="1"/>
      </w:r>
      <w:r w:rsidR="00F257F5">
        <w:instrText xml:space="preserve"> SEQ Table \* ARABIC </w:instrText>
      </w:r>
      <w:r w:rsidR="00F257F5">
        <w:fldChar w:fldCharType="separate"/>
      </w:r>
      <w:r w:rsidR="003C21E7">
        <w:rPr>
          <w:noProof/>
        </w:rPr>
        <w:t>16</w:t>
      </w:r>
      <w:r w:rsidR="00F257F5">
        <w:rPr>
          <w:noProof/>
        </w:rPr>
        <w:fldChar w:fldCharType="end"/>
      </w:r>
      <w:bookmarkEnd w:id="95"/>
      <w:bookmarkEnd w:id="97"/>
      <w:r>
        <w:t xml:space="preserve">: Drug </w:t>
      </w:r>
      <w:r w:rsidR="0065721A">
        <w:t>acquisition</w:t>
      </w:r>
      <w:r>
        <w:t xml:space="preserve"> cost of glofitamab (at effective prices)</w:t>
      </w:r>
    </w:p>
    <w:tbl>
      <w:tblPr>
        <w:tblStyle w:val="TableGrid"/>
        <w:tblW w:w="5000" w:type="pct"/>
        <w:tblLook w:val="04A0" w:firstRow="1" w:lastRow="0" w:firstColumn="1" w:lastColumn="0" w:noHBand="0" w:noVBand="1"/>
        <w:tblCaption w:val="Table 16: Drug acquisition cost of glofitamab (at effective prices)"/>
      </w:tblPr>
      <w:tblGrid>
        <w:gridCol w:w="1980"/>
        <w:gridCol w:w="1405"/>
        <w:gridCol w:w="988"/>
        <w:gridCol w:w="1266"/>
        <w:gridCol w:w="1127"/>
        <w:gridCol w:w="1037"/>
        <w:gridCol w:w="1214"/>
      </w:tblGrid>
      <w:tr w:rsidR="00D865BC" w:rsidRPr="00D865BC" w14:paraId="78E011CD" w14:textId="66E97775" w:rsidTr="00D865BC">
        <w:tc>
          <w:tcPr>
            <w:tcW w:w="1098" w:type="pct"/>
          </w:tcPr>
          <w:p w14:paraId="4E282253" w14:textId="43E138E3" w:rsidR="00D865BC" w:rsidRPr="00D865BC" w:rsidRDefault="00FB1AA6" w:rsidP="00D865BC">
            <w:pPr>
              <w:pStyle w:val="TableText0"/>
              <w:rPr>
                <w:b/>
                <w:bCs w:val="0"/>
              </w:rPr>
            </w:pPr>
            <w:r>
              <w:rPr>
                <w:b/>
                <w:bCs w:val="0"/>
              </w:rPr>
              <w:t xml:space="preserve">Dose/ </w:t>
            </w:r>
            <w:r w:rsidR="00EA384C">
              <w:rPr>
                <w:b/>
                <w:bCs w:val="0"/>
              </w:rPr>
              <w:t>schedule</w:t>
            </w:r>
          </w:p>
        </w:tc>
        <w:tc>
          <w:tcPr>
            <w:tcW w:w="1327" w:type="pct"/>
            <w:gridSpan w:val="2"/>
          </w:tcPr>
          <w:p w14:paraId="3EDE7FF8" w14:textId="57F23AF8" w:rsidR="00D865BC" w:rsidRPr="00D865BC" w:rsidRDefault="00D865BC" w:rsidP="00D865BC">
            <w:pPr>
              <w:pStyle w:val="TableText0"/>
              <w:rPr>
                <w:b/>
                <w:bCs w:val="0"/>
              </w:rPr>
            </w:pPr>
            <w:r w:rsidRPr="00D865BC">
              <w:rPr>
                <w:b/>
                <w:bCs w:val="0"/>
              </w:rPr>
              <w:t>2.5 mg vial (Cycle 1 Day 8)</w:t>
            </w:r>
          </w:p>
        </w:tc>
        <w:tc>
          <w:tcPr>
            <w:tcW w:w="1327" w:type="pct"/>
            <w:gridSpan w:val="2"/>
          </w:tcPr>
          <w:p w14:paraId="595A9959" w14:textId="2B707509" w:rsidR="00D865BC" w:rsidRPr="00D865BC" w:rsidRDefault="00D865BC" w:rsidP="00D865BC">
            <w:pPr>
              <w:pStyle w:val="TableText0"/>
              <w:rPr>
                <w:b/>
                <w:bCs w:val="0"/>
              </w:rPr>
            </w:pPr>
            <w:r w:rsidRPr="00D865BC">
              <w:rPr>
                <w:b/>
                <w:bCs w:val="0"/>
              </w:rPr>
              <w:t>10 mg vial (Cycle 1 Day 15)</w:t>
            </w:r>
          </w:p>
        </w:tc>
        <w:tc>
          <w:tcPr>
            <w:tcW w:w="1248" w:type="pct"/>
            <w:gridSpan w:val="2"/>
          </w:tcPr>
          <w:p w14:paraId="2598A836" w14:textId="4131CFE7" w:rsidR="00D865BC" w:rsidRPr="00D865BC" w:rsidRDefault="00D865BC" w:rsidP="00D865BC">
            <w:pPr>
              <w:pStyle w:val="TableText0"/>
              <w:rPr>
                <w:b/>
                <w:bCs w:val="0"/>
              </w:rPr>
            </w:pPr>
            <w:r w:rsidRPr="00D865BC">
              <w:rPr>
                <w:b/>
                <w:bCs w:val="0"/>
              </w:rPr>
              <w:t>3 x 10 mg vial (Cycle 2</w:t>
            </w:r>
            <w:r>
              <w:rPr>
                <w:b/>
                <w:bCs w:val="0"/>
              </w:rPr>
              <w:t>-</w:t>
            </w:r>
            <w:r w:rsidRPr="00D865BC">
              <w:rPr>
                <w:b/>
                <w:bCs w:val="0"/>
              </w:rPr>
              <w:t>12)</w:t>
            </w:r>
          </w:p>
        </w:tc>
      </w:tr>
      <w:tr w:rsidR="00D865BC" w:rsidRPr="00D865BC" w14:paraId="0F380DC2" w14:textId="6C79D7E3" w:rsidTr="00D865BC">
        <w:tc>
          <w:tcPr>
            <w:tcW w:w="1098" w:type="pct"/>
          </w:tcPr>
          <w:p w14:paraId="4717D4F7" w14:textId="518AA669" w:rsidR="00D865BC" w:rsidRPr="00D865BC" w:rsidRDefault="00FB1AA6" w:rsidP="00D865BC">
            <w:pPr>
              <w:pStyle w:val="TableText0"/>
              <w:rPr>
                <w:b/>
                <w:bCs w:val="0"/>
              </w:rPr>
            </w:pPr>
            <w:r>
              <w:rPr>
                <w:b/>
                <w:bCs w:val="0"/>
              </w:rPr>
              <w:t>Hospital setting</w:t>
            </w:r>
          </w:p>
        </w:tc>
        <w:tc>
          <w:tcPr>
            <w:tcW w:w="779" w:type="pct"/>
          </w:tcPr>
          <w:p w14:paraId="6F3102E9" w14:textId="77777777" w:rsidR="00D865BC" w:rsidRPr="00D865BC" w:rsidRDefault="00D865BC" w:rsidP="00D865BC">
            <w:pPr>
              <w:pStyle w:val="TableText0"/>
              <w:rPr>
                <w:b/>
                <w:bCs w:val="0"/>
              </w:rPr>
            </w:pPr>
            <w:r w:rsidRPr="00D865BC">
              <w:rPr>
                <w:b/>
                <w:bCs w:val="0"/>
              </w:rPr>
              <w:t>Public</w:t>
            </w:r>
          </w:p>
        </w:tc>
        <w:tc>
          <w:tcPr>
            <w:tcW w:w="548" w:type="pct"/>
          </w:tcPr>
          <w:p w14:paraId="46499077" w14:textId="77777777" w:rsidR="00D865BC" w:rsidRPr="00D865BC" w:rsidRDefault="00D865BC" w:rsidP="00D865BC">
            <w:pPr>
              <w:pStyle w:val="TableText0"/>
              <w:rPr>
                <w:b/>
                <w:bCs w:val="0"/>
              </w:rPr>
            </w:pPr>
            <w:r w:rsidRPr="00D865BC">
              <w:rPr>
                <w:b/>
                <w:bCs w:val="0"/>
              </w:rPr>
              <w:t>Private</w:t>
            </w:r>
          </w:p>
        </w:tc>
        <w:tc>
          <w:tcPr>
            <w:tcW w:w="702" w:type="pct"/>
          </w:tcPr>
          <w:p w14:paraId="1DF3C85A" w14:textId="569281A6" w:rsidR="00D865BC" w:rsidRPr="00D865BC" w:rsidRDefault="00D865BC" w:rsidP="00D865BC">
            <w:pPr>
              <w:pStyle w:val="TableText0"/>
              <w:rPr>
                <w:b/>
                <w:bCs w:val="0"/>
              </w:rPr>
            </w:pPr>
            <w:r w:rsidRPr="00D865BC">
              <w:rPr>
                <w:b/>
                <w:bCs w:val="0"/>
              </w:rPr>
              <w:t>Public</w:t>
            </w:r>
          </w:p>
        </w:tc>
        <w:tc>
          <w:tcPr>
            <w:tcW w:w="625" w:type="pct"/>
          </w:tcPr>
          <w:p w14:paraId="0B631CEA" w14:textId="4D84B258" w:rsidR="00D865BC" w:rsidRPr="00D865BC" w:rsidRDefault="00D865BC" w:rsidP="00D865BC">
            <w:pPr>
              <w:pStyle w:val="TableText0"/>
              <w:rPr>
                <w:b/>
                <w:bCs w:val="0"/>
              </w:rPr>
            </w:pPr>
            <w:r w:rsidRPr="00D865BC">
              <w:rPr>
                <w:b/>
                <w:bCs w:val="0"/>
              </w:rPr>
              <w:t>Private</w:t>
            </w:r>
          </w:p>
        </w:tc>
        <w:tc>
          <w:tcPr>
            <w:tcW w:w="575" w:type="pct"/>
          </w:tcPr>
          <w:p w14:paraId="76F1DC4D" w14:textId="4944CD3E" w:rsidR="00D865BC" w:rsidRPr="00D865BC" w:rsidRDefault="00D865BC" w:rsidP="00D865BC">
            <w:pPr>
              <w:pStyle w:val="TableText0"/>
              <w:rPr>
                <w:b/>
                <w:bCs w:val="0"/>
              </w:rPr>
            </w:pPr>
            <w:r w:rsidRPr="00D865BC">
              <w:rPr>
                <w:b/>
                <w:bCs w:val="0"/>
              </w:rPr>
              <w:t>Public</w:t>
            </w:r>
          </w:p>
        </w:tc>
        <w:tc>
          <w:tcPr>
            <w:tcW w:w="673" w:type="pct"/>
          </w:tcPr>
          <w:p w14:paraId="195C091E" w14:textId="6F829CAF" w:rsidR="00D865BC" w:rsidRPr="00D865BC" w:rsidRDefault="00D865BC" w:rsidP="00D865BC">
            <w:pPr>
              <w:pStyle w:val="TableText0"/>
              <w:rPr>
                <w:b/>
                <w:bCs w:val="0"/>
              </w:rPr>
            </w:pPr>
            <w:r w:rsidRPr="00D865BC">
              <w:rPr>
                <w:b/>
                <w:bCs w:val="0"/>
              </w:rPr>
              <w:t>Private</w:t>
            </w:r>
          </w:p>
        </w:tc>
      </w:tr>
      <w:tr w:rsidR="00D865BC" w:rsidRPr="00D865BC" w14:paraId="4312FF7B" w14:textId="677AF8D6" w:rsidTr="00D865BC">
        <w:tc>
          <w:tcPr>
            <w:tcW w:w="1098" w:type="pct"/>
          </w:tcPr>
          <w:p w14:paraId="7BCEAEC4" w14:textId="77777777" w:rsidR="00D865BC" w:rsidRPr="00D865BC" w:rsidRDefault="00D865BC" w:rsidP="00D865BC">
            <w:pPr>
              <w:pStyle w:val="TableText0"/>
            </w:pPr>
            <w:r w:rsidRPr="00D865BC">
              <w:t>Proposed ex-manufacturer price</w:t>
            </w:r>
          </w:p>
        </w:tc>
        <w:tc>
          <w:tcPr>
            <w:tcW w:w="1327" w:type="pct"/>
            <w:gridSpan w:val="2"/>
          </w:tcPr>
          <w:p w14:paraId="6051F438" w14:textId="0048EC7E" w:rsidR="00D865BC" w:rsidRPr="00D865BC" w:rsidRDefault="00D865BC" w:rsidP="00D865BC">
            <w:pPr>
              <w:pStyle w:val="TableText0"/>
            </w:pPr>
            <w:r w:rsidRPr="00D865BC">
              <w:t>$</w:t>
            </w:r>
            <w:r w:rsidR="00BD6E95" w:rsidRPr="00BD6E95">
              <w:rPr>
                <w:color w:val="000000"/>
                <w:spacing w:val="53"/>
                <w:shd w:val="solid" w:color="000000" w:fill="000000"/>
                <w:fitText w:val="330" w:id="-632053755"/>
                <w14:textFill>
                  <w14:solidFill>
                    <w14:srgbClr w14:val="000000">
                      <w14:alpha w14:val="100000"/>
                    </w14:srgbClr>
                  </w14:solidFill>
                </w14:textFill>
              </w:rPr>
              <w:t>|||</w:t>
            </w:r>
            <w:r w:rsidR="00BD6E95" w:rsidRPr="00BD6E95">
              <w:rPr>
                <w:color w:val="000000"/>
                <w:spacing w:val="1"/>
                <w:shd w:val="solid" w:color="000000" w:fill="000000"/>
                <w:fitText w:val="330" w:id="-632053755"/>
                <w14:textFill>
                  <w14:solidFill>
                    <w14:srgbClr w14:val="000000">
                      <w14:alpha w14:val="100000"/>
                    </w14:srgbClr>
                  </w14:solidFill>
                </w14:textFill>
              </w:rPr>
              <w:t>|</w:t>
            </w:r>
          </w:p>
        </w:tc>
        <w:tc>
          <w:tcPr>
            <w:tcW w:w="1327" w:type="pct"/>
            <w:gridSpan w:val="2"/>
          </w:tcPr>
          <w:p w14:paraId="78F1AAF5" w14:textId="391B6B37" w:rsidR="00D865BC" w:rsidRPr="00D865BC" w:rsidRDefault="00D865BC" w:rsidP="00D865BC">
            <w:pPr>
              <w:pStyle w:val="TableText0"/>
            </w:pPr>
            <w:r w:rsidRPr="00D865BC">
              <w:t>$</w:t>
            </w:r>
            <w:r w:rsidR="00BD6E95" w:rsidRPr="00BD6E95">
              <w:rPr>
                <w:color w:val="000000"/>
                <w:spacing w:val="53"/>
                <w:shd w:val="solid" w:color="000000" w:fill="000000"/>
                <w:fitText w:val="330" w:id="-632053754"/>
                <w14:textFill>
                  <w14:solidFill>
                    <w14:srgbClr w14:val="000000">
                      <w14:alpha w14:val="100000"/>
                    </w14:srgbClr>
                  </w14:solidFill>
                </w14:textFill>
              </w:rPr>
              <w:t>|||</w:t>
            </w:r>
            <w:r w:rsidR="00BD6E95" w:rsidRPr="00BD6E95">
              <w:rPr>
                <w:color w:val="000000"/>
                <w:spacing w:val="1"/>
                <w:shd w:val="solid" w:color="000000" w:fill="000000"/>
                <w:fitText w:val="330" w:id="-632053754"/>
                <w14:textFill>
                  <w14:solidFill>
                    <w14:srgbClr w14:val="000000">
                      <w14:alpha w14:val="100000"/>
                    </w14:srgbClr>
                  </w14:solidFill>
                </w14:textFill>
              </w:rPr>
              <w:t>|</w:t>
            </w:r>
          </w:p>
        </w:tc>
        <w:tc>
          <w:tcPr>
            <w:tcW w:w="1248" w:type="pct"/>
            <w:gridSpan w:val="2"/>
          </w:tcPr>
          <w:p w14:paraId="73A91C61" w14:textId="05AEEF1F" w:rsidR="00D865BC" w:rsidRPr="00D865BC" w:rsidRDefault="00D865BC" w:rsidP="00D865BC">
            <w:pPr>
              <w:pStyle w:val="TableText0"/>
            </w:pPr>
            <w:r w:rsidRPr="00D865BC">
              <w:t>$</w:t>
            </w:r>
            <w:r w:rsidR="00BD6E95" w:rsidRPr="00BD6E95">
              <w:rPr>
                <w:color w:val="000000"/>
                <w:spacing w:val="53"/>
                <w:shd w:val="solid" w:color="000000" w:fill="000000"/>
                <w:fitText w:val="330" w:id="-632053753"/>
                <w14:textFill>
                  <w14:solidFill>
                    <w14:srgbClr w14:val="000000">
                      <w14:alpha w14:val="100000"/>
                    </w14:srgbClr>
                  </w14:solidFill>
                </w14:textFill>
              </w:rPr>
              <w:t>|||</w:t>
            </w:r>
            <w:r w:rsidR="00BD6E95" w:rsidRPr="00BD6E95">
              <w:rPr>
                <w:color w:val="000000"/>
                <w:spacing w:val="1"/>
                <w:shd w:val="solid" w:color="000000" w:fill="000000"/>
                <w:fitText w:val="330" w:id="-632053753"/>
                <w14:textFill>
                  <w14:solidFill>
                    <w14:srgbClr w14:val="000000">
                      <w14:alpha w14:val="100000"/>
                    </w14:srgbClr>
                  </w14:solidFill>
                </w14:textFill>
              </w:rPr>
              <w:t>|</w:t>
            </w:r>
          </w:p>
        </w:tc>
      </w:tr>
      <w:tr w:rsidR="00D865BC" w:rsidRPr="00D865BC" w14:paraId="038DCB3B" w14:textId="39B2B1FF" w:rsidTr="00D865BC">
        <w:tc>
          <w:tcPr>
            <w:tcW w:w="1098" w:type="pct"/>
          </w:tcPr>
          <w:p w14:paraId="4ADFE42E" w14:textId="248D3E07" w:rsidR="00D865BC" w:rsidRPr="00D865BC" w:rsidRDefault="00D865BC" w:rsidP="00D865BC">
            <w:pPr>
              <w:pStyle w:val="TableText0"/>
            </w:pPr>
            <w:r w:rsidRPr="00D865BC">
              <w:t>Fees and mark-ups</w:t>
            </w:r>
          </w:p>
        </w:tc>
        <w:tc>
          <w:tcPr>
            <w:tcW w:w="779" w:type="pct"/>
          </w:tcPr>
          <w:p w14:paraId="60C8D158" w14:textId="77777777" w:rsidR="00D865BC" w:rsidRPr="00F970DB" w:rsidRDefault="00D865BC" w:rsidP="00D865BC">
            <w:pPr>
              <w:pStyle w:val="TableText0"/>
            </w:pPr>
            <w:r w:rsidRPr="00F970DB">
              <w:t>$90.13</w:t>
            </w:r>
          </w:p>
        </w:tc>
        <w:tc>
          <w:tcPr>
            <w:tcW w:w="548" w:type="pct"/>
          </w:tcPr>
          <w:p w14:paraId="13140EF0" w14:textId="54AA5D97" w:rsidR="00D865BC" w:rsidRPr="00F970DB" w:rsidRDefault="00D865BC" w:rsidP="00D865BC">
            <w:pPr>
              <w:pStyle w:val="TableText0"/>
              <w:rPr>
                <w:vertAlign w:val="superscript"/>
              </w:rPr>
            </w:pPr>
            <w:r w:rsidRPr="00F970DB">
              <w:t>$149.55</w:t>
            </w:r>
          </w:p>
        </w:tc>
        <w:tc>
          <w:tcPr>
            <w:tcW w:w="702" w:type="pct"/>
          </w:tcPr>
          <w:p w14:paraId="769E6012" w14:textId="53AA82A3" w:rsidR="00D865BC" w:rsidRPr="00F970DB" w:rsidRDefault="00D865BC" w:rsidP="00D865BC">
            <w:pPr>
              <w:pStyle w:val="TableText0"/>
            </w:pPr>
            <w:r w:rsidRPr="00F970DB">
              <w:t>$90.13</w:t>
            </w:r>
          </w:p>
        </w:tc>
        <w:tc>
          <w:tcPr>
            <w:tcW w:w="625" w:type="pct"/>
          </w:tcPr>
          <w:p w14:paraId="14B3EAD0" w14:textId="1D4E01DE" w:rsidR="00D865BC" w:rsidRPr="00F970DB" w:rsidRDefault="00D865BC" w:rsidP="00D865BC">
            <w:pPr>
              <w:pStyle w:val="TableText0"/>
            </w:pPr>
            <w:r w:rsidRPr="00F970DB">
              <w:t>$193.78</w:t>
            </w:r>
          </w:p>
        </w:tc>
        <w:tc>
          <w:tcPr>
            <w:tcW w:w="575" w:type="pct"/>
          </w:tcPr>
          <w:p w14:paraId="4CD9CE37" w14:textId="5A56E384" w:rsidR="00D865BC" w:rsidRPr="00F970DB" w:rsidRDefault="00D865BC" w:rsidP="00D865BC">
            <w:pPr>
              <w:pStyle w:val="TableText0"/>
            </w:pPr>
            <w:r w:rsidRPr="00F970DB">
              <w:t>$90.13</w:t>
            </w:r>
          </w:p>
        </w:tc>
        <w:tc>
          <w:tcPr>
            <w:tcW w:w="673" w:type="pct"/>
          </w:tcPr>
          <w:p w14:paraId="176347C0" w14:textId="5263302B" w:rsidR="00D865BC" w:rsidRPr="00F970DB" w:rsidRDefault="00D865BC" w:rsidP="00D865BC">
            <w:pPr>
              <w:pStyle w:val="TableText0"/>
            </w:pPr>
            <w:r w:rsidRPr="00F970DB">
              <w:t>$311.74</w:t>
            </w:r>
            <w:r w:rsidRPr="00F970DB">
              <w:rPr>
                <w:vertAlign w:val="superscript"/>
              </w:rPr>
              <w:t>g</w:t>
            </w:r>
          </w:p>
        </w:tc>
      </w:tr>
      <w:tr w:rsidR="00D865BC" w:rsidRPr="00D865BC" w14:paraId="128D6F09" w14:textId="56C4487F" w:rsidTr="00D865BC">
        <w:tc>
          <w:tcPr>
            <w:tcW w:w="1098" w:type="pct"/>
          </w:tcPr>
          <w:p w14:paraId="71BA5931" w14:textId="77777777" w:rsidR="00D865BC" w:rsidRPr="00D865BC" w:rsidRDefault="00D865BC" w:rsidP="00D865BC">
            <w:pPr>
              <w:pStyle w:val="TableText0"/>
            </w:pPr>
            <w:r w:rsidRPr="00D865BC">
              <w:t>Dispensed price</w:t>
            </w:r>
          </w:p>
        </w:tc>
        <w:tc>
          <w:tcPr>
            <w:tcW w:w="779" w:type="pct"/>
          </w:tcPr>
          <w:p w14:paraId="106F5E43" w14:textId="41CC7B7D" w:rsidR="00D865BC" w:rsidRPr="00D865BC" w:rsidRDefault="00D865BC" w:rsidP="00D865BC">
            <w:pPr>
              <w:pStyle w:val="TableText0"/>
            </w:pPr>
            <w:r w:rsidRPr="00D865BC">
              <w:t>$</w:t>
            </w:r>
            <w:r w:rsidR="00BD6E95" w:rsidRPr="00BD6E95">
              <w:rPr>
                <w:color w:val="000000"/>
                <w:spacing w:val="53"/>
                <w:shd w:val="solid" w:color="000000" w:fill="000000"/>
                <w:fitText w:val="330" w:id="-632053752"/>
                <w14:textFill>
                  <w14:solidFill>
                    <w14:srgbClr w14:val="000000">
                      <w14:alpha w14:val="100000"/>
                    </w14:srgbClr>
                  </w14:solidFill>
                </w14:textFill>
              </w:rPr>
              <w:t>|||</w:t>
            </w:r>
            <w:r w:rsidR="00BD6E95" w:rsidRPr="00BD6E95">
              <w:rPr>
                <w:color w:val="000000"/>
                <w:spacing w:val="1"/>
                <w:shd w:val="solid" w:color="000000" w:fill="000000"/>
                <w:fitText w:val="330" w:id="-632053752"/>
                <w14:textFill>
                  <w14:solidFill>
                    <w14:srgbClr w14:val="000000">
                      <w14:alpha w14:val="100000"/>
                    </w14:srgbClr>
                  </w14:solidFill>
                </w14:textFill>
              </w:rPr>
              <w:t>|</w:t>
            </w:r>
          </w:p>
        </w:tc>
        <w:tc>
          <w:tcPr>
            <w:tcW w:w="548" w:type="pct"/>
          </w:tcPr>
          <w:p w14:paraId="1B7FD7FB" w14:textId="0371AD27" w:rsidR="00D865BC" w:rsidRPr="00D865BC" w:rsidRDefault="00D865BC" w:rsidP="00D865BC">
            <w:pPr>
              <w:pStyle w:val="TableText0"/>
            </w:pPr>
            <w:r w:rsidRPr="00D865BC">
              <w:t>$</w:t>
            </w:r>
            <w:r w:rsidR="00BD6E95" w:rsidRPr="00BD6E95">
              <w:rPr>
                <w:color w:val="000000"/>
                <w:spacing w:val="53"/>
                <w:shd w:val="solid" w:color="000000" w:fill="000000"/>
                <w:fitText w:val="330" w:id="-632053751"/>
                <w14:textFill>
                  <w14:solidFill>
                    <w14:srgbClr w14:val="000000">
                      <w14:alpha w14:val="100000"/>
                    </w14:srgbClr>
                  </w14:solidFill>
                </w14:textFill>
              </w:rPr>
              <w:t>|||</w:t>
            </w:r>
            <w:r w:rsidR="00BD6E95" w:rsidRPr="00BD6E95">
              <w:rPr>
                <w:color w:val="000000"/>
                <w:spacing w:val="1"/>
                <w:shd w:val="solid" w:color="000000" w:fill="000000"/>
                <w:fitText w:val="330" w:id="-632053751"/>
                <w14:textFill>
                  <w14:solidFill>
                    <w14:srgbClr w14:val="000000">
                      <w14:alpha w14:val="100000"/>
                    </w14:srgbClr>
                  </w14:solidFill>
                </w14:textFill>
              </w:rPr>
              <w:t>|</w:t>
            </w:r>
          </w:p>
        </w:tc>
        <w:tc>
          <w:tcPr>
            <w:tcW w:w="702" w:type="pct"/>
          </w:tcPr>
          <w:p w14:paraId="71CA88A1" w14:textId="7CDCAD9C" w:rsidR="00D865BC" w:rsidRPr="00D865BC" w:rsidRDefault="00D865BC" w:rsidP="00D865BC">
            <w:pPr>
              <w:pStyle w:val="TableText0"/>
            </w:pPr>
            <w:r w:rsidRPr="00D865BC">
              <w:t>$</w:t>
            </w:r>
            <w:r w:rsidR="00BD6E95" w:rsidRPr="00BD6E95">
              <w:rPr>
                <w:color w:val="000000"/>
                <w:spacing w:val="53"/>
                <w:shd w:val="solid" w:color="000000" w:fill="000000"/>
                <w:fitText w:val="330" w:id="-632053750"/>
                <w14:textFill>
                  <w14:solidFill>
                    <w14:srgbClr w14:val="000000">
                      <w14:alpha w14:val="100000"/>
                    </w14:srgbClr>
                  </w14:solidFill>
                </w14:textFill>
              </w:rPr>
              <w:t>|||</w:t>
            </w:r>
            <w:r w:rsidR="00BD6E95" w:rsidRPr="00BD6E95">
              <w:rPr>
                <w:color w:val="000000"/>
                <w:spacing w:val="1"/>
                <w:shd w:val="solid" w:color="000000" w:fill="000000"/>
                <w:fitText w:val="330" w:id="-632053750"/>
                <w14:textFill>
                  <w14:solidFill>
                    <w14:srgbClr w14:val="000000">
                      <w14:alpha w14:val="100000"/>
                    </w14:srgbClr>
                  </w14:solidFill>
                </w14:textFill>
              </w:rPr>
              <w:t>|</w:t>
            </w:r>
          </w:p>
        </w:tc>
        <w:tc>
          <w:tcPr>
            <w:tcW w:w="625" w:type="pct"/>
          </w:tcPr>
          <w:p w14:paraId="29566036" w14:textId="59C786A6" w:rsidR="00D865BC" w:rsidRPr="00D865BC" w:rsidRDefault="00D865BC" w:rsidP="00D865BC">
            <w:pPr>
              <w:pStyle w:val="TableText0"/>
            </w:pPr>
            <w:r w:rsidRPr="00D865BC">
              <w:t>$</w:t>
            </w:r>
            <w:r w:rsidR="00BD6E95" w:rsidRPr="00BD6E95">
              <w:rPr>
                <w:color w:val="000000"/>
                <w:spacing w:val="53"/>
                <w:shd w:val="solid" w:color="000000" w:fill="000000"/>
                <w:fitText w:val="330" w:id="-632053749"/>
                <w14:textFill>
                  <w14:solidFill>
                    <w14:srgbClr w14:val="000000">
                      <w14:alpha w14:val="100000"/>
                    </w14:srgbClr>
                  </w14:solidFill>
                </w14:textFill>
              </w:rPr>
              <w:t>|||</w:t>
            </w:r>
            <w:r w:rsidR="00BD6E95" w:rsidRPr="00BD6E95">
              <w:rPr>
                <w:color w:val="000000"/>
                <w:spacing w:val="1"/>
                <w:shd w:val="solid" w:color="000000" w:fill="000000"/>
                <w:fitText w:val="330" w:id="-632053749"/>
                <w14:textFill>
                  <w14:solidFill>
                    <w14:srgbClr w14:val="000000">
                      <w14:alpha w14:val="100000"/>
                    </w14:srgbClr>
                  </w14:solidFill>
                </w14:textFill>
              </w:rPr>
              <w:t>|</w:t>
            </w:r>
          </w:p>
        </w:tc>
        <w:tc>
          <w:tcPr>
            <w:tcW w:w="575" w:type="pct"/>
          </w:tcPr>
          <w:p w14:paraId="6A01FB54" w14:textId="2BEB0B60" w:rsidR="00D865BC" w:rsidRPr="00D865BC" w:rsidRDefault="00D865BC" w:rsidP="00D865BC">
            <w:pPr>
              <w:pStyle w:val="TableText0"/>
            </w:pPr>
            <w:r w:rsidRPr="00D865BC">
              <w:t>$</w:t>
            </w:r>
            <w:r w:rsidR="00BD6E95" w:rsidRPr="00BD6E95">
              <w:rPr>
                <w:color w:val="000000"/>
                <w:spacing w:val="53"/>
                <w:shd w:val="solid" w:color="000000" w:fill="000000"/>
                <w:fitText w:val="330" w:id="-632053748"/>
                <w14:textFill>
                  <w14:solidFill>
                    <w14:srgbClr w14:val="000000">
                      <w14:alpha w14:val="100000"/>
                    </w14:srgbClr>
                  </w14:solidFill>
                </w14:textFill>
              </w:rPr>
              <w:t>|||</w:t>
            </w:r>
            <w:r w:rsidR="00BD6E95" w:rsidRPr="00BD6E95">
              <w:rPr>
                <w:color w:val="000000"/>
                <w:spacing w:val="1"/>
                <w:shd w:val="solid" w:color="000000" w:fill="000000"/>
                <w:fitText w:val="330" w:id="-632053748"/>
                <w14:textFill>
                  <w14:solidFill>
                    <w14:srgbClr w14:val="000000">
                      <w14:alpha w14:val="100000"/>
                    </w14:srgbClr>
                  </w14:solidFill>
                </w14:textFill>
              </w:rPr>
              <w:t>|</w:t>
            </w:r>
          </w:p>
        </w:tc>
        <w:tc>
          <w:tcPr>
            <w:tcW w:w="673" w:type="pct"/>
          </w:tcPr>
          <w:p w14:paraId="431E0F5F" w14:textId="42A055BD" w:rsidR="00D865BC" w:rsidRPr="00D865BC" w:rsidRDefault="00D865BC" w:rsidP="00D865BC">
            <w:pPr>
              <w:pStyle w:val="TableText0"/>
            </w:pPr>
            <w:r w:rsidRPr="00D865BC">
              <w:t>$</w:t>
            </w:r>
            <w:r w:rsidR="00BD6E95" w:rsidRPr="00BD6E95">
              <w:rPr>
                <w:color w:val="000000"/>
                <w:spacing w:val="53"/>
                <w:shd w:val="solid" w:color="000000" w:fill="000000"/>
                <w:fitText w:val="330" w:id="-632053747"/>
                <w14:textFill>
                  <w14:solidFill>
                    <w14:srgbClr w14:val="000000">
                      <w14:alpha w14:val="100000"/>
                    </w14:srgbClr>
                  </w14:solidFill>
                </w14:textFill>
              </w:rPr>
              <w:t>|||</w:t>
            </w:r>
            <w:r w:rsidR="00BD6E95" w:rsidRPr="00BD6E95">
              <w:rPr>
                <w:color w:val="000000"/>
                <w:spacing w:val="1"/>
                <w:shd w:val="solid" w:color="000000" w:fill="000000"/>
                <w:fitText w:val="330" w:id="-632053747"/>
                <w14:textFill>
                  <w14:solidFill>
                    <w14:srgbClr w14:val="000000">
                      <w14:alpha w14:val="100000"/>
                    </w14:srgbClr>
                  </w14:solidFill>
                </w14:textFill>
              </w:rPr>
              <w:t>|</w:t>
            </w:r>
          </w:p>
        </w:tc>
      </w:tr>
      <w:tr w:rsidR="00D865BC" w:rsidRPr="00D865BC" w14:paraId="208EA2C7" w14:textId="7340842E" w:rsidTr="00D865BC">
        <w:tc>
          <w:tcPr>
            <w:tcW w:w="1098" w:type="pct"/>
          </w:tcPr>
          <w:p w14:paraId="56E95E3F" w14:textId="59914B1D" w:rsidR="00D865BC" w:rsidRPr="00D865BC" w:rsidRDefault="00D865BC" w:rsidP="00D865BC">
            <w:pPr>
              <w:pStyle w:val="TableText0"/>
            </w:pPr>
            <w:r w:rsidRPr="00D865BC">
              <w:t>Proportion supplied</w:t>
            </w:r>
          </w:p>
        </w:tc>
        <w:tc>
          <w:tcPr>
            <w:tcW w:w="779" w:type="pct"/>
          </w:tcPr>
          <w:p w14:paraId="78000E46" w14:textId="77777777" w:rsidR="00D865BC" w:rsidRPr="00D865BC" w:rsidRDefault="00D865BC" w:rsidP="00D865BC">
            <w:pPr>
              <w:pStyle w:val="TableText0"/>
            </w:pPr>
            <w:r w:rsidRPr="00D865BC">
              <w:t>33.91%</w:t>
            </w:r>
          </w:p>
        </w:tc>
        <w:tc>
          <w:tcPr>
            <w:tcW w:w="548" w:type="pct"/>
          </w:tcPr>
          <w:p w14:paraId="35307F41" w14:textId="77777777" w:rsidR="00D865BC" w:rsidRPr="00D865BC" w:rsidRDefault="00D865BC" w:rsidP="00D865BC">
            <w:pPr>
              <w:pStyle w:val="TableText0"/>
            </w:pPr>
            <w:r w:rsidRPr="00D865BC">
              <w:t>66.09%</w:t>
            </w:r>
          </w:p>
        </w:tc>
        <w:tc>
          <w:tcPr>
            <w:tcW w:w="702" w:type="pct"/>
          </w:tcPr>
          <w:p w14:paraId="4F976E38" w14:textId="6197C869" w:rsidR="00D865BC" w:rsidRPr="00D865BC" w:rsidRDefault="00D865BC" w:rsidP="00D865BC">
            <w:pPr>
              <w:pStyle w:val="TableText0"/>
            </w:pPr>
            <w:r w:rsidRPr="00D865BC">
              <w:t>33.91%</w:t>
            </w:r>
          </w:p>
        </w:tc>
        <w:tc>
          <w:tcPr>
            <w:tcW w:w="625" w:type="pct"/>
          </w:tcPr>
          <w:p w14:paraId="630C96E5" w14:textId="16F05A29" w:rsidR="00D865BC" w:rsidRPr="00D865BC" w:rsidRDefault="00D865BC" w:rsidP="00D865BC">
            <w:pPr>
              <w:pStyle w:val="TableText0"/>
            </w:pPr>
            <w:r w:rsidRPr="00D865BC">
              <w:t>66.09%</w:t>
            </w:r>
          </w:p>
        </w:tc>
        <w:tc>
          <w:tcPr>
            <w:tcW w:w="575" w:type="pct"/>
          </w:tcPr>
          <w:p w14:paraId="34926CAA" w14:textId="55CE0ED4" w:rsidR="00D865BC" w:rsidRPr="00D865BC" w:rsidRDefault="00D865BC" w:rsidP="00D865BC">
            <w:pPr>
              <w:pStyle w:val="TableText0"/>
            </w:pPr>
            <w:r w:rsidRPr="00D865BC">
              <w:t>33.91%</w:t>
            </w:r>
          </w:p>
        </w:tc>
        <w:tc>
          <w:tcPr>
            <w:tcW w:w="673" w:type="pct"/>
          </w:tcPr>
          <w:p w14:paraId="0D1BBC4B" w14:textId="5D1BB48E" w:rsidR="00D865BC" w:rsidRPr="00D865BC" w:rsidRDefault="00D865BC" w:rsidP="00D865BC">
            <w:pPr>
              <w:pStyle w:val="TableText0"/>
            </w:pPr>
            <w:r w:rsidRPr="00D865BC">
              <w:t>66.09%</w:t>
            </w:r>
          </w:p>
        </w:tc>
      </w:tr>
      <w:tr w:rsidR="00D865BC" w:rsidRPr="00D865BC" w14:paraId="5BD55ACC" w14:textId="7C134C27" w:rsidTr="00D865BC">
        <w:tc>
          <w:tcPr>
            <w:tcW w:w="1098" w:type="pct"/>
          </w:tcPr>
          <w:p w14:paraId="1B076EAF" w14:textId="0AD0852C" w:rsidR="00D865BC" w:rsidRPr="00D865BC" w:rsidRDefault="00D865BC" w:rsidP="00D865BC">
            <w:pPr>
              <w:pStyle w:val="TableText0"/>
              <w:rPr>
                <w:b/>
              </w:rPr>
            </w:pPr>
            <w:r w:rsidRPr="00D865BC">
              <w:rPr>
                <w:b/>
              </w:rPr>
              <w:t>Average weighted cost</w:t>
            </w:r>
            <w:r>
              <w:rPr>
                <w:b/>
              </w:rPr>
              <w:t xml:space="preserve"> / </w:t>
            </w:r>
            <w:r w:rsidRPr="00D865BC">
              <w:rPr>
                <w:b/>
              </w:rPr>
              <w:t>administration</w:t>
            </w:r>
          </w:p>
        </w:tc>
        <w:tc>
          <w:tcPr>
            <w:tcW w:w="1327" w:type="pct"/>
            <w:gridSpan w:val="2"/>
          </w:tcPr>
          <w:p w14:paraId="060A7FCC" w14:textId="7AA8D182" w:rsidR="00D865BC" w:rsidRPr="00D865BC" w:rsidRDefault="00D865BC" w:rsidP="00D865BC">
            <w:pPr>
              <w:pStyle w:val="TableText0"/>
              <w:rPr>
                <w:b/>
              </w:rPr>
            </w:pPr>
            <w:r w:rsidRPr="00D865BC">
              <w:rPr>
                <w:b/>
              </w:rPr>
              <w:t>$</w:t>
            </w:r>
            <w:r w:rsidR="00BD6E95" w:rsidRPr="00BD6E95">
              <w:rPr>
                <w:b/>
                <w:color w:val="000000"/>
                <w:spacing w:val="56"/>
                <w:shd w:val="solid" w:color="000000" w:fill="000000"/>
                <w:fitText w:val="354" w:id="-632053746"/>
                <w14:textFill>
                  <w14:solidFill>
                    <w14:srgbClr w14:val="000000">
                      <w14:alpha w14:val="100000"/>
                    </w14:srgbClr>
                  </w14:solidFill>
                </w14:textFill>
              </w:rPr>
              <w:t>|||</w:t>
            </w:r>
            <w:r w:rsidR="00BD6E95" w:rsidRPr="00BD6E95">
              <w:rPr>
                <w:b/>
                <w:color w:val="000000"/>
                <w:spacing w:val="3"/>
                <w:shd w:val="solid" w:color="000000" w:fill="000000"/>
                <w:fitText w:val="354" w:id="-632053746"/>
                <w14:textFill>
                  <w14:solidFill>
                    <w14:srgbClr w14:val="000000">
                      <w14:alpha w14:val="100000"/>
                    </w14:srgbClr>
                  </w14:solidFill>
                </w14:textFill>
              </w:rPr>
              <w:t>|</w:t>
            </w:r>
          </w:p>
        </w:tc>
        <w:tc>
          <w:tcPr>
            <w:tcW w:w="1327" w:type="pct"/>
            <w:gridSpan w:val="2"/>
          </w:tcPr>
          <w:p w14:paraId="78CFFFEF" w14:textId="23D64860" w:rsidR="00D865BC" w:rsidRPr="00D865BC" w:rsidRDefault="00D865BC" w:rsidP="00D865BC">
            <w:pPr>
              <w:pStyle w:val="TableText0"/>
              <w:rPr>
                <w:b/>
              </w:rPr>
            </w:pPr>
            <w:r w:rsidRPr="00D865BC">
              <w:rPr>
                <w:b/>
              </w:rPr>
              <w:t>$</w:t>
            </w:r>
            <w:r w:rsidR="00BD6E95" w:rsidRPr="00BD6E95">
              <w:rPr>
                <w:b/>
                <w:color w:val="000000"/>
                <w:spacing w:val="56"/>
                <w:shd w:val="solid" w:color="000000" w:fill="000000"/>
                <w:fitText w:val="354" w:id="-632053745"/>
                <w14:textFill>
                  <w14:solidFill>
                    <w14:srgbClr w14:val="000000">
                      <w14:alpha w14:val="100000"/>
                    </w14:srgbClr>
                  </w14:solidFill>
                </w14:textFill>
              </w:rPr>
              <w:t>|||</w:t>
            </w:r>
            <w:r w:rsidR="00BD6E95" w:rsidRPr="00BD6E95">
              <w:rPr>
                <w:b/>
                <w:color w:val="000000"/>
                <w:spacing w:val="3"/>
                <w:shd w:val="solid" w:color="000000" w:fill="000000"/>
                <w:fitText w:val="354" w:id="-632053745"/>
                <w14:textFill>
                  <w14:solidFill>
                    <w14:srgbClr w14:val="000000">
                      <w14:alpha w14:val="100000"/>
                    </w14:srgbClr>
                  </w14:solidFill>
                </w14:textFill>
              </w:rPr>
              <w:t>|</w:t>
            </w:r>
          </w:p>
        </w:tc>
        <w:tc>
          <w:tcPr>
            <w:tcW w:w="1248" w:type="pct"/>
            <w:gridSpan w:val="2"/>
          </w:tcPr>
          <w:p w14:paraId="0B5D7C3E" w14:textId="2FDD1337" w:rsidR="00D865BC" w:rsidRPr="00D865BC" w:rsidRDefault="00D865BC" w:rsidP="00D865BC">
            <w:pPr>
              <w:pStyle w:val="TableText0"/>
              <w:rPr>
                <w:b/>
              </w:rPr>
            </w:pPr>
            <w:r w:rsidRPr="00D865BC">
              <w:rPr>
                <w:b/>
              </w:rPr>
              <w:t>$</w:t>
            </w:r>
            <w:r w:rsidR="00BD6E95" w:rsidRPr="00BD6E95">
              <w:rPr>
                <w:b/>
                <w:color w:val="000000"/>
                <w:spacing w:val="56"/>
                <w:shd w:val="solid" w:color="000000" w:fill="000000"/>
                <w:fitText w:val="354" w:id="-632053744"/>
                <w14:textFill>
                  <w14:solidFill>
                    <w14:srgbClr w14:val="000000">
                      <w14:alpha w14:val="100000"/>
                    </w14:srgbClr>
                  </w14:solidFill>
                </w14:textFill>
              </w:rPr>
              <w:t>|||</w:t>
            </w:r>
            <w:r w:rsidR="00BD6E95" w:rsidRPr="00BD6E95">
              <w:rPr>
                <w:b/>
                <w:color w:val="000000"/>
                <w:spacing w:val="3"/>
                <w:shd w:val="solid" w:color="000000" w:fill="000000"/>
                <w:fitText w:val="354" w:id="-632053744"/>
                <w14:textFill>
                  <w14:solidFill>
                    <w14:srgbClr w14:val="000000">
                      <w14:alpha w14:val="100000"/>
                    </w14:srgbClr>
                  </w14:solidFill>
                </w14:textFill>
              </w:rPr>
              <w:t>|</w:t>
            </w:r>
          </w:p>
        </w:tc>
      </w:tr>
    </w:tbl>
    <w:p w14:paraId="3283CC08" w14:textId="558D6222" w:rsidR="00D865BC" w:rsidRPr="00D865BC" w:rsidRDefault="00D865BC" w:rsidP="00D865BC">
      <w:pPr>
        <w:pStyle w:val="FooterTableFigure"/>
      </w:pPr>
      <w:r w:rsidRPr="00D865BC">
        <w:t xml:space="preserve">Source: </w:t>
      </w:r>
      <w:r>
        <w:t>Table 3.14, p122 of the submission</w:t>
      </w:r>
      <w:r w:rsidRPr="00D865BC">
        <w:t>.</w:t>
      </w:r>
    </w:p>
    <w:p w14:paraId="71E7B100" w14:textId="4D41E16D" w:rsidR="004F4951" w:rsidRPr="00E518DA" w:rsidRDefault="004F4951" w:rsidP="00154042">
      <w:pPr>
        <w:numPr>
          <w:ilvl w:val="1"/>
          <w:numId w:val="1"/>
        </w:numPr>
        <w:spacing w:before="60" w:after="60"/>
        <w:rPr>
          <w:rFonts w:asciiTheme="minorHAnsi" w:hAnsiTheme="minorHAnsi"/>
          <w:iCs/>
          <w:snapToGrid w:val="0"/>
        </w:rPr>
      </w:pPr>
      <w:r w:rsidRPr="00E518DA">
        <w:rPr>
          <w:rFonts w:asciiTheme="minorHAnsi" w:hAnsiTheme="minorHAnsi"/>
          <w:iCs/>
          <w:snapToGrid w:val="0"/>
        </w:rPr>
        <w:fldChar w:fldCharType="begin" w:fldLock="1"/>
      </w:r>
      <w:r w:rsidRPr="00E518DA">
        <w:rPr>
          <w:rFonts w:asciiTheme="minorHAnsi" w:hAnsiTheme="minorHAnsi"/>
          <w:iCs/>
          <w:snapToGrid w:val="0"/>
        </w:rPr>
        <w:instrText xml:space="preserve"> REF _Ref184305764 \h </w:instrText>
      </w:r>
      <w:r w:rsidR="00C965C9" w:rsidRPr="00E518DA">
        <w:rPr>
          <w:rFonts w:asciiTheme="minorHAnsi" w:hAnsiTheme="minorHAnsi"/>
          <w:iCs/>
          <w:snapToGrid w:val="0"/>
        </w:rPr>
        <w:instrText xml:space="preserve"> \* MERGEFORMAT </w:instrText>
      </w:r>
      <w:r w:rsidRPr="00E518DA">
        <w:rPr>
          <w:rFonts w:asciiTheme="minorHAnsi" w:hAnsiTheme="minorHAnsi"/>
          <w:iCs/>
          <w:snapToGrid w:val="0"/>
        </w:rPr>
      </w:r>
      <w:r w:rsidRPr="00E518DA">
        <w:rPr>
          <w:rFonts w:asciiTheme="minorHAnsi" w:hAnsiTheme="minorHAnsi"/>
          <w:iCs/>
          <w:snapToGrid w:val="0"/>
        </w:rPr>
        <w:fldChar w:fldCharType="separate"/>
      </w:r>
      <w:r w:rsidR="003C21E7" w:rsidRPr="003C21E7">
        <w:rPr>
          <w:rFonts w:asciiTheme="minorHAnsi" w:hAnsiTheme="minorHAnsi"/>
          <w:iCs/>
          <w:snapToGrid w:val="0"/>
        </w:rPr>
        <w:t>Table 17</w:t>
      </w:r>
      <w:r w:rsidRPr="00E518DA">
        <w:rPr>
          <w:rFonts w:asciiTheme="minorHAnsi" w:hAnsiTheme="minorHAnsi"/>
          <w:iCs/>
          <w:snapToGrid w:val="0"/>
        </w:rPr>
        <w:fldChar w:fldCharType="end"/>
      </w:r>
      <w:r w:rsidRPr="00E518DA">
        <w:rPr>
          <w:rFonts w:asciiTheme="minorHAnsi" w:hAnsiTheme="minorHAnsi"/>
          <w:iCs/>
          <w:snapToGrid w:val="0"/>
        </w:rPr>
        <w:t xml:space="preserve"> outlines the drug cost per patient for </w:t>
      </w:r>
      <w:r w:rsidR="00C965C9" w:rsidRPr="00E518DA">
        <w:rPr>
          <w:rFonts w:asciiTheme="minorHAnsi" w:hAnsiTheme="minorHAnsi"/>
          <w:iCs/>
          <w:snapToGrid w:val="0"/>
        </w:rPr>
        <w:t>Glofit-GemOx</w:t>
      </w:r>
      <w:r w:rsidRPr="00E518DA">
        <w:rPr>
          <w:rFonts w:asciiTheme="minorHAnsi" w:hAnsiTheme="minorHAnsi"/>
          <w:iCs/>
          <w:snapToGrid w:val="0"/>
        </w:rPr>
        <w:t xml:space="preserve"> and </w:t>
      </w:r>
      <w:r w:rsidR="00C965C9" w:rsidRPr="00E518DA">
        <w:rPr>
          <w:rFonts w:asciiTheme="minorHAnsi" w:hAnsiTheme="minorHAnsi"/>
          <w:iCs/>
          <w:snapToGrid w:val="0"/>
        </w:rPr>
        <w:t>R-</w:t>
      </w:r>
      <w:proofErr w:type="spellStart"/>
      <w:r w:rsidR="00C965C9" w:rsidRPr="00E518DA">
        <w:rPr>
          <w:rFonts w:asciiTheme="minorHAnsi" w:hAnsiTheme="minorHAnsi"/>
          <w:iCs/>
          <w:snapToGrid w:val="0"/>
        </w:rPr>
        <w:t>GemOx</w:t>
      </w:r>
      <w:proofErr w:type="spellEnd"/>
      <w:r w:rsidRPr="00E518DA">
        <w:rPr>
          <w:rFonts w:asciiTheme="minorHAnsi" w:hAnsiTheme="minorHAnsi"/>
          <w:iCs/>
          <w:snapToGrid w:val="0"/>
        </w:rPr>
        <w:t xml:space="preserve"> across the model and the financial estimates.</w:t>
      </w:r>
      <w:r w:rsidR="00B0173E" w:rsidRPr="00E518DA">
        <w:rPr>
          <w:rFonts w:asciiTheme="minorHAnsi" w:hAnsiTheme="minorHAnsi"/>
          <w:iCs/>
          <w:snapToGrid w:val="0"/>
        </w:rPr>
        <w:t xml:space="preserve"> </w:t>
      </w:r>
      <w:r w:rsidR="00BE0CF7" w:rsidRPr="00E518DA">
        <w:rPr>
          <w:rFonts w:asciiTheme="minorHAnsi" w:hAnsiTheme="minorHAnsi"/>
          <w:iCs/>
          <w:snapToGrid w:val="0"/>
        </w:rPr>
        <w:t xml:space="preserve">The economic model and financial estimates aligned on the cost per patient per treatment cycle but differed in the mean number of treatment cycles initiated. The economic model </w:t>
      </w:r>
      <w:r w:rsidR="00A723E9" w:rsidRPr="00E518DA">
        <w:rPr>
          <w:rFonts w:asciiTheme="minorHAnsi" w:hAnsiTheme="minorHAnsi"/>
          <w:iCs/>
          <w:snapToGrid w:val="0"/>
        </w:rPr>
        <w:t>derived a mean number of treatment cycles from</w:t>
      </w:r>
      <w:r w:rsidR="00EE44D2" w:rsidRPr="00E518DA">
        <w:rPr>
          <w:rFonts w:asciiTheme="minorHAnsi" w:hAnsiTheme="minorHAnsi"/>
          <w:iCs/>
          <w:snapToGrid w:val="0"/>
        </w:rPr>
        <w:t xml:space="preserve"> TTOT data (</w:t>
      </w:r>
      <w:r w:rsidR="00A723E9" w:rsidRPr="00E518DA">
        <w:rPr>
          <w:rFonts w:asciiTheme="minorHAnsi" w:hAnsiTheme="minorHAnsi"/>
          <w:iCs/>
          <w:snapToGrid w:val="0"/>
        </w:rPr>
        <w:t xml:space="preserve">which was </w:t>
      </w:r>
      <w:r w:rsidR="00BE0CF7" w:rsidRPr="00E518DA">
        <w:rPr>
          <w:rFonts w:asciiTheme="minorHAnsi" w:hAnsiTheme="minorHAnsi"/>
          <w:iCs/>
          <w:snapToGrid w:val="0"/>
        </w:rPr>
        <w:t>lower than the trial-reported mean; see</w:t>
      </w:r>
      <w:r w:rsidR="003859EA" w:rsidRPr="00E518DA">
        <w:rPr>
          <w:rFonts w:asciiTheme="minorHAnsi" w:hAnsiTheme="minorHAnsi"/>
          <w:iCs/>
          <w:snapToGrid w:val="0"/>
        </w:rPr>
        <w:t xml:space="preserve"> </w:t>
      </w:r>
      <w:r w:rsidR="003859EA" w:rsidRPr="00E518DA">
        <w:rPr>
          <w:rFonts w:asciiTheme="minorHAnsi" w:hAnsiTheme="minorHAnsi"/>
          <w:iCs/>
          <w:snapToGrid w:val="0"/>
        </w:rPr>
        <w:fldChar w:fldCharType="begin" w:fldLock="1"/>
      </w:r>
      <w:r w:rsidR="003859EA" w:rsidRPr="00E518DA">
        <w:rPr>
          <w:rFonts w:asciiTheme="minorHAnsi" w:hAnsiTheme="minorHAnsi"/>
          <w:iCs/>
          <w:snapToGrid w:val="0"/>
        </w:rPr>
        <w:instrText xml:space="preserve"> REF _Ref196647344 \h  \* MERGEFORMAT </w:instrText>
      </w:r>
      <w:r w:rsidR="003859EA" w:rsidRPr="00E518DA">
        <w:rPr>
          <w:rFonts w:asciiTheme="minorHAnsi" w:hAnsiTheme="minorHAnsi"/>
          <w:iCs/>
          <w:snapToGrid w:val="0"/>
        </w:rPr>
      </w:r>
      <w:r w:rsidR="003859EA" w:rsidRPr="00E518DA">
        <w:rPr>
          <w:rFonts w:asciiTheme="minorHAnsi" w:hAnsiTheme="minorHAnsi"/>
          <w:iCs/>
          <w:snapToGrid w:val="0"/>
        </w:rPr>
        <w:fldChar w:fldCharType="separate"/>
      </w:r>
      <w:r w:rsidR="003C21E7" w:rsidRPr="003C21E7">
        <w:rPr>
          <w:rFonts w:asciiTheme="minorHAnsi" w:hAnsiTheme="minorHAnsi"/>
          <w:iCs/>
          <w:snapToGrid w:val="0"/>
        </w:rPr>
        <w:t>Table 10</w:t>
      </w:r>
      <w:r w:rsidR="003859EA" w:rsidRPr="00E518DA">
        <w:rPr>
          <w:rFonts w:asciiTheme="minorHAnsi" w:hAnsiTheme="minorHAnsi"/>
          <w:iCs/>
          <w:snapToGrid w:val="0"/>
        </w:rPr>
        <w:fldChar w:fldCharType="end"/>
      </w:r>
      <w:r w:rsidR="00BE0CF7" w:rsidRPr="00E518DA">
        <w:rPr>
          <w:rFonts w:asciiTheme="minorHAnsi" w:hAnsiTheme="minorHAnsi"/>
          <w:iCs/>
          <w:snapToGrid w:val="0"/>
        </w:rPr>
        <w:t>), whereas the financial estimates applied the maximum number of treatment cycles specified in the P</w:t>
      </w:r>
      <w:r w:rsidR="00C66D63">
        <w:rPr>
          <w:rFonts w:asciiTheme="minorHAnsi" w:hAnsiTheme="minorHAnsi"/>
          <w:iCs/>
          <w:snapToGrid w:val="0"/>
        </w:rPr>
        <w:t>roduct Information</w:t>
      </w:r>
      <w:r w:rsidR="00BE0CF7" w:rsidRPr="00E518DA">
        <w:rPr>
          <w:rFonts w:asciiTheme="minorHAnsi" w:hAnsiTheme="minorHAnsi"/>
          <w:iCs/>
          <w:snapToGrid w:val="0"/>
        </w:rPr>
        <w:t>.</w:t>
      </w:r>
    </w:p>
    <w:p w14:paraId="607E5152" w14:textId="1F737609" w:rsidR="004F4951" w:rsidRPr="00E518DA" w:rsidRDefault="004F4951" w:rsidP="004F4951">
      <w:pPr>
        <w:pStyle w:val="Caption"/>
        <w:rPr>
          <w:rStyle w:val="CommentReference"/>
          <w:b/>
        </w:rPr>
      </w:pPr>
      <w:bookmarkStart w:id="98" w:name="_Ref184305764"/>
      <w:r w:rsidRPr="00E518DA">
        <w:t xml:space="preserve">Table </w:t>
      </w:r>
      <w:r w:rsidR="00F257F5">
        <w:fldChar w:fldCharType="begin" w:fldLock="1"/>
      </w:r>
      <w:r w:rsidR="00F257F5">
        <w:instrText xml:space="preserve"> SEQ Table \* ARABIC </w:instrText>
      </w:r>
      <w:r w:rsidR="00F257F5">
        <w:fldChar w:fldCharType="separate"/>
      </w:r>
      <w:r w:rsidR="003C21E7">
        <w:rPr>
          <w:noProof/>
        </w:rPr>
        <w:t>17</w:t>
      </w:r>
      <w:r w:rsidR="00F257F5">
        <w:rPr>
          <w:noProof/>
        </w:rPr>
        <w:fldChar w:fldCharType="end"/>
      </w:r>
      <w:bookmarkEnd w:id="98"/>
      <w:r w:rsidRPr="00E518DA">
        <w:t>:</w:t>
      </w:r>
      <w:r w:rsidRPr="00E518DA">
        <w:rPr>
          <w:rStyle w:val="CommentReference"/>
          <w:b/>
        </w:rPr>
        <w:t xml:space="preserve"> Drug cost per patient for </w:t>
      </w:r>
      <w:r w:rsidR="006D760B" w:rsidRPr="00E518DA">
        <w:rPr>
          <w:rStyle w:val="CommentReference"/>
          <w:b/>
        </w:rPr>
        <w:t>Glofit-GemOx and R-</w:t>
      </w:r>
      <w:proofErr w:type="spellStart"/>
      <w:r w:rsidR="006D760B" w:rsidRPr="00E518DA">
        <w:rPr>
          <w:rStyle w:val="CommentReference"/>
          <w:b/>
        </w:rPr>
        <w:t>GemOx</w:t>
      </w:r>
      <w:proofErr w:type="spellEnd"/>
      <w:r w:rsidR="006D760B" w:rsidRPr="00E518DA">
        <w:rPr>
          <w:rStyle w:val="CommentReference"/>
          <w:b/>
        </w:rPr>
        <w:t xml:space="preserve"> (based on effective prices)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Drug cost per patient for Glofit-GemOx and R-GemOx (based on effective prices)"/>
      </w:tblPr>
      <w:tblGrid>
        <w:gridCol w:w="1470"/>
        <w:gridCol w:w="783"/>
        <w:gridCol w:w="1461"/>
        <w:gridCol w:w="1533"/>
        <w:gridCol w:w="844"/>
        <w:gridCol w:w="1472"/>
        <w:gridCol w:w="1454"/>
      </w:tblGrid>
      <w:tr w:rsidR="00C965C9" w:rsidRPr="00E518DA" w14:paraId="7957C05F" w14:textId="77777777" w:rsidTr="001C575B">
        <w:trPr>
          <w:cantSplit/>
          <w:tblHeader/>
          <w:jc w:val="center"/>
        </w:trPr>
        <w:tc>
          <w:tcPr>
            <w:tcW w:w="815" w:type="pct"/>
            <w:vMerge w:val="restart"/>
          </w:tcPr>
          <w:p w14:paraId="2683A5EA" w14:textId="490D9A34" w:rsidR="00C965C9" w:rsidRPr="00E518DA" w:rsidRDefault="00C965C9" w:rsidP="006D760B">
            <w:pPr>
              <w:pStyle w:val="In-tableHeading"/>
            </w:pPr>
            <w:r w:rsidRPr="00E518DA">
              <w:t>Treatment</w:t>
            </w:r>
          </w:p>
        </w:tc>
        <w:tc>
          <w:tcPr>
            <w:tcW w:w="2094" w:type="pct"/>
            <w:gridSpan w:val="3"/>
          </w:tcPr>
          <w:p w14:paraId="4F9C5AA0" w14:textId="11527B05" w:rsidR="00C965C9" w:rsidRPr="00E518DA" w:rsidRDefault="00C965C9" w:rsidP="006D760B">
            <w:pPr>
              <w:pStyle w:val="In-tableHeading"/>
              <w:jc w:val="center"/>
            </w:pPr>
            <w:r w:rsidRPr="00E518DA">
              <w:t>Glofit-GemOx</w:t>
            </w:r>
          </w:p>
        </w:tc>
        <w:tc>
          <w:tcPr>
            <w:tcW w:w="2090" w:type="pct"/>
            <w:gridSpan w:val="3"/>
          </w:tcPr>
          <w:p w14:paraId="7A0DAAA0" w14:textId="57E6B7CA" w:rsidR="00C965C9" w:rsidRPr="00E518DA" w:rsidRDefault="00C965C9" w:rsidP="006D760B">
            <w:pPr>
              <w:pStyle w:val="In-tableHeading"/>
              <w:jc w:val="center"/>
            </w:pPr>
            <w:r w:rsidRPr="00E518DA">
              <w:t>R-</w:t>
            </w:r>
            <w:proofErr w:type="spellStart"/>
            <w:r w:rsidRPr="00E518DA">
              <w:t>GemOx</w:t>
            </w:r>
            <w:proofErr w:type="spellEnd"/>
          </w:p>
        </w:tc>
      </w:tr>
      <w:tr w:rsidR="00903B21" w:rsidRPr="00E518DA" w14:paraId="3B8DACBD" w14:textId="656E5B1A" w:rsidTr="001C575B">
        <w:trPr>
          <w:cantSplit/>
          <w:tblHeader/>
          <w:jc w:val="center"/>
        </w:trPr>
        <w:tc>
          <w:tcPr>
            <w:tcW w:w="815" w:type="pct"/>
            <w:vMerge/>
          </w:tcPr>
          <w:p w14:paraId="6902AE99" w14:textId="426610FC" w:rsidR="00C965C9" w:rsidRPr="00E518DA" w:rsidRDefault="00C965C9" w:rsidP="006D760B">
            <w:pPr>
              <w:pStyle w:val="In-tableHeading"/>
            </w:pPr>
          </w:p>
        </w:tc>
        <w:tc>
          <w:tcPr>
            <w:tcW w:w="435" w:type="pct"/>
          </w:tcPr>
          <w:p w14:paraId="26F10E6E" w14:textId="125E16C0" w:rsidR="00C965C9" w:rsidRPr="00E518DA" w:rsidRDefault="00C965C9" w:rsidP="006D760B">
            <w:pPr>
              <w:pStyle w:val="In-tableHeading"/>
              <w:jc w:val="center"/>
            </w:pPr>
            <w:r w:rsidRPr="00E518DA">
              <w:t>Trial</w:t>
            </w:r>
          </w:p>
        </w:tc>
        <w:tc>
          <w:tcPr>
            <w:tcW w:w="810" w:type="pct"/>
          </w:tcPr>
          <w:p w14:paraId="08C36C8E" w14:textId="6E5EF08C" w:rsidR="00C965C9" w:rsidRPr="00E518DA" w:rsidRDefault="00C965C9" w:rsidP="006D760B">
            <w:pPr>
              <w:pStyle w:val="In-tableHeading"/>
              <w:jc w:val="center"/>
            </w:pPr>
            <w:r w:rsidRPr="00E518DA">
              <w:t>Model</w:t>
            </w:r>
          </w:p>
        </w:tc>
        <w:tc>
          <w:tcPr>
            <w:tcW w:w="850" w:type="pct"/>
          </w:tcPr>
          <w:p w14:paraId="4C2827DA" w14:textId="2492CBD1" w:rsidR="00C965C9" w:rsidRPr="00E518DA" w:rsidRDefault="00C965C9" w:rsidP="006D760B">
            <w:pPr>
              <w:pStyle w:val="In-tableHeading"/>
              <w:jc w:val="center"/>
            </w:pPr>
            <w:r w:rsidRPr="00E518DA">
              <w:t>Financials</w:t>
            </w:r>
          </w:p>
        </w:tc>
        <w:tc>
          <w:tcPr>
            <w:tcW w:w="468" w:type="pct"/>
          </w:tcPr>
          <w:p w14:paraId="46886340" w14:textId="36B6E738" w:rsidR="00C965C9" w:rsidRPr="00E518DA" w:rsidRDefault="00C965C9" w:rsidP="006D760B">
            <w:pPr>
              <w:pStyle w:val="In-tableHeading"/>
              <w:jc w:val="center"/>
            </w:pPr>
            <w:r w:rsidRPr="00E518DA">
              <w:t>Trial</w:t>
            </w:r>
          </w:p>
        </w:tc>
        <w:tc>
          <w:tcPr>
            <w:tcW w:w="816" w:type="pct"/>
          </w:tcPr>
          <w:p w14:paraId="0AA0CF87" w14:textId="21D123CA" w:rsidR="00C965C9" w:rsidRPr="00E518DA" w:rsidRDefault="00C965C9" w:rsidP="006D760B">
            <w:pPr>
              <w:pStyle w:val="In-tableHeading"/>
              <w:jc w:val="center"/>
            </w:pPr>
            <w:r w:rsidRPr="00E518DA">
              <w:t>Model</w:t>
            </w:r>
          </w:p>
        </w:tc>
        <w:tc>
          <w:tcPr>
            <w:tcW w:w="806" w:type="pct"/>
          </w:tcPr>
          <w:p w14:paraId="55A9DD58" w14:textId="746F9296" w:rsidR="00C965C9" w:rsidRPr="00E518DA" w:rsidRDefault="00C965C9" w:rsidP="006D760B">
            <w:pPr>
              <w:pStyle w:val="In-tableHeading"/>
              <w:jc w:val="center"/>
            </w:pPr>
            <w:r w:rsidRPr="00E518DA">
              <w:t>Financials</w:t>
            </w:r>
          </w:p>
        </w:tc>
      </w:tr>
      <w:tr w:rsidR="00201C78" w:rsidRPr="00E518DA" w14:paraId="0A590975" w14:textId="709D5E32" w:rsidTr="001C575B">
        <w:trPr>
          <w:cantSplit/>
          <w:jc w:val="center"/>
        </w:trPr>
        <w:tc>
          <w:tcPr>
            <w:tcW w:w="815" w:type="pct"/>
          </w:tcPr>
          <w:p w14:paraId="4528A0A2" w14:textId="77777777" w:rsidR="00201C78" w:rsidRPr="00E518DA" w:rsidRDefault="00201C78" w:rsidP="006D760B">
            <w:pPr>
              <w:pStyle w:val="TableText0"/>
              <w:rPr>
                <w:lang w:val="en-US"/>
              </w:rPr>
            </w:pPr>
            <w:r w:rsidRPr="00E518DA">
              <w:rPr>
                <w:lang w:val="en-US"/>
              </w:rPr>
              <w:t>Mean dose</w:t>
            </w:r>
          </w:p>
        </w:tc>
        <w:tc>
          <w:tcPr>
            <w:tcW w:w="1245" w:type="pct"/>
            <w:gridSpan w:val="2"/>
          </w:tcPr>
          <w:p w14:paraId="4C9C5B8E" w14:textId="6C39C581" w:rsidR="00201C78" w:rsidRPr="00E518DA" w:rsidRDefault="00201C78" w:rsidP="00DA2482">
            <w:pPr>
              <w:pStyle w:val="TableText0"/>
              <w:rPr>
                <w:bCs w:val="0"/>
                <w:lang w:val="en-US"/>
              </w:rPr>
            </w:pPr>
            <w:r w:rsidRPr="00E518DA">
              <w:rPr>
                <w:bCs w:val="0"/>
                <w:lang w:val="en-US"/>
              </w:rPr>
              <w:t>Glofitamab</w:t>
            </w:r>
            <w:r w:rsidR="006D760B" w:rsidRPr="00E518DA">
              <w:rPr>
                <w:bCs w:val="0"/>
                <w:lang w:val="en-US"/>
              </w:rPr>
              <w:t>,</w:t>
            </w:r>
            <w:r w:rsidRPr="00E518DA">
              <w:rPr>
                <w:bCs w:val="0"/>
                <w:lang w:val="en-US"/>
              </w:rPr>
              <w:t xml:space="preserve"> Cycle 1: 12.5 m</w:t>
            </w:r>
            <w:r w:rsidR="00DA2482" w:rsidRPr="00E518DA">
              <w:rPr>
                <w:bCs w:val="0"/>
                <w:lang w:val="en-US"/>
              </w:rPr>
              <w:t>g</w:t>
            </w:r>
            <w:r w:rsidR="006D760B" w:rsidRPr="00E518DA">
              <w:rPr>
                <w:bCs w:val="0"/>
                <w:lang w:val="en-US"/>
              </w:rPr>
              <w:t xml:space="preserve"> and</w:t>
            </w:r>
            <w:r w:rsidRPr="00E518DA">
              <w:rPr>
                <w:bCs w:val="0"/>
                <w:lang w:val="en-US"/>
              </w:rPr>
              <w:t xml:space="preserve"> Cycles 2-12: 30 mg</w:t>
            </w:r>
          </w:p>
          <w:p w14:paraId="348E94BA" w14:textId="475130E8" w:rsidR="00201C78" w:rsidRPr="00E518DA" w:rsidRDefault="00201C78" w:rsidP="006D760B">
            <w:pPr>
              <w:pStyle w:val="TableText0"/>
              <w:rPr>
                <w:bCs w:val="0"/>
                <w:lang w:val="en-US"/>
              </w:rPr>
            </w:pPr>
            <w:r w:rsidRPr="00E518DA">
              <w:rPr>
                <w:bCs w:val="0"/>
                <w:lang w:val="en-US"/>
              </w:rPr>
              <w:t>Gemcitabine</w:t>
            </w:r>
            <w:r w:rsidR="006D760B" w:rsidRPr="00E518DA">
              <w:rPr>
                <w:bCs w:val="0"/>
                <w:lang w:val="en-US"/>
              </w:rPr>
              <w:t>,</w:t>
            </w:r>
            <w:r w:rsidR="006D760B" w:rsidRPr="00E518DA">
              <w:t xml:space="preserve"> </w:t>
            </w:r>
            <w:r w:rsidR="006D760B" w:rsidRPr="00E518DA">
              <w:rPr>
                <w:bCs w:val="0"/>
                <w:lang w:val="en-US"/>
              </w:rPr>
              <w:t>Cycles 1-8</w:t>
            </w:r>
            <w:r w:rsidRPr="00E518DA">
              <w:rPr>
                <w:bCs w:val="0"/>
                <w:lang w:val="en-US"/>
              </w:rPr>
              <w:t>: 1000 mg/m</w:t>
            </w:r>
            <w:r w:rsidRPr="00173629">
              <w:rPr>
                <w:bCs w:val="0"/>
                <w:vertAlign w:val="superscript"/>
                <w:lang w:val="en-US"/>
              </w:rPr>
              <w:t>2</w:t>
            </w:r>
            <w:r w:rsidRPr="00E518DA">
              <w:rPr>
                <w:bCs w:val="0"/>
                <w:lang w:val="en-US"/>
              </w:rPr>
              <w:t>, 1,783 mg/ admin (1× 2000 mg vial)</w:t>
            </w:r>
          </w:p>
          <w:p w14:paraId="23C5EADB" w14:textId="7B1E833C" w:rsidR="00201C78" w:rsidRPr="00E518DA" w:rsidRDefault="00201C78" w:rsidP="006D760B">
            <w:pPr>
              <w:pStyle w:val="TableText0"/>
              <w:rPr>
                <w:bCs w:val="0"/>
                <w:lang w:val="en-US"/>
              </w:rPr>
            </w:pPr>
            <w:r w:rsidRPr="00E518DA">
              <w:rPr>
                <w:bCs w:val="0"/>
                <w:lang w:val="en-US"/>
              </w:rPr>
              <w:t>Oxaliplatin</w:t>
            </w:r>
            <w:r w:rsidR="006D760B" w:rsidRPr="00E518DA">
              <w:rPr>
                <w:bCs w:val="0"/>
                <w:lang w:val="en-US"/>
              </w:rPr>
              <w:t>, Cycles 1-8</w:t>
            </w:r>
            <w:r w:rsidRPr="00E518DA">
              <w:rPr>
                <w:bCs w:val="0"/>
                <w:lang w:val="en-US"/>
              </w:rPr>
              <w:t>: 100 mg/m</w:t>
            </w:r>
            <w:r w:rsidRPr="00173629">
              <w:rPr>
                <w:bCs w:val="0"/>
                <w:vertAlign w:val="superscript"/>
                <w:lang w:val="en-US"/>
              </w:rPr>
              <w:t>2</w:t>
            </w:r>
            <w:r w:rsidRPr="00E518DA">
              <w:rPr>
                <w:bCs w:val="0"/>
                <w:lang w:val="en-US"/>
              </w:rPr>
              <w:t>, 178 mg/admin (1× 200 mg vial)</w:t>
            </w:r>
          </w:p>
        </w:tc>
        <w:tc>
          <w:tcPr>
            <w:tcW w:w="850" w:type="pct"/>
          </w:tcPr>
          <w:p w14:paraId="78F6F1A0" w14:textId="709D8956" w:rsidR="006D760B" w:rsidRPr="00E518DA" w:rsidRDefault="006D760B" w:rsidP="006D760B">
            <w:pPr>
              <w:pStyle w:val="TableText0"/>
              <w:rPr>
                <w:bCs w:val="0"/>
                <w:lang w:val="en-US"/>
              </w:rPr>
            </w:pPr>
            <w:r w:rsidRPr="00E518DA">
              <w:rPr>
                <w:bCs w:val="0"/>
                <w:lang w:val="en-US"/>
              </w:rPr>
              <w:t>Glofitamab, Cycle 1: 12.5 m</w:t>
            </w:r>
            <w:r w:rsidR="00E312D6" w:rsidRPr="00E518DA">
              <w:rPr>
                <w:bCs w:val="0"/>
                <w:lang w:val="en-US"/>
              </w:rPr>
              <w:t>g</w:t>
            </w:r>
            <w:r w:rsidRPr="00E518DA">
              <w:rPr>
                <w:bCs w:val="0"/>
                <w:lang w:val="en-US"/>
              </w:rPr>
              <w:t xml:space="preserve"> and </w:t>
            </w:r>
          </w:p>
          <w:p w14:paraId="7ACFA0CE" w14:textId="192BB88E" w:rsidR="00201C78" w:rsidRPr="00E518DA" w:rsidRDefault="006D760B" w:rsidP="006D760B">
            <w:pPr>
              <w:pStyle w:val="TableText0"/>
              <w:rPr>
                <w:bCs w:val="0"/>
                <w:lang w:val="en-US"/>
              </w:rPr>
            </w:pPr>
            <w:r w:rsidRPr="00E518DA">
              <w:rPr>
                <w:bCs w:val="0"/>
                <w:lang w:val="en-US"/>
              </w:rPr>
              <w:t>Cycles 2-12: 30 mg</w:t>
            </w:r>
          </w:p>
        </w:tc>
        <w:tc>
          <w:tcPr>
            <w:tcW w:w="1284" w:type="pct"/>
            <w:gridSpan w:val="2"/>
          </w:tcPr>
          <w:p w14:paraId="13D061D0" w14:textId="10CE038F" w:rsidR="006D760B" w:rsidRPr="00E518DA" w:rsidRDefault="006D760B" w:rsidP="006D760B">
            <w:pPr>
              <w:pStyle w:val="TableText0"/>
              <w:rPr>
                <w:bCs w:val="0"/>
                <w:lang w:val="en-US"/>
              </w:rPr>
            </w:pPr>
            <w:r w:rsidRPr="00E518DA">
              <w:rPr>
                <w:bCs w:val="0"/>
                <w:lang w:val="en-US"/>
              </w:rPr>
              <w:t>Rituximab, Cycles 1-8: 375 mg/m</w:t>
            </w:r>
            <w:r w:rsidRPr="00173629">
              <w:rPr>
                <w:bCs w:val="0"/>
                <w:vertAlign w:val="superscript"/>
                <w:lang w:val="en-US"/>
              </w:rPr>
              <w:t>2</w:t>
            </w:r>
            <w:r w:rsidRPr="00E518DA">
              <w:rPr>
                <w:bCs w:val="0"/>
                <w:lang w:val="en-US"/>
              </w:rPr>
              <w:t>, 669 mg/admin (2×100 mg+ 1×500mg vial)</w:t>
            </w:r>
          </w:p>
          <w:p w14:paraId="37A369BA" w14:textId="739C9701" w:rsidR="006D760B" w:rsidRPr="00E518DA" w:rsidRDefault="006D760B" w:rsidP="006D760B">
            <w:pPr>
              <w:pStyle w:val="TableText0"/>
              <w:rPr>
                <w:bCs w:val="0"/>
                <w:lang w:val="en-US"/>
              </w:rPr>
            </w:pPr>
            <w:r w:rsidRPr="00E518DA">
              <w:rPr>
                <w:bCs w:val="0"/>
                <w:lang w:val="en-US"/>
              </w:rPr>
              <w:t>Gemcitabine</w:t>
            </w:r>
            <w:r w:rsidR="005F6042" w:rsidRPr="00E518DA">
              <w:rPr>
                <w:bCs w:val="0"/>
                <w:lang w:val="en-US"/>
              </w:rPr>
              <w:t>, Cycles</w:t>
            </w:r>
            <w:r w:rsidR="00AB5413" w:rsidRPr="00E518DA">
              <w:rPr>
                <w:bCs w:val="0"/>
                <w:lang w:val="en-US"/>
              </w:rPr>
              <w:t xml:space="preserve"> 1-8</w:t>
            </w:r>
            <w:r w:rsidRPr="00E518DA">
              <w:rPr>
                <w:bCs w:val="0"/>
                <w:lang w:val="en-US"/>
              </w:rPr>
              <w:t>: 1000 mg/m</w:t>
            </w:r>
            <w:r w:rsidRPr="00173629">
              <w:rPr>
                <w:bCs w:val="0"/>
                <w:vertAlign w:val="superscript"/>
                <w:lang w:val="en-US"/>
              </w:rPr>
              <w:t>2</w:t>
            </w:r>
            <w:r w:rsidRPr="00E518DA">
              <w:rPr>
                <w:bCs w:val="0"/>
                <w:lang w:val="en-US"/>
              </w:rPr>
              <w:t>, 1,783 mg/ admin (1× 2000 mg vial)</w:t>
            </w:r>
          </w:p>
          <w:p w14:paraId="5BE27897" w14:textId="4BC16C63" w:rsidR="00201C78" w:rsidRPr="00E518DA" w:rsidRDefault="006D760B" w:rsidP="006D760B">
            <w:pPr>
              <w:pStyle w:val="TableText0"/>
              <w:rPr>
                <w:bCs w:val="0"/>
                <w:lang w:val="en-US"/>
              </w:rPr>
            </w:pPr>
            <w:r w:rsidRPr="00E518DA">
              <w:rPr>
                <w:bCs w:val="0"/>
                <w:lang w:val="en-US"/>
              </w:rPr>
              <w:t>Oxaliplatin, Cycles 1-8: 100 mg/m</w:t>
            </w:r>
            <w:r w:rsidRPr="00173629">
              <w:rPr>
                <w:bCs w:val="0"/>
                <w:vertAlign w:val="superscript"/>
                <w:lang w:val="en-US"/>
              </w:rPr>
              <w:t>2</w:t>
            </w:r>
            <w:r w:rsidRPr="00E518DA">
              <w:rPr>
                <w:bCs w:val="0"/>
                <w:lang w:val="en-US"/>
              </w:rPr>
              <w:t>, 178 mg/admin (1× 200 mg vial)</w:t>
            </w:r>
          </w:p>
        </w:tc>
        <w:tc>
          <w:tcPr>
            <w:tcW w:w="806" w:type="pct"/>
          </w:tcPr>
          <w:p w14:paraId="60338D36" w14:textId="16997BB6" w:rsidR="00201C78" w:rsidRPr="00E518DA" w:rsidRDefault="006D760B" w:rsidP="006D760B">
            <w:pPr>
              <w:pStyle w:val="TableText0"/>
              <w:rPr>
                <w:bCs w:val="0"/>
                <w:lang w:val="en-US"/>
              </w:rPr>
            </w:pPr>
            <w:r w:rsidRPr="00E518DA">
              <w:rPr>
                <w:bCs w:val="0"/>
                <w:lang w:val="en-US"/>
              </w:rPr>
              <w:t>Rituximab, Cycles 1-8: 375 mg/m</w:t>
            </w:r>
            <w:r w:rsidRPr="00173629">
              <w:rPr>
                <w:bCs w:val="0"/>
                <w:vertAlign w:val="superscript"/>
                <w:lang w:val="en-US"/>
              </w:rPr>
              <w:t>2</w:t>
            </w:r>
            <w:r w:rsidRPr="00E518DA">
              <w:rPr>
                <w:bCs w:val="0"/>
                <w:lang w:val="en-US"/>
              </w:rPr>
              <w:t>, 669 mg/admin (2×100 mg+ 1×500mg vial)</w:t>
            </w:r>
          </w:p>
        </w:tc>
      </w:tr>
      <w:tr w:rsidR="00903B21" w:rsidRPr="00E518DA" w14:paraId="0C9F6C00" w14:textId="34BD43EF" w:rsidTr="001C575B">
        <w:trPr>
          <w:cantSplit/>
          <w:jc w:val="center"/>
        </w:trPr>
        <w:tc>
          <w:tcPr>
            <w:tcW w:w="815" w:type="pct"/>
          </w:tcPr>
          <w:p w14:paraId="14CC827B" w14:textId="76BC932E" w:rsidR="00C965C9" w:rsidRPr="00E518DA" w:rsidRDefault="00C965C9" w:rsidP="006D760B">
            <w:pPr>
              <w:pStyle w:val="TableText0"/>
              <w:rPr>
                <w:lang w:val="en-US"/>
              </w:rPr>
            </w:pPr>
            <w:r w:rsidRPr="00E518DA">
              <w:rPr>
                <w:lang w:val="en-US"/>
              </w:rPr>
              <w:t>Mean duration</w:t>
            </w:r>
            <w:r w:rsidR="00C17B17" w:rsidRPr="00E518DA">
              <w:rPr>
                <w:lang w:val="en-US"/>
              </w:rPr>
              <w:t xml:space="preserve"> (number of treatment cycles)</w:t>
            </w:r>
          </w:p>
        </w:tc>
        <w:tc>
          <w:tcPr>
            <w:tcW w:w="435" w:type="pct"/>
          </w:tcPr>
          <w:p w14:paraId="04B66C46" w14:textId="3F81284C" w:rsidR="00C965C9" w:rsidRPr="00E518DA" w:rsidRDefault="006D760B" w:rsidP="006D760B">
            <w:pPr>
              <w:pStyle w:val="TableText0"/>
              <w:rPr>
                <w:bCs w:val="0"/>
                <w:lang w:val="en-US"/>
              </w:rPr>
            </w:pPr>
            <w:r w:rsidRPr="00E518DA">
              <w:rPr>
                <w:bCs w:val="0"/>
                <w:lang w:val="en-US"/>
              </w:rPr>
              <w:t>8.5</w:t>
            </w:r>
          </w:p>
        </w:tc>
        <w:tc>
          <w:tcPr>
            <w:tcW w:w="810" w:type="pct"/>
          </w:tcPr>
          <w:p w14:paraId="656466C2" w14:textId="066E2148" w:rsidR="00C965C9" w:rsidRPr="00F970DB" w:rsidRDefault="006D760B" w:rsidP="006D760B">
            <w:pPr>
              <w:pStyle w:val="TableText0"/>
              <w:rPr>
                <w:bCs w:val="0"/>
                <w:lang w:val="en-US"/>
              </w:rPr>
            </w:pPr>
            <w:r w:rsidRPr="00F970DB">
              <w:rPr>
                <w:bCs w:val="0"/>
                <w:lang w:val="en-US"/>
              </w:rPr>
              <w:t>8.1</w:t>
            </w:r>
          </w:p>
        </w:tc>
        <w:tc>
          <w:tcPr>
            <w:tcW w:w="850" w:type="pct"/>
          </w:tcPr>
          <w:p w14:paraId="57C71C8F" w14:textId="7E13DA15" w:rsidR="00C965C9" w:rsidRPr="00F970DB" w:rsidRDefault="006D760B" w:rsidP="006D760B">
            <w:pPr>
              <w:pStyle w:val="TableText0"/>
              <w:rPr>
                <w:color w:val="222222"/>
                <w:lang w:val="en-US"/>
              </w:rPr>
            </w:pPr>
            <w:r w:rsidRPr="00F970DB">
              <w:rPr>
                <w:color w:val="222222"/>
                <w:lang w:val="en-US"/>
              </w:rPr>
              <w:t>12</w:t>
            </w:r>
            <w:r w:rsidR="00C17B17" w:rsidRPr="00F970DB">
              <w:rPr>
                <w:color w:val="222222"/>
                <w:lang w:val="en-US"/>
              </w:rPr>
              <w:t>.0</w:t>
            </w:r>
          </w:p>
        </w:tc>
        <w:tc>
          <w:tcPr>
            <w:tcW w:w="468" w:type="pct"/>
          </w:tcPr>
          <w:p w14:paraId="22CBEDBF" w14:textId="05E84867" w:rsidR="00C965C9" w:rsidRPr="00F970DB" w:rsidRDefault="006D760B" w:rsidP="006D760B">
            <w:pPr>
              <w:pStyle w:val="TableText0"/>
              <w:rPr>
                <w:color w:val="222222"/>
              </w:rPr>
            </w:pPr>
            <w:r w:rsidRPr="00F970DB">
              <w:rPr>
                <w:color w:val="222222"/>
              </w:rPr>
              <w:t>4.4</w:t>
            </w:r>
          </w:p>
        </w:tc>
        <w:tc>
          <w:tcPr>
            <w:tcW w:w="816" w:type="pct"/>
          </w:tcPr>
          <w:p w14:paraId="1C7D7218" w14:textId="23138E95" w:rsidR="00C965C9" w:rsidRPr="00F970DB" w:rsidRDefault="006D760B" w:rsidP="006D760B">
            <w:pPr>
              <w:pStyle w:val="TableText0"/>
              <w:rPr>
                <w:color w:val="222222"/>
              </w:rPr>
            </w:pPr>
            <w:r w:rsidRPr="00F970DB">
              <w:rPr>
                <w:color w:val="222222"/>
              </w:rPr>
              <w:t>4.3</w:t>
            </w:r>
          </w:p>
        </w:tc>
        <w:tc>
          <w:tcPr>
            <w:tcW w:w="806" w:type="pct"/>
          </w:tcPr>
          <w:p w14:paraId="5BE3F034" w14:textId="02236100" w:rsidR="00C965C9" w:rsidRPr="00E518DA" w:rsidRDefault="006D760B" w:rsidP="006D760B">
            <w:pPr>
              <w:pStyle w:val="TableText0"/>
              <w:rPr>
                <w:color w:val="222222"/>
              </w:rPr>
            </w:pPr>
            <w:r w:rsidRPr="00E518DA">
              <w:rPr>
                <w:color w:val="222222"/>
              </w:rPr>
              <w:t>8</w:t>
            </w:r>
            <w:r w:rsidR="00C17B17" w:rsidRPr="00E518DA">
              <w:rPr>
                <w:color w:val="222222"/>
              </w:rPr>
              <w:t>.0</w:t>
            </w:r>
          </w:p>
        </w:tc>
      </w:tr>
      <w:tr w:rsidR="00903B21" w:rsidRPr="00E518DA" w14:paraId="39C35C35" w14:textId="5282E690" w:rsidTr="001C575B">
        <w:trPr>
          <w:cantSplit/>
          <w:jc w:val="center"/>
        </w:trPr>
        <w:tc>
          <w:tcPr>
            <w:tcW w:w="815" w:type="pct"/>
          </w:tcPr>
          <w:p w14:paraId="5AFEEB81" w14:textId="77777777" w:rsidR="00C965C9" w:rsidRPr="00E518DA" w:rsidRDefault="00C965C9" w:rsidP="006D760B">
            <w:pPr>
              <w:pStyle w:val="TableText0"/>
              <w:rPr>
                <w:lang w:val="en-US"/>
              </w:rPr>
            </w:pPr>
            <w:r w:rsidRPr="00E518DA">
              <w:rPr>
                <w:color w:val="222222"/>
                <w:szCs w:val="20"/>
              </w:rPr>
              <w:t>Compliance rate</w:t>
            </w:r>
          </w:p>
        </w:tc>
        <w:tc>
          <w:tcPr>
            <w:tcW w:w="435" w:type="pct"/>
          </w:tcPr>
          <w:p w14:paraId="009D93DA" w14:textId="60A14C63" w:rsidR="00C965C9" w:rsidRPr="00E518DA" w:rsidRDefault="006D760B" w:rsidP="006D760B">
            <w:pPr>
              <w:pStyle w:val="TableText0"/>
              <w:rPr>
                <w:color w:val="222222"/>
              </w:rPr>
            </w:pPr>
            <w:r w:rsidRPr="00E518DA">
              <w:rPr>
                <w:color w:val="222222"/>
              </w:rPr>
              <w:t>100%</w:t>
            </w:r>
          </w:p>
        </w:tc>
        <w:tc>
          <w:tcPr>
            <w:tcW w:w="810" w:type="pct"/>
          </w:tcPr>
          <w:p w14:paraId="383DB975" w14:textId="394DDFFD" w:rsidR="00C965C9" w:rsidRPr="00E518DA" w:rsidRDefault="006D760B" w:rsidP="006D760B">
            <w:pPr>
              <w:pStyle w:val="TableText0"/>
              <w:rPr>
                <w:color w:val="222222"/>
                <w:vertAlign w:val="superscript"/>
              </w:rPr>
            </w:pPr>
            <w:r w:rsidRPr="00E518DA">
              <w:rPr>
                <w:color w:val="222222"/>
              </w:rPr>
              <w:t>100%</w:t>
            </w:r>
          </w:p>
        </w:tc>
        <w:tc>
          <w:tcPr>
            <w:tcW w:w="850" w:type="pct"/>
          </w:tcPr>
          <w:p w14:paraId="33009E3D" w14:textId="7B96CA7E" w:rsidR="00C965C9" w:rsidRPr="00E518DA" w:rsidRDefault="006D760B" w:rsidP="006D760B">
            <w:pPr>
              <w:pStyle w:val="TableText0"/>
              <w:rPr>
                <w:lang w:val="en-US"/>
              </w:rPr>
            </w:pPr>
            <w:r w:rsidRPr="00E518DA">
              <w:rPr>
                <w:color w:val="222222"/>
              </w:rPr>
              <w:t>100%</w:t>
            </w:r>
          </w:p>
        </w:tc>
        <w:tc>
          <w:tcPr>
            <w:tcW w:w="468" w:type="pct"/>
          </w:tcPr>
          <w:p w14:paraId="5277E0A8" w14:textId="62E33EF4" w:rsidR="00C965C9" w:rsidRPr="00E518DA" w:rsidRDefault="006D760B" w:rsidP="006D760B">
            <w:pPr>
              <w:pStyle w:val="TableText0"/>
              <w:rPr>
                <w:color w:val="222222"/>
              </w:rPr>
            </w:pPr>
            <w:r w:rsidRPr="00E518DA">
              <w:rPr>
                <w:color w:val="222222"/>
              </w:rPr>
              <w:t>100%</w:t>
            </w:r>
          </w:p>
        </w:tc>
        <w:tc>
          <w:tcPr>
            <w:tcW w:w="816" w:type="pct"/>
          </w:tcPr>
          <w:p w14:paraId="67E18BF3" w14:textId="42F30828" w:rsidR="00C965C9" w:rsidRPr="00E518DA" w:rsidRDefault="006D760B" w:rsidP="006D760B">
            <w:pPr>
              <w:pStyle w:val="TableText0"/>
              <w:rPr>
                <w:color w:val="222222"/>
              </w:rPr>
            </w:pPr>
            <w:r w:rsidRPr="00E518DA">
              <w:rPr>
                <w:color w:val="222222"/>
              </w:rPr>
              <w:t>100%</w:t>
            </w:r>
          </w:p>
        </w:tc>
        <w:tc>
          <w:tcPr>
            <w:tcW w:w="806" w:type="pct"/>
          </w:tcPr>
          <w:p w14:paraId="02D3FCD4" w14:textId="008CC77E" w:rsidR="00C965C9" w:rsidRPr="00E518DA" w:rsidRDefault="006D760B" w:rsidP="006D760B">
            <w:pPr>
              <w:pStyle w:val="TableText0"/>
              <w:rPr>
                <w:color w:val="222222"/>
              </w:rPr>
            </w:pPr>
            <w:r w:rsidRPr="00E518DA">
              <w:rPr>
                <w:color w:val="222222"/>
              </w:rPr>
              <w:t>100%</w:t>
            </w:r>
          </w:p>
        </w:tc>
      </w:tr>
      <w:tr w:rsidR="00C51FBB" w:rsidRPr="00E518DA" w14:paraId="63245ABC" w14:textId="199714AE" w:rsidTr="001C575B">
        <w:trPr>
          <w:cantSplit/>
          <w:jc w:val="center"/>
        </w:trPr>
        <w:tc>
          <w:tcPr>
            <w:tcW w:w="815" w:type="pct"/>
          </w:tcPr>
          <w:p w14:paraId="16B53320" w14:textId="315A0E11" w:rsidR="006D760B" w:rsidRPr="00E518DA" w:rsidRDefault="006D760B" w:rsidP="006D760B">
            <w:pPr>
              <w:pStyle w:val="TableText0"/>
              <w:rPr>
                <w:lang w:val="en-US"/>
              </w:rPr>
            </w:pPr>
            <w:r w:rsidRPr="00E518DA">
              <w:rPr>
                <w:lang w:val="en-US"/>
              </w:rPr>
              <w:t>Cost/patient/cycle (</w:t>
            </w:r>
            <w:r w:rsidR="00166D3B" w:rsidRPr="00E518DA">
              <w:rPr>
                <w:lang w:val="en-US"/>
              </w:rPr>
              <w:t xml:space="preserve">in a </w:t>
            </w:r>
            <w:r w:rsidRPr="00E518DA">
              <w:rPr>
                <w:lang w:val="en-US"/>
              </w:rPr>
              <w:t>three-weekly cycle)</w:t>
            </w:r>
            <w:r w:rsidR="00166D3B" w:rsidRPr="00E518DA">
              <w:rPr>
                <w:bCs w:val="0"/>
                <w:vertAlign w:val="superscript"/>
                <w:lang w:val="en-US"/>
              </w:rPr>
              <w:t xml:space="preserve"> a</w:t>
            </w:r>
          </w:p>
        </w:tc>
        <w:tc>
          <w:tcPr>
            <w:tcW w:w="435" w:type="pct"/>
          </w:tcPr>
          <w:p w14:paraId="40770C3F" w14:textId="1FF89C3F" w:rsidR="006D760B" w:rsidRPr="00E518DA" w:rsidRDefault="006D760B" w:rsidP="006D760B">
            <w:pPr>
              <w:pStyle w:val="TableText0"/>
              <w:rPr>
                <w:bCs w:val="0"/>
                <w:lang w:val="en-US"/>
              </w:rPr>
            </w:pPr>
            <w:r w:rsidRPr="00E518DA">
              <w:rPr>
                <w:bCs w:val="0"/>
                <w:lang w:val="en-US"/>
              </w:rPr>
              <w:t>NR</w:t>
            </w:r>
          </w:p>
        </w:tc>
        <w:tc>
          <w:tcPr>
            <w:tcW w:w="1659" w:type="pct"/>
            <w:gridSpan w:val="2"/>
          </w:tcPr>
          <w:p w14:paraId="0687BCFC" w14:textId="41A98A60" w:rsidR="00166D3B" w:rsidRPr="00E518DA" w:rsidRDefault="00166D3B" w:rsidP="006D760B">
            <w:pPr>
              <w:pStyle w:val="TableText0"/>
              <w:rPr>
                <w:bCs w:val="0"/>
                <w:lang w:val="en-US"/>
              </w:rPr>
            </w:pPr>
            <w:r w:rsidRPr="00E518DA">
              <w:rPr>
                <w:bCs w:val="0"/>
                <w:lang w:val="en-US"/>
              </w:rPr>
              <w:t>Glofitamab, Cycle 1: $</w:t>
            </w:r>
            <w:r w:rsidR="00BD6E95" w:rsidRPr="00BD6E95">
              <w:rPr>
                <w:bCs w:val="0"/>
                <w:color w:val="000000"/>
                <w:spacing w:val="53"/>
                <w:shd w:val="solid" w:color="000000" w:fill="000000"/>
                <w:fitText w:val="330" w:id="-632053760"/>
                <w:lang w:val="en-US"/>
                <w14:textFill>
                  <w14:solidFill>
                    <w14:srgbClr w14:val="000000">
                      <w14:alpha w14:val="100000"/>
                    </w14:srgbClr>
                  </w14:solidFill>
                </w14:textFill>
              </w:rPr>
              <w:t>|||</w:t>
            </w:r>
            <w:r w:rsidR="00BD6E95" w:rsidRPr="00BD6E95">
              <w:rPr>
                <w:bCs w:val="0"/>
                <w:color w:val="000000"/>
                <w:spacing w:val="1"/>
                <w:shd w:val="solid" w:color="000000" w:fill="000000"/>
                <w:fitText w:val="330" w:id="-632053760"/>
                <w:lang w:val="en-US"/>
                <w14:textFill>
                  <w14:solidFill>
                    <w14:srgbClr w14:val="000000">
                      <w14:alpha w14:val="100000"/>
                    </w14:srgbClr>
                  </w14:solidFill>
                </w14:textFill>
              </w:rPr>
              <w:t>|</w:t>
            </w:r>
          </w:p>
          <w:p w14:paraId="65F64B85" w14:textId="2F8EF6B6" w:rsidR="00166D3B" w:rsidRPr="00E518DA" w:rsidRDefault="00166D3B" w:rsidP="006D760B">
            <w:pPr>
              <w:pStyle w:val="TableText0"/>
              <w:rPr>
                <w:bCs w:val="0"/>
                <w:lang w:val="en-US"/>
              </w:rPr>
            </w:pPr>
            <w:r w:rsidRPr="00E518DA">
              <w:rPr>
                <w:bCs w:val="0"/>
                <w:lang w:val="en-US"/>
              </w:rPr>
              <w:t>Glofitamab, Cycles 2-12: $</w:t>
            </w:r>
            <w:r w:rsidR="00BD6E95" w:rsidRPr="00BD6E95">
              <w:rPr>
                <w:bCs w:val="0"/>
                <w:color w:val="000000"/>
                <w:spacing w:val="53"/>
                <w:shd w:val="solid" w:color="000000" w:fill="000000"/>
                <w:fitText w:val="330" w:id="-632053759"/>
                <w:lang w:val="en-US"/>
                <w14:textFill>
                  <w14:solidFill>
                    <w14:srgbClr w14:val="000000">
                      <w14:alpha w14:val="100000"/>
                    </w14:srgbClr>
                  </w14:solidFill>
                </w14:textFill>
              </w:rPr>
              <w:t>|||</w:t>
            </w:r>
            <w:r w:rsidR="00BD6E95" w:rsidRPr="00BD6E95">
              <w:rPr>
                <w:bCs w:val="0"/>
                <w:color w:val="000000"/>
                <w:spacing w:val="1"/>
                <w:shd w:val="solid" w:color="000000" w:fill="000000"/>
                <w:fitText w:val="330" w:id="-632053759"/>
                <w:lang w:val="en-US"/>
                <w14:textFill>
                  <w14:solidFill>
                    <w14:srgbClr w14:val="000000">
                      <w14:alpha w14:val="100000"/>
                    </w14:srgbClr>
                  </w14:solidFill>
                </w14:textFill>
              </w:rPr>
              <w:t>|</w:t>
            </w:r>
          </w:p>
          <w:p w14:paraId="2B18D030" w14:textId="499220EA" w:rsidR="00166D3B" w:rsidRPr="00E518DA" w:rsidRDefault="00166D3B" w:rsidP="00166D3B">
            <w:pPr>
              <w:pStyle w:val="TableText0"/>
              <w:rPr>
                <w:lang w:val="en-US"/>
              </w:rPr>
            </w:pPr>
            <w:r w:rsidRPr="00E518DA">
              <w:rPr>
                <w:lang w:val="en-US"/>
              </w:rPr>
              <w:t>Gemcitabine: $</w:t>
            </w:r>
            <w:r w:rsidRPr="00441F0A">
              <w:rPr>
                <w:lang w:val="en-US"/>
              </w:rPr>
              <w:t>143.43</w:t>
            </w:r>
            <w:r w:rsidR="00DB708D" w:rsidRPr="00E518DA">
              <w:rPr>
                <w:lang w:val="en-US"/>
              </w:rPr>
              <w:t xml:space="preserve"> </w:t>
            </w:r>
            <w:r w:rsidR="00DB708D" w:rsidRPr="00E518DA">
              <w:rPr>
                <w:vertAlign w:val="superscript"/>
                <w:lang w:val="en-US"/>
              </w:rPr>
              <w:t>b</w:t>
            </w:r>
          </w:p>
          <w:p w14:paraId="71F7950E" w14:textId="77777777" w:rsidR="00166D3B" w:rsidRPr="00E518DA" w:rsidRDefault="00166D3B" w:rsidP="00166D3B">
            <w:pPr>
              <w:pStyle w:val="TableText0"/>
              <w:rPr>
                <w:lang w:val="en-US"/>
              </w:rPr>
            </w:pPr>
            <w:r w:rsidRPr="00E518DA">
              <w:rPr>
                <w:lang w:val="en-US"/>
              </w:rPr>
              <w:t>Oxaliplatin: $</w:t>
            </w:r>
            <w:r w:rsidRPr="00441F0A">
              <w:rPr>
                <w:lang w:val="en-US"/>
              </w:rPr>
              <w:t>149.29</w:t>
            </w:r>
          </w:p>
          <w:p w14:paraId="1AF0A53F" w14:textId="26AAEEEF" w:rsidR="006D760B" w:rsidRPr="00E518DA" w:rsidRDefault="00166D3B" w:rsidP="00166D3B">
            <w:pPr>
              <w:pStyle w:val="TableText0"/>
              <w:rPr>
                <w:bCs w:val="0"/>
                <w:lang w:val="en-US"/>
              </w:rPr>
            </w:pPr>
            <w:r w:rsidRPr="00E518DA">
              <w:rPr>
                <w:bCs w:val="0"/>
                <w:lang w:val="en-US"/>
              </w:rPr>
              <w:t>Total costs, f</w:t>
            </w:r>
            <w:r w:rsidR="006D760B" w:rsidRPr="00E518DA">
              <w:rPr>
                <w:bCs w:val="0"/>
                <w:lang w:val="en-US"/>
              </w:rPr>
              <w:t xml:space="preserve">irst </w:t>
            </w:r>
            <w:r w:rsidRPr="00E518DA">
              <w:rPr>
                <w:bCs w:val="0"/>
                <w:lang w:val="en-US"/>
              </w:rPr>
              <w:t>C</w:t>
            </w:r>
            <w:r w:rsidR="006D760B" w:rsidRPr="00E518DA">
              <w:rPr>
                <w:bCs w:val="0"/>
                <w:lang w:val="en-US"/>
              </w:rPr>
              <w:t>ycle: $</w:t>
            </w:r>
            <w:r w:rsidR="00BD6E95" w:rsidRPr="00BD6E95">
              <w:rPr>
                <w:bCs w:val="0"/>
                <w:color w:val="000000"/>
                <w:spacing w:val="53"/>
                <w:shd w:val="solid" w:color="000000" w:fill="000000"/>
                <w:fitText w:val="330" w:id="-632053758"/>
                <w:lang w:val="en-US"/>
                <w14:textFill>
                  <w14:solidFill>
                    <w14:srgbClr w14:val="000000">
                      <w14:alpha w14:val="100000"/>
                    </w14:srgbClr>
                  </w14:solidFill>
                </w14:textFill>
              </w:rPr>
              <w:t>|||</w:t>
            </w:r>
            <w:r w:rsidR="00BD6E95" w:rsidRPr="00BD6E95">
              <w:rPr>
                <w:bCs w:val="0"/>
                <w:color w:val="000000"/>
                <w:spacing w:val="1"/>
                <w:shd w:val="solid" w:color="000000" w:fill="000000"/>
                <w:fitText w:val="330" w:id="-632053758"/>
                <w:lang w:val="en-US"/>
                <w14:textFill>
                  <w14:solidFill>
                    <w14:srgbClr w14:val="000000">
                      <w14:alpha w14:val="100000"/>
                    </w14:srgbClr>
                  </w14:solidFill>
                </w14:textFill>
              </w:rPr>
              <w:t>|</w:t>
            </w:r>
          </w:p>
          <w:p w14:paraId="1D002BFE" w14:textId="4300B165" w:rsidR="006D760B" w:rsidRPr="00E518DA" w:rsidRDefault="00166D3B" w:rsidP="006D760B">
            <w:pPr>
              <w:pStyle w:val="TableText0"/>
              <w:rPr>
                <w:bCs w:val="0"/>
                <w:lang w:val="en-US"/>
              </w:rPr>
            </w:pPr>
            <w:r w:rsidRPr="00E518DA">
              <w:rPr>
                <w:bCs w:val="0"/>
                <w:lang w:val="en-US"/>
              </w:rPr>
              <w:t>Total costs, s</w:t>
            </w:r>
            <w:r w:rsidR="006D760B" w:rsidRPr="00E518DA">
              <w:rPr>
                <w:bCs w:val="0"/>
                <w:lang w:val="en-US"/>
              </w:rPr>
              <w:t xml:space="preserve">ubsequent cycles (with </w:t>
            </w:r>
            <w:proofErr w:type="spellStart"/>
            <w:r w:rsidR="006D760B" w:rsidRPr="00E518DA">
              <w:rPr>
                <w:bCs w:val="0"/>
                <w:lang w:val="en-US"/>
              </w:rPr>
              <w:t>GemOx</w:t>
            </w:r>
            <w:proofErr w:type="spellEnd"/>
            <w:r w:rsidR="006D760B" w:rsidRPr="00E518DA">
              <w:rPr>
                <w:bCs w:val="0"/>
                <w:lang w:val="en-US"/>
              </w:rPr>
              <w:t>): $</w:t>
            </w:r>
            <w:r w:rsidR="00BD6E95" w:rsidRPr="00BD6E95">
              <w:rPr>
                <w:bCs w:val="0"/>
                <w:color w:val="000000"/>
                <w:spacing w:val="53"/>
                <w:shd w:val="solid" w:color="000000" w:fill="000000"/>
                <w:fitText w:val="330" w:id="-632053757"/>
                <w:lang w:val="en-US"/>
                <w14:textFill>
                  <w14:solidFill>
                    <w14:srgbClr w14:val="000000">
                      <w14:alpha w14:val="100000"/>
                    </w14:srgbClr>
                  </w14:solidFill>
                </w14:textFill>
              </w:rPr>
              <w:t>|||</w:t>
            </w:r>
            <w:r w:rsidR="00BD6E95" w:rsidRPr="00BD6E95">
              <w:rPr>
                <w:bCs w:val="0"/>
                <w:color w:val="000000"/>
                <w:spacing w:val="1"/>
                <w:shd w:val="solid" w:color="000000" w:fill="000000"/>
                <w:fitText w:val="330" w:id="-632053757"/>
                <w:lang w:val="en-US"/>
                <w14:textFill>
                  <w14:solidFill>
                    <w14:srgbClr w14:val="000000">
                      <w14:alpha w14:val="100000"/>
                    </w14:srgbClr>
                  </w14:solidFill>
                </w14:textFill>
              </w:rPr>
              <w:t>|</w:t>
            </w:r>
          </w:p>
          <w:p w14:paraId="34BD7453" w14:textId="2590ED60" w:rsidR="006D760B" w:rsidRPr="00E518DA" w:rsidRDefault="00166D3B" w:rsidP="006D760B">
            <w:pPr>
              <w:pStyle w:val="TableText0"/>
              <w:rPr>
                <w:lang w:val="en-US"/>
              </w:rPr>
            </w:pPr>
            <w:r w:rsidRPr="00E518DA">
              <w:rPr>
                <w:bCs w:val="0"/>
                <w:lang w:val="en-US"/>
              </w:rPr>
              <w:t xml:space="preserve">Total costs, subsequent cycles </w:t>
            </w:r>
            <w:r w:rsidR="006D760B" w:rsidRPr="00E518DA">
              <w:rPr>
                <w:bCs w:val="0"/>
                <w:lang w:val="en-US"/>
              </w:rPr>
              <w:t xml:space="preserve">(without </w:t>
            </w:r>
            <w:proofErr w:type="spellStart"/>
            <w:r w:rsidR="006D760B" w:rsidRPr="00E518DA">
              <w:rPr>
                <w:bCs w:val="0"/>
                <w:lang w:val="en-US"/>
              </w:rPr>
              <w:t>GemOx</w:t>
            </w:r>
            <w:proofErr w:type="spellEnd"/>
            <w:r w:rsidR="006D760B" w:rsidRPr="00E518DA">
              <w:rPr>
                <w:bCs w:val="0"/>
                <w:lang w:val="en-US"/>
              </w:rPr>
              <w:t>):</w:t>
            </w:r>
            <w:r w:rsidRPr="00E518DA">
              <w:rPr>
                <w:bCs w:val="0"/>
                <w:lang w:val="en-US"/>
              </w:rPr>
              <w:t xml:space="preserve"> $</w:t>
            </w:r>
            <w:r w:rsidR="00BD6E95" w:rsidRPr="00BD6E95">
              <w:rPr>
                <w:bCs w:val="0"/>
                <w:color w:val="000000"/>
                <w:spacing w:val="53"/>
                <w:shd w:val="solid" w:color="000000" w:fill="000000"/>
                <w:fitText w:val="330" w:id="-632053756"/>
                <w:lang w:val="en-US"/>
                <w14:textFill>
                  <w14:solidFill>
                    <w14:srgbClr w14:val="000000">
                      <w14:alpha w14:val="100000"/>
                    </w14:srgbClr>
                  </w14:solidFill>
                </w14:textFill>
              </w:rPr>
              <w:t>|||</w:t>
            </w:r>
            <w:r w:rsidR="00BD6E95" w:rsidRPr="00BD6E95">
              <w:rPr>
                <w:bCs w:val="0"/>
                <w:color w:val="000000"/>
                <w:spacing w:val="1"/>
                <w:shd w:val="solid" w:color="000000" w:fill="000000"/>
                <w:fitText w:val="330" w:id="-632053756"/>
                <w:lang w:val="en-US"/>
                <w14:textFill>
                  <w14:solidFill>
                    <w14:srgbClr w14:val="000000">
                      <w14:alpha w14:val="100000"/>
                    </w14:srgbClr>
                  </w14:solidFill>
                </w14:textFill>
              </w:rPr>
              <w:t>|</w:t>
            </w:r>
            <w:r w:rsidRPr="00E518DA">
              <w:rPr>
                <w:bCs w:val="0"/>
                <w:lang w:val="en-US"/>
              </w:rPr>
              <w:t xml:space="preserve"> </w:t>
            </w:r>
          </w:p>
        </w:tc>
        <w:tc>
          <w:tcPr>
            <w:tcW w:w="468" w:type="pct"/>
          </w:tcPr>
          <w:p w14:paraId="006F2783" w14:textId="49C758D0" w:rsidR="006D760B" w:rsidRPr="00E518DA" w:rsidRDefault="006D760B" w:rsidP="006D760B">
            <w:pPr>
              <w:pStyle w:val="TableText0"/>
              <w:rPr>
                <w:lang w:val="en-US"/>
              </w:rPr>
            </w:pPr>
            <w:r w:rsidRPr="00E518DA">
              <w:rPr>
                <w:lang w:val="en-US"/>
              </w:rPr>
              <w:t>NR</w:t>
            </w:r>
          </w:p>
        </w:tc>
        <w:tc>
          <w:tcPr>
            <w:tcW w:w="1622" w:type="pct"/>
            <w:gridSpan w:val="2"/>
          </w:tcPr>
          <w:p w14:paraId="46D3A328" w14:textId="3B661A02" w:rsidR="00166D3B" w:rsidRPr="00E518DA" w:rsidRDefault="00166D3B" w:rsidP="006D760B">
            <w:pPr>
              <w:pStyle w:val="TableText0"/>
              <w:rPr>
                <w:lang w:val="en-US"/>
              </w:rPr>
            </w:pPr>
            <w:r w:rsidRPr="00E518DA">
              <w:rPr>
                <w:lang w:val="en-US"/>
              </w:rPr>
              <w:t>Rituximab: $409.80</w:t>
            </w:r>
            <w:r w:rsidR="00DB708D" w:rsidRPr="00E518DA">
              <w:rPr>
                <w:lang w:val="en-US"/>
              </w:rPr>
              <w:t xml:space="preserve"> </w:t>
            </w:r>
            <w:r w:rsidR="00DB708D" w:rsidRPr="00E518DA">
              <w:rPr>
                <w:vertAlign w:val="superscript"/>
                <w:lang w:val="en-US"/>
              </w:rPr>
              <w:t>c</w:t>
            </w:r>
          </w:p>
          <w:p w14:paraId="33625F96" w14:textId="12992F99" w:rsidR="00166D3B" w:rsidRPr="00E518DA" w:rsidRDefault="00166D3B" w:rsidP="006D760B">
            <w:pPr>
              <w:pStyle w:val="TableText0"/>
              <w:rPr>
                <w:lang w:val="en-US"/>
              </w:rPr>
            </w:pPr>
            <w:r w:rsidRPr="00E518DA">
              <w:rPr>
                <w:lang w:val="en-US"/>
              </w:rPr>
              <w:t>Gemcitabine: $143.43</w:t>
            </w:r>
            <w:r w:rsidR="00DB708D" w:rsidRPr="00E518DA">
              <w:rPr>
                <w:lang w:val="en-US"/>
              </w:rPr>
              <w:t xml:space="preserve"> </w:t>
            </w:r>
            <w:r w:rsidR="00DB708D" w:rsidRPr="00E518DA">
              <w:rPr>
                <w:vertAlign w:val="superscript"/>
                <w:lang w:val="en-US"/>
              </w:rPr>
              <w:t>b</w:t>
            </w:r>
          </w:p>
          <w:p w14:paraId="4BD354E7" w14:textId="1315256C" w:rsidR="00166D3B" w:rsidRPr="00E518DA" w:rsidRDefault="00166D3B" w:rsidP="006D760B">
            <w:pPr>
              <w:pStyle w:val="TableText0"/>
              <w:rPr>
                <w:lang w:val="en-US"/>
              </w:rPr>
            </w:pPr>
            <w:r w:rsidRPr="00E518DA">
              <w:rPr>
                <w:lang w:val="en-US"/>
              </w:rPr>
              <w:t>Oxaliplatin: $149.29</w:t>
            </w:r>
          </w:p>
          <w:p w14:paraId="54010B83" w14:textId="03F025A4" w:rsidR="006D760B" w:rsidRPr="00E518DA" w:rsidRDefault="00166D3B" w:rsidP="006D760B">
            <w:pPr>
              <w:pStyle w:val="TableText0"/>
              <w:rPr>
                <w:lang w:val="en-US"/>
              </w:rPr>
            </w:pPr>
            <w:r w:rsidRPr="00E518DA">
              <w:rPr>
                <w:lang w:val="en-US"/>
              </w:rPr>
              <w:t>Total costs in Cycles 1-8: $702.52</w:t>
            </w:r>
          </w:p>
        </w:tc>
      </w:tr>
      <w:tr w:rsidR="00903B21" w:rsidRPr="00E518DA" w14:paraId="78D72658" w14:textId="47238931" w:rsidTr="001C575B">
        <w:trPr>
          <w:cantSplit/>
          <w:jc w:val="center"/>
        </w:trPr>
        <w:tc>
          <w:tcPr>
            <w:tcW w:w="815" w:type="pct"/>
          </w:tcPr>
          <w:p w14:paraId="04B9BC30" w14:textId="402774BE" w:rsidR="00C965C9" w:rsidRPr="00E518DA" w:rsidRDefault="00C965C9" w:rsidP="006D760B">
            <w:pPr>
              <w:pStyle w:val="TableText0"/>
              <w:rPr>
                <w:lang w:val="en-US"/>
              </w:rPr>
            </w:pPr>
            <w:r w:rsidRPr="00E518DA">
              <w:rPr>
                <w:lang w:val="en-US"/>
              </w:rPr>
              <w:t>Cost/patient/course</w:t>
            </w:r>
          </w:p>
        </w:tc>
        <w:tc>
          <w:tcPr>
            <w:tcW w:w="435" w:type="pct"/>
          </w:tcPr>
          <w:p w14:paraId="64752167" w14:textId="67424630" w:rsidR="00C965C9" w:rsidRPr="00E518DA" w:rsidRDefault="006D760B" w:rsidP="006D760B">
            <w:pPr>
              <w:pStyle w:val="TableText0"/>
              <w:rPr>
                <w:bCs w:val="0"/>
                <w:lang w:val="en-US"/>
              </w:rPr>
            </w:pPr>
            <w:r w:rsidRPr="00E518DA">
              <w:rPr>
                <w:bCs w:val="0"/>
                <w:lang w:val="en-US"/>
              </w:rPr>
              <w:t>N</w:t>
            </w:r>
            <w:r w:rsidRPr="00E518DA">
              <w:rPr>
                <w:lang w:val="en-US"/>
              </w:rPr>
              <w:t>R</w:t>
            </w:r>
          </w:p>
        </w:tc>
        <w:tc>
          <w:tcPr>
            <w:tcW w:w="810" w:type="pct"/>
          </w:tcPr>
          <w:p w14:paraId="77857B37" w14:textId="26561C86" w:rsidR="00C965C9" w:rsidRPr="00E518DA" w:rsidRDefault="00903B21" w:rsidP="006D760B">
            <w:pPr>
              <w:pStyle w:val="TableText0"/>
              <w:rPr>
                <w:bCs w:val="0"/>
                <w:lang w:val="en-US"/>
              </w:rPr>
            </w:pPr>
            <w:r w:rsidRPr="00E518DA">
              <w:rPr>
                <w:bCs w:val="0"/>
                <w:lang w:val="en-US"/>
              </w:rPr>
              <w:t>Glofitamab:</w:t>
            </w:r>
            <w:r w:rsidRPr="00E518DA">
              <w:t xml:space="preserve"> </w:t>
            </w:r>
            <w:r w:rsidRPr="00E518DA">
              <w:rPr>
                <w:bCs w:val="0"/>
                <w:lang w:val="en-US"/>
              </w:rPr>
              <w:t>$</w:t>
            </w:r>
            <w:r w:rsidR="00BD6E95" w:rsidRPr="00BD6E95">
              <w:rPr>
                <w:bCs w:val="0"/>
                <w:color w:val="000000"/>
                <w:spacing w:val="53"/>
                <w:shd w:val="solid" w:color="000000" w:fill="000000"/>
                <w:fitText w:val="330" w:id="-632053755"/>
                <w:lang w:val="en-US"/>
                <w14:textFill>
                  <w14:solidFill>
                    <w14:srgbClr w14:val="000000">
                      <w14:alpha w14:val="100000"/>
                    </w14:srgbClr>
                  </w14:solidFill>
                </w14:textFill>
              </w:rPr>
              <w:t>|||</w:t>
            </w:r>
            <w:r w:rsidR="00BD6E95" w:rsidRPr="00BD6E95">
              <w:rPr>
                <w:bCs w:val="0"/>
                <w:color w:val="000000"/>
                <w:spacing w:val="1"/>
                <w:shd w:val="solid" w:color="000000" w:fill="000000"/>
                <w:fitText w:val="330" w:id="-632053755"/>
                <w:lang w:val="en-US"/>
                <w14:textFill>
                  <w14:solidFill>
                    <w14:srgbClr w14:val="000000">
                      <w14:alpha w14:val="100000"/>
                    </w14:srgbClr>
                  </w14:solidFill>
                </w14:textFill>
              </w:rPr>
              <w:t>|</w:t>
            </w:r>
          </w:p>
          <w:p w14:paraId="56D4E7DD" w14:textId="582A658C" w:rsidR="00903B21" w:rsidRPr="00E518DA" w:rsidRDefault="00903B21" w:rsidP="00903B21">
            <w:pPr>
              <w:pStyle w:val="TableText0"/>
              <w:rPr>
                <w:lang w:val="en-US"/>
              </w:rPr>
            </w:pPr>
            <w:r w:rsidRPr="00E518DA">
              <w:rPr>
                <w:lang w:val="en-US"/>
              </w:rPr>
              <w:t>Gemcitabine: $841.48</w:t>
            </w:r>
          </w:p>
          <w:p w14:paraId="40CFDEEE" w14:textId="6E081B0F" w:rsidR="00903B21" w:rsidRPr="00E518DA" w:rsidRDefault="00903B21" w:rsidP="00903B21">
            <w:pPr>
              <w:pStyle w:val="TableText0"/>
              <w:rPr>
                <w:lang w:val="en-US"/>
              </w:rPr>
            </w:pPr>
            <w:r w:rsidRPr="00E518DA">
              <w:rPr>
                <w:lang w:val="en-US"/>
              </w:rPr>
              <w:t>Oxaliplatin: $868.36</w:t>
            </w:r>
          </w:p>
          <w:p w14:paraId="7C8F4D72" w14:textId="69F26931" w:rsidR="00903B21" w:rsidRPr="00E518DA" w:rsidRDefault="00903B21" w:rsidP="006D760B">
            <w:pPr>
              <w:pStyle w:val="TableText0"/>
              <w:rPr>
                <w:lang w:val="en-US"/>
              </w:rPr>
            </w:pPr>
            <w:r w:rsidRPr="00E518DA">
              <w:rPr>
                <w:lang w:val="en-US"/>
              </w:rPr>
              <w:t>Total: $</w:t>
            </w:r>
            <w:r w:rsidR="00BD6E95" w:rsidRPr="00BD6E95">
              <w:rPr>
                <w:color w:val="000000"/>
                <w:spacing w:val="53"/>
                <w:shd w:val="solid" w:color="000000" w:fill="000000"/>
                <w:fitText w:val="330" w:id="-632053754"/>
                <w:lang w:val="en-US"/>
                <w14:textFill>
                  <w14:solidFill>
                    <w14:srgbClr w14:val="000000">
                      <w14:alpha w14:val="100000"/>
                    </w14:srgbClr>
                  </w14:solidFill>
                </w14:textFill>
              </w:rPr>
              <w:t>|||</w:t>
            </w:r>
            <w:r w:rsidR="00BD6E95" w:rsidRPr="00BD6E95">
              <w:rPr>
                <w:color w:val="000000"/>
                <w:spacing w:val="1"/>
                <w:shd w:val="solid" w:color="000000" w:fill="000000"/>
                <w:fitText w:val="330" w:id="-632053754"/>
                <w:lang w:val="en-US"/>
                <w14:textFill>
                  <w14:solidFill>
                    <w14:srgbClr w14:val="000000">
                      <w14:alpha w14:val="100000"/>
                    </w14:srgbClr>
                  </w14:solidFill>
                </w14:textFill>
              </w:rPr>
              <w:t>|</w:t>
            </w:r>
            <w:r w:rsidRPr="00E518DA">
              <w:rPr>
                <w:lang w:val="en-US"/>
              </w:rPr>
              <w:t xml:space="preserve"> </w:t>
            </w:r>
            <w:r w:rsidR="00DB708D" w:rsidRPr="00E518DA">
              <w:rPr>
                <w:vertAlign w:val="superscript"/>
                <w:lang w:val="en-US"/>
              </w:rPr>
              <w:t>d</w:t>
            </w:r>
          </w:p>
        </w:tc>
        <w:tc>
          <w:tcPr>
            <w:tcW w:w="850" w:type="pct"/>
          </w:tcPr>
          <w:p w14:paraId="5EF94B91" w14:textId="452B2C22" w:rsidR="00903B21" w:rsidRPr="00E518DA" w:rsidRDefault="00903B21" w:rsidP="00903B21">
            <w:pPr>
              <w:pStyle w:val="TableText0"/>
              <w:rPr>
                <w:bCs w:val="0"/>
                <w:lang w:val="en-US"/>
              </w:rPr>
            </w:pPr>
            <w:r w:rsidRPr="00E518DA">
              <w:rPr>
                <w:bCs w:val="0"/>
                <w:lang w:val="en-US"/>
              </w:rPr>
              <w:t>Glofitamab:</w:t>
            </w:r>
            <w:r w:rsidR="00C51FBB" w:rsidRPr="00E518DA">
              <w:rPr>
                <w:lang w:val="en-US"/>
              </w:rPr>
              <w:t xml:space="preserve"> </w:t>
            </w:r>
            <w:r w:rsidR="00C51FBB" w:rsidRPr="00E518DA">
              <w:rPr>
                <w:bCs w:val="0"/>
                <w:lang w:val="en-US"/>
              </w:rPr>
              <w:t>$</w:t>
            </w:r>
            <w:r w:rsidR="00BD6E95" w:rsidRPr="00BD6E95">
              <w:rPr>
                <w:bCs w:val="0"/>
                <w:color w:val="000000"/>
                <w:spacing w:val="53"/>
                <w:shd w:val="solid" w:color="000000" w:fill="000000"/>
                <w:fitText w:val="330" w:id="-632053753"/>
                <w:lang w:val="en-US"/>
                <w14:textFill>
                  <w14:solidFill>
                    <w14:srgbClr w14:val="000000">
                      <w14:alpha w14:val="100000"/>
                    </w14:srgbClr>
                  </w14:solidFill>
                </w14:textFill>
              </w:rPr>
              <w:t>|||</w:t>
            </w:r>
            <w:r w:rsidR="00BD6E95" w:rsidRPr="00BD6E95">
              <w:rPr>
                <w:bCs w:val="0"/>
                <w:color w:val="000000"/>
                <w:spacing w:val="1"/>
                <w:shd w:val="solid" w:color="000000" w:fill="000000"/>
                <w:fitText w:val="330" w:id="-632053753"/>
                <w:lang w:val="en-US"/>
                <w14:textFill>
                  <w14:solidFill>
                    <w14:srgbClr w14:val="000000">
                      <w14:alpha w14:val="100000"/>
                    </w14:srgbClr>
                  </w14:solidFill>
                </w14:textFill>
              </w:rPr>
              <w:t>|</w:t>
            </w:r>
          </w:p>
          <w:p w14:paraId="1CD4D52A" w14:textId="210CDCF5" w:rsidR="00903B21" w:rsidRPr="00E518DA" w:rsidRDefault="00903B21" w:rsidP="00903B21">
            <w:pPr>
              <w:pStyle w:val="TableText0"/>
              <w:rPr>
                <w:lang w:val="en-US"/>
              </w:rPr>
            </w:pPr>
            <w:r w:rsidRPr="00E518DA">
              <w:rPr>
                <w:lang w:val="en-US"/>
              </w:rPr>
              <w:t xml:space="preserve">Gemcitabine: </w:t>
            </w:r>
            <w:r w:rsidR="00C51FBB" w:rsidRPr="00E518DA">
              <w:rPr>
                <w:lang w:val="en-US"/>
              </w:rPr>
              <w:t>$1,147.48</w:t>
            </w:r>
          </w:p>
          <w:p w14:paraId="2C027DC8" w14:textId="251AD296" w:rsidR="00903B21" w:rsidRPr="00E518DA" w:rsidRDefault="00903B21" w:rsidP="00903B21">
            <w:pPr>
              <w:pStyle w:val="TableText0"/>
              <w:rPr>
                <w:lang w:val="en-US"/>
              </w:rPr>
            </w:pPr>
            <w:r w:rsidRPr="00E518DA">
              <w:rPr>
                <w:lang w:val="en-US"/>
              </w:rPr>
              <w:t xml:space="preserve">Oxaliplatin: </w:t>
            </w:r>
            <w:r w:rsidR="00C51FBB" w:rsidRPr="00E518DA">
              <w:rPr>
                <w:lang w:val="en-US"/>
              </w:rPr>
              <w:t>$1,194.30</w:t>
            </w:r>
          </w:p>
          <w:p w14:paraId="209B173C" w14:textId="5DD6DADA" w:rsidR="00C965C9" w:rsidRPr="00E518DA" w:rsidRDefault="00903B21" w:rsidP="00903B21">
            <w:pPr>
              <w:pStyle w:val="TableText0"/>
              <w:rPr>
                <w:lang w:val="en-US"/>
              </w:rPr>
            </w:pPr>
            <w:r w:rsidRPr="00E518DA">
              <w:rPr>
                <w:lang w:val="en-US"/>
              </w:rPr>
              <w:t>Total: $</w:t>
            </w:r>
            <w:r w:rsidR="00BD6E95" w:rsidRPr="00BD6E95">
              <w:rPr>
                <w:color w:val="000000"/>
                <w:spacing w:val="53"/>
                <w:shd w:val="solid" w:color="000000" w:fill="000000"/>
                <w:fitText w:val="330" w:id="-632053752"/>
                <w:lang w:val="en-US"/>
                <w14:textFill>
                  <w14:solidFill>
                    <w14:srgbClr w14:val="000000">
                      <w14:alpha w14:val="100000"/>
                    </w14:srgbClr>
                  </w14:solidFill>
                </w14:textFill>
              </w:rPr>
              <w:t>|||</w:t>
            </w:r>
            <w:r w:rsidR="00BD6E95" w:rsidRPr="00BD6E95">
              <w:rPr>
                <w:color w:val="000000"/>
                <w:spacing w:val="1"/>
                <w:shd w:val="solid" w:color="000000" w:fill="000000"/>
                <w:fitText w:val="330" w:id="-632053752"/>
                <w:lang w:val="en-US"/>
                <w14:textFill>
                  <w14:solidFill>
                    <w14:srgbClr w14:val="000000">
                      <w14:alpha w14:val="100000"/>
                    </w14:srgbClr>
                  </w14:solidFill>
                </w14:textFill>
              </w:rPr>
              <w:t>|</w:t>
            </w:r>
            <w:r w:rsidRPr="00E518DA">
              <w:rPr>
                <w:lang w:val="en-US"/>
              </w:rPr>
              <w:t xml:space="preserve"> </w:t>
            </w:r>
            <w:r w:rsidR="00DB708D" w:rsidRPr="00E518DA">
              <w:rPr>
                <w:vertAlign w:val="superscript"/>
                <w:lang w:val="en-US"/>
              </w:rPr>
              <w:t>e</w:t>
            </w:r>
          </w:p>
        </w:tc>
        <w:tc>
          <w:tcPr>
            <w:tcW w:w="468" w:type="pct"/>
          </w:tcPr>
          <w:p w14:paraId="4129AD1C" w14:textId="4027A4C9" w:rsidR="00C965C9" w:rsidRPr="00E518DA" w:rsidRDefault="00903B21" w:rsidP="006D760B">
            <w:pPr>
              <w:pStyle w:val="TableText0"/>
              <w:rPr>
                <w:lang w:val="en-US"/>
              </w:rPr>
            </w:pPr>
            <w:r w:rsidRPr="00E518DA">
              <w:rPr>
                <w:lang w:val="en-US"/>
              </w:rPr>
              <w:t>NR</w:t>
            </w:r>
          </w:p>
        </w:tc>
        <w:tc>
          <w:tcPr>
            <w:tcW w:w="816" w:type="pct"/>
          </w:tcPr>
          <w:p w14:paraId="3788F90A" w14:textId="43482865" w:rsidR="00903B21" w:rsidRPr="00E518DA" w:rsidRDefault="00903B21" w:rsidP="00903B21">
            <w:pPr>
              <w:pStyle w:val="TableText0"/>
              <w:rPr>
                <w:bCs w:val="0"/>
                <w:lang w:val="en-US"/>
              </w:rPr>
            </w:pPr>
            <w:r w:rsidRPr="00E518DA">
              <w:rPr>
                <w:bCs w:val="0"/>
                <w:lang w:val="en-US"/>
              </w:rPr>
              <w:t>Rituximab:</w:t>
            </w:r>
            <w:r w:rsidRPr="00E518DA">
              <w:t xml:space="preserve"> </w:t>
            </w:r>
            <w:r w:rsidRPr="00E518DA">
              <w:rPr>
                <w:bCs w:val="0"/>
                <w:lang w:val="en-US"/>
              </w:rPr>
              <w:t>$1,746.90</w:t>
            </w:r>
          </w:p>
          <w:p w14:paraId="1CC6C735" w14:textId="2F372924" w:rsidR="00903B21" w:rsidRPr="00E518DA" w:rsidRDefault="00903B21" w:rsidP="00903B21">
            <w:pPr>
              <w:pStyle w:val="TableText0"/>
              <w:rPr>
                <w:lang w:val="en-US"/>
              </w:rPr>
            </w:pPr>
            <w:r w:rsidRPr="00E518DA">
              <w:rPr>
                <w:lang w:val="en-US"/>
              </w:rPr>
              <w:t>Gemcitabine: $564.97</w:t>
            </w:r>
          </w:p>
          <w:p w14:paraId="6BDEDC21" w14:textId="77777777" w:rsidR="00903B21" w:rsidRPr="00E518DA" w:rsidRDefault="00903B21" w:rsidP="00903B21">
            <w:pPr>
              <w:pStyle w:val="TableText0"/>
              <w:rPr>
                <w:lang w:val="en-US"/>
              </w:rPr>
            </w:pPr>
            <w:r w:rsidRPr="00E518DA">
              <w:rPr>
                <w:lang w:val="en-US"/>
              </w:rPr>
              <w:t>Oxaliplatin: $536.61</w:t>
            </w:r>
          </w:p>
          <w:p w14:paraId="66EBD2C7" w14:textId="4599580D" w:rsidR="00C965C9" w:rsidRPr="00E518DA" w:rsidRDefault="00903B21" w:rsidP="00903B21">
            <w:pPr>
              <w:pStyle w:val="TableText0"/>
              <w:rPr>
                <w:lang w:val="en-US"/>
              </w:rPr>
            </w:pPr>
            <w:r w:rsidRPr="00E518DA">
              <w:rPr>
                <w:lang w:val="en-US"/>
              </w:rPr>
              <w:t xml:space="preserve">Total: $2,848.68 </w:t>
            </w:r>
            <w:r w:rsidR="00DB708D" w:rsidRPr="00E518DA">
              <w:rPr>
                <w:vertAlign w:val="superscript"/>
                <w:lang w:val="en-US"/>
              </w:rPr>
              <w:t>d</w:t>
            </w:r>
          </w:p>
        </w:tc>
        <w:tc>
          <w:tcPr>
            <w:tcW w:w="806" w:type="pct"/>
          </w:tcPr>
          <w:p w14:paraId="608E30CF" w14:textId="77777777" w:rsidR="00C51FBB" w:rsidRPr="00E518DA" w:rsidRDefault="00C51FBB" w:rsidP="00C51FBB">
            <w:pPr>
              <w:pStyle w:val="TableText0"/>
              <w:rPr>
                <w:lang w:val="en-US"/>
              </w:rPr>
            </w:pPr>
            <w:r w:rsidRPr="00E518DA">
              <w:rPr>
                <w:lang w:val="en-US"/>
              </w:rPr>
              <w:t>Rituximab: $3,278.41</w:t>
            </w:r>
          </w:p>
          <w:p w14:paraId="49F35E2C" w14:textId="77777777" w:rsidR="00C51FBB" w:rsidRPr="00E518DA" w:rsidRDefault="00C51FBB" w:rsidP="00C51FBB">
            <w:pPr>
              <w:pStyle w:val="TableText0"/>
              <w:rPr>
                <w:lang w:val="en-US"/>
              </w:rPr>
            </w:pPr>
            <w:r w:rsidRPr="00E518DA">
              <w:rPr>
                <w:lang w:val="en-US"/>
              </w:rPr>
              <w:t>Gemcitabine: $1,147.48</w:t>
            </w:r>
          </w:p>
          <w:p w14:paraId="1870AA2F" w14:textId="77777777" w:rsidR="00C51FBB" w:rsidRPr="00E518DA" w:rsidRDefault="00C51FBB" w:rsidP="00C51FBB">
            <w:pPr>
              <w:pStyle w:val="TableText0"/>
              <w:rPr>
                <w:lang w:val="en-US"/>
              </w:rPr>
            </w:pPr>
            <w:r w:rsidRPr="00E518DA">
              <w:rPr>
                <w:lang w:val="en-US"/>
              </w:rPr>
              <w:t>Oxaliplatin: $1,194.30</w:t>
            </w:r>
          </w:p>
          <w:p w14:paraId="3952E628" w14:textId="26EEC58D" w:rsidR="00C965C9" w:rsidRPr="00E518DA" w:rsidRDefault="00C51FBB" w:rsidP="00C51FBB">
            <w:pPr>
              <w:pStyle w:val="TableText0"/>
              <w:rPr>
                <w:lang w:val="en-US"/>
              </w:rPr>
            </w:pPr>
            <w:r w:rsidRPr="00E518DA">
              <w:rPr>
                <w:lang w:val="en-US"/>
              </w:rPr>
              <w:t xml:space="preserve">Total: $5,620.20 </w:t>
            </w:r>
            <w:r w:rsidR="00DB708D" w:rsidRPr="00E518DA">
              <w:rPr>
                <w:vertAlign w:val="superscript"/>
                <w:lang w:val="en-US"/>
              </w:rPr>
              <w:t>e</w:t>
            </w:r>
          </w:p>
        </w:tc>
      </w:tr>
    </w:tbl>
    <w:p w14:paraId="70E6FE18" w14:textId="44B67CEF" w:rsidR="004F4951" w:rsidRPr="00E518DA" w:rsidRDefault="004F4951" w:rsidP="004F4951">
      <w:pPr>
        <w:pStyle w:val="FooterTableFigure"/>
      </w:pPr>
      <w:r w:rsidRPr="00E518DA">
        <w:t>Source: compiled during the evaluation.</w:t>
      </w:r>
    </w:p>
    <w:p w14:paraId="0177032F" w14:textId="629753D2" w:rsidR="00C965C9" w:rsidRPr="00E518DA" w:rsidRDefault="00C965C9" w:rsidP="00C965C9">
      <w:pPr>
        <w:pStyle w:val="FooterTableFigure"/>
        <w:spacing w:after="0"/>
      </w:pPr>
      <w:proofErr w:type="spellStart"/>
      <w:r w:rsidRPr="00E518DA">
        <w:t>GemOx</w:t>
      </w:r>
      <w:proofErr w:type="spellEnd"/>
      <w:r w:rsidRPr="00E518DA">
        <w:t xml:space="preserve">=gemcitabine + oxaliplatin; </w:t>
      </w:r>
      <w:proofErr w:type="spellStart"/>
      <w:r w:rsidRPr="00E518DA">
        <w:t>Glofit</w:t>
      </w:r>
      <w:proofErr w:type="spellEnd"/>
      <w:r w:rsidRPr="00E518DA">
        <w:t xml:space="preserve">=glofitamab; </w:t>
      </w:r>
      <w:r w:rsidR="004F4951" w:rsidRPr="00E518DA">
        <w:t>NA=not applicable, NR=not reported</w:t>
      </w:r>
      <w:r w:rsidRPr="00E518DA">
        <w:t>; R=rituximab</w:t>
      </w:r>
      <w:r w:rsidR="004F4951" w:rsidRPr="00E518DA">
        <w:t>.</w:t>
      </w:r>
    </w:p>
    <w:p w14:paraId="1B58A151" w14:textId="05ED0216" w:rsidR="00C51FBB" w:rsidRPr="00E518DA" w:rsidRDefault="00C51FBB" w:rsidP="00DB708D">
      <w:pPr>
        <w:pStyle w:val="FooterTableFigure"/>
        <w:spacing w:after="0"/>
      </w:pPr>
      <w:r w:rsidRPr="00E518DA">
        <w:rPr>
          <w:vertAlign w:val="superscript"/>
        </w:rPr>
        <w:t xml:space="preserve">a </w:t>
      </w:r>
      <w:r w:rsidR="00F10388">
        <w:rPr>
          <w:vertAlign w:val="superscript"/>
        </w:rPr>
        <w:t xml:space="preserve">   </w:t>
      </w:r>
      <w:r w:rsidRPr="00E518DA">
        <w:t>Assuming 100% of patients receive 100% of the administered dose.</w:t>
      </w:r>
    </w:p>
    <w:p w14:paraId="4E042987" w14:textId="72BF005C" w:rsidR="00DB708D" w:rsidRPr="00E518DA" w:rsidRDefault="00DB708D" w:rsidP="007E6C9D">
      <w:pPr>
        <w:pStyle w:val="TableFigureFooter"/>
        <w:keepLines/>
        <w:ind w:left="170" w:hanging="170"/>
      </w:pPr>
      <w:r w:rsidRPr="00E518DA">
        <w:rPr>
          <w:vertAlign w:val="superscript"/>
        </w:rPr>
        <w:t>b</w:t>
      </w:r>
      <w:r w:rsidR="007E6C9D" w:rsidRPr="00E518DA">
        <w:rPr>
          <w:vertAlign w:val="superscript"/>
        </w:rPr>
        <w:tab/>
      </w:r>
      <w:r w:rsidRPr="00E518DA">
        <w:t>The public and private shares of rituximab prescriptions were 34.78% and 65.22%, respectively. An error was identified during the evaluation: the submission had incorrectly reversed these shares, assigning the public share to private and vice versa. As a result, the value of $409.80 was incorrectly calculated and applied in the base case. The correct value was $424.69.</w:t>
      </w:r>
    </w:p>
    <w:p w14:paraId="04806DE2" w14:textId="247DC9B3" w:rsidR="00DB708D" w:rsidRPr="00E518DA" w:rsidRDefault="00DB708D" w:rsidP="007E6C9D">
      <w:pPr>
        <w:pStyle w:val="TableFigureFooter"/>
        <w:keepLines/>
        <w:spacing w:after="0"/>
        <w:ind w:left="170" w:hanging="170"/>
      </w:pPr>
      <w:r w:rsidRPr="00E518DA">
        <w:rPr>
          <w:vertAlign w:val="superscript"/>
        </w:rPr>
        <w:t>c</w:t>
      </w:r>
      <w:r w:rsidR="007E6C9D" w:rsidRPr="00E518DA">
        <w:rPr>
          <w:vertAlign w:val="superscript"/>
        </w:rPr>
        <w:tab/>
      </w:r>
      <w:r w:rsidRPr="00E518DA">
        <w:t>The public and private shares of gemcitabine prescriptions were 32.22% and 67.78%, respectively. An error was identified during the evaluation: the submission had incorrectly reversed these shares, assigning the public share to private and vice versa. As a result, the value of $143.43 was incorrectly calculated and applied in the base case. The correct value was $159.52.</w:t>
      </w:r>
    </w:p>
    <w:p w14:paraId="32314F42" w14:textId="27CDD4F0" w:rsidR="00C51FBB" w:rsidRPr="00E518DA" w:rsidRDefault="00DB708D" w:rsidP="007E6C9D">
      <w:pPr>
        <w:pStyle w:val="FooterTableFigure"/>
        <w:ind w:left="170" w:hanging="170"/>
      </w:pPr>
      <w:r w:rsidRPr="00E518DA">
        <w:rPr>
          <w:vertAlign w:val="superscript"/>
        </w:rPr>
        <w:t>d</w:t>
      </w:r>
      <w:r w:rsidR="007E6C9D" w:rsidRPr="00E518DA">
        <w:tab/>
      </w:r>
      <w:r w:rsidR="00C51FBB" w:rsidRPr="00E518DA">
        <w:t xml:space="preserve">This was compiled from the 'Results' worksheet of Economic Evaluation_glofit.xlsx and calculated by applying the proportion of patients receiving each treatment in each cycle (see </w:t>
      </w:r>
      <w:r w:rsidR="00C51FBB" w:rsidRPr="00E518DA">
        <w:fldChar w:fldCharType="begin" w:fldLock="1"/>
      </w:r>
      <w:r w:rsidR="00C51FBB" w:rsidRPr="00E518DA">
        <w:instrText xml:space="preserve"> REF _Ref195623707 \h </w:instrText>
      </w:r>
      <w:r w:rsidR="00E518DA">
        <w:instrText xml:space="preserve"> \* MERGEFORMAT </w:instrText>
      </w:r>
      <w:r w:rsidR="00C51FBB" w:rsidRPr="00E518DA">
        <w:fldChar w:fldCharType="separate"/>
      </w:r>
      <w:r w:rsidR="003C21E7" w:rsidRPr="003C21E7">
        <w:t xml:space="preserve">Figure </w:t>
      </w:r>
      <w:r w:rsidR="003C21E7" w:rsidRPr="003C21E7">
        <w:rPr>
          <w:noProof/>
        </w:rPr>
        <w:t>5</w:t>
      </w:r>
      <w:r w:rsidR="00C51FBB" w:rsidRPr="00E518DA">
        <w:fldChar w:fldCharType="end"/>
      </w:r>
      <w:r w:rsidR="00C51FBB" w:rsidRPr="00E518DA">
        <w:t xml:space="preserve">, red dots). </w:t>
      </w:r>
    </w:p>
    <w:p w14:paraId="62778C75" w14:textId="57196563" w:rsidR="00C51FBB" w:rsidRPr="00E518DA" w:rsidRDefault="00DB708D" w:rsidP="007E6C9D">
      <w:pPr>
        <w:pStyle w:val="FooterTableFigure"/>
        <w:ind w:left="170" w:hanging="170"/>
      </w:pPr>
      <w:r w:rsidRPr="00E518DA">
        <w:rPr>
          <w:vertAlign w:val="superscript"/>
        </w:rPr>
        <w:t>e</w:t>
      </w:r>
      <w:r w:rsidR="007E6C9D" w:rsidRPr="00E518DA">
        <w:tab/>
      </w:r>
      <w:r w:rsidR="00C51FBB" w:rsidRPr="00E518DA">
        <w:t xml:space="preserve">This estimate was based on the maximum number of treatment cycles per arm and the cost per patient per cycle, assuming all patients received the full dose in each cycle. </w:t>
      </w:r>
    </w:p>
    <w:p w14:paraId="00EAACF0" w14:textId="77777777" w:rsidR="002A0BBB" w:rsidRPr="005B024E" w:rsidRDefault="002A0BBB" w:rsidP="002A0BBB">
      <w:pPr>
        <w:pStyle w:val="4-SubsectionHeading"/>
      </w:pPr>
      <w:bookmarkStart w:id="99" w:name="_Toc22897647"/>
      <w:bookmarkStart w:id="100" w:name="_Toc113975485"/>
      <w:bookmarkStart w:id="101" w:name="_Toc198716604"/>
      <w:bookmarkEnd w:id="65"/>
      <w:bookmarkEnd w:id="96"/>
      <w:r w:rsidRPr="005B024E">
        <w:t>Estimated PBS usage &amp; financial implications</w:t>
      </w:r>
      <w:bookmarkEnd w:id="99"/>
      <w:bookmarkEnd w:id="100"/>
      <w:bookmarkEnd w:id="101"/>
    </w:p>
    <w:p w14:paraId="4B84F375" w14:textId="6DC1B6EF" w:rsidR="006F65D8" w:rsidRPr="00154042" w:rsidRDefault="006F65D8" w:rsidP="00154042">
      <w:pPr>
        <w:numPr>
          <w:ilvl w:val="1"/>
          <w:numId w:val="1"/>
        </w:numPr>
        <w:spacing w:before="60" w:after="60"/>
        <w:rPr>
          <w:rFonts w:asciiTheme="minorHAnsi" w:hAnsiTheme="minorHAnsi"/>
          <w:iCs/>
          <w:snapToGrid w:val="0"/>
        </w:rPr>
      </w:pPr>
      <w:r w:rsidRPr="00154042">
        <w:rPr>
          <w:rFonts w:asciiTheme="minorHAnsi" w:hAnsiTheme="minorHAnsi"/>
          <w:iCs/>
          <w:snapToGrid w:val="0"/>
        </w:rPr>
        <w:t xml:space="preserve">This submission </w:t>
      </w:r>
      <w:r w:rsidR="003E72FC">
        <w:rPr>
          <w:rFonts w:asciiTheme="minorHAnsi" w:hAnsiTheme="minorHAnsi"/>
          <w:iCs/>
          <w:snapToGrid w:val="0"/>
        </w:rPr>
        <w:t>was</w:t>
      </w:r>
      <w:r w:rsidRPr="00154042">
        <w:rPr>
          <w:rFonts w:asciiTheme="minorHAnsi" w:hAnsiTheme="minorHAnsi"/>
          <w:iCs/>
          <w:snapToGrid w:val="0"/>
        </w:rPr>
        <w:t xml:space="preserve"> not considered by DUSC.</w:t>
      </w:r>
    </w:p>
    <w:p w14:paraId="45F91B6D" w14:textId="3D767359" w:rsidR="002A0BBB" w:rsidRPr="00154042" w:rsidRDefault="002A0BBB" w:rsidP="00154042">
      <w:pPr>
        <w:numPr>
          <w:ilvl w:val="1"/>
          <w:numId w:val="1"/>
        </w:numPr>
        <w:spacing w:before="60" w:after="60"/>
        <w:rPr>
          <w:rFonts w:asciiTheme="minorHAnsi" w:hAnsiTheme="minorHAnsi"/>
          <w:iCs/>
          <w:snapToGrid w:val="0"/>
        </w:rPr>
      </w:pPr>
      <w:r w:rsidRPr="00154042">
        <w:rPr>
          <w:rFonts w:asciiTheme="minorHAnsi" w:hAnsiTheme="minorHAnsi"/>
          <w:iCs/>
          <w:snapToGrid w:val="0"/>
        </w:rPr>
        <w:t>The submission estimated the financial implications of the proposed listing using an epidemiological approach</w:t>
      </w:r>
      <w:r w:rsidR="007E6C9D" w:rsidRPr="00154042">
        <w:rPr>
          <w:rFonts w:asciiTheme="minorHAnsi" w:hAnsiTheme="minorHAnsi"/>
          <w:iCs/>
          <w:snapToGrid w:val="0"/>
        </w:rPr>
        <w:t>,</w:t>
      </w:r>
      <w:r w:rsidRPr="00154042">
        <w:rPr>
          <w:rFonts w:asciiTheme="minorHAnsi" w:hAnsiTheme="minorHAnsi"/>
          <w:iCs/>
          <w:snapToGrid w:val="0"/>
        </w:rPr>
        <w:t xml:space="preserve"> including only incident patients</w:t>
      </w:r>
      <w:r w:rsidR="00A64DE3" w:rsidRPr="00154042">
        <w:rPr>
          <w:rFonts w:asciiTheme="minorHAnsi" w:hAnsiTheme="minorHAnsi"/>
          <w:iCs/>
          <w:snapToGrid w:val="0"/>
        </w:rPr>
        <w:t>,</w:t>
      </w:r>
      <w:r w:rsidRPr="00154042">
        <w:rPr>
          <w:rFonts w:asciiTheme="minorHAnsi" w:hAnsiTheme="minorHAnsi"/>
          <w:iCs/>
          <w:snapToGrid w:val="0"/>
        </w:rPr>
        <w:t xml:space="preserve"> given the aggressive nature of DLBCL (i.e., relatively short duration from diagnosis to first-line treatment). </w:t>
      </w:r>
    </w:p>
    <w:p w14:paraId="46D53701" w14:textId="4D3142AB" w:rsidR="007C3355" w:rsidRPr="00154042" w:rsidRDefault="007C3355" w:rsidP="00154042">
      <w:pPr>
        <w:numPr>
          <w:ilvl w:val="1"/>
          <w:numId w:val="1"/>
        </w:numPr>
        <w:spacing w:before="60" w:after="60"/>
        <w:rPr>
          <w:rFonts w:asciiTheme="minorHAnsi" w:hAnsiTheme="minorHAnsi"/>
          <w:iCs/>
          <w:snapToGrid w:val="0"/>
        </w:rPr>
      </w:pPr>
      <w:r w:rsidRPr="00154042">
        <w:rPr>
          <w:rFonts w:asciiTheme="minorHAnsi" w:hAnsiTheme="minorHAnsi"/>
          <w:iCs/>
          <w:snapToGrid w:val="0"/>
        </w:rPr>
        <w:fldChar w:fldCharType="begin" w:fldLock="1"/>
      </w:r>
      <w:r w:rsidRPr="00154042">
        <w:rPr>
          <w:rFonts w:asciiTheme="minorHAnsi" w:hAnsiTheme="minorHAnsi"/>
          <w:iCs/>
          <w:snapToGrid w:val="0"/>
        </w:rPr>
        <w:instrText xml:space="preserve"> REF _Ref195794423 \h </w:instrText>
      </w:r>
      <w:r w:rsidR="00154042">
        <w:rPr>
          <w:rFonts w:asciiTheme="minorHAnsi" w:hAnsiTheme="minorHAnsi"/>
          <w:iCs/>
          <w:snapToGrid w:val="0"/>
        </w:rPr>
        <w:instrText xml:space="preserve"> \* MERGEFORMAT </w:instrText>
      </w:r>
      <w:r w:rsidRPr="00154042">
        <w:rPr>
          <w:rFonts w:asciiTheme="minorHAnsi" w:hAnsiTheme="minorHAnsi"/>
          <w:iCs/>
          <w:snapToGrid w:val="0"/>
        </w:rPr>
      </w:r>
      <w:r w:rsidRPr="00154042">
        <w:rPr>
          <w:rFonts w:asciiTheme="minorHAnsi" w:hAnsiTheme="minorHAnsi"/>
          <w:iCs/>
          <w:snapToGrid w:val="0"/>
        </w:rPr>
        <w:fldChar w:fldCharType="separate"/>
      </w:r>
      <w:r w:rsidR="003C21E7" w:rsidRPr="003C21E7">
        <w:rPr>
          <w:rFonts w:asciiTheme="minorHAnsi" w:hAnsiTheme="minorHAnsi"/>
          <w:iCs/>
          <w:snapToGrid w:val="0"/>
        </w:rPr>
        <w:t>Table 18</w:t>
      </w:r>
      <w:r w:rsidRPr="00154042">
        <w:rPr>
          <w:rFonts w:asciiTheme="minorHAnsi" w:hAnsiTheme="minorHAnsi"/>
          <w:iCs/>
          <w:snapToGrid w:val="0"/>
        </w:rPr>
        <w:fldChar w:fldCharType="end"/>
      </w:r>
      <w:r w:rsidRPr="00154042">
        <w:rPr>
          <w:rFonts w:asciiTheme="minorHAnsi" w:hAnsiTheme="minorHAnsi"/>
          <w:iCs/>
          <w:snapToGrid w:val="0"/>
        </w:rPr>
        <w:t xml:space="preserve"> summarises the calculation of the number of patients likely to receive </w:t>
      </w:r>
      <w:r w:rsidR="006F65D8" w:rsidRPr="00154042">
        <w:rPr>
          <w:rFonts w:asciiTheme="minorHAnsi" w:hAnsiTheme="minorHAnsi"/>
          <w:iCs/>
          <w:snapToGrid w:val="0"/>
        </w:rPr>
        <w:t>Glofit-GemOx</w:t>
      </w:r>
      <w:r w:rsidRPr="00154042">
        <w:rPr>
          <w:rFonts w:asciiTheme="minorHAnsi" w:hAnsiTheme="minorHAnsi"/>
          <w:iCs/>
          <w:snapToGrid w:val="0"/>
        </w:rPr>
        <w:t>, number of scripts dispensed, and costs to the PBS/RPBS.</w:t>
      </w:r>
    </w:p>
    <w:p w14:paraId="009DECD5" w14:textId="5FBBD7EB" w:rsidR="002A0BBB" w:rsidRPr="005B024E" w:rsidRDefault="002A0BBB" w:rsidP="002A0BBB">
      <w:pPr>
        <w:pStyle w:val="Caption"/>
        <w:jc w:val="left"/>
        <w:rPr>
          <w:rStyle w:val="CommentReference"/>
          <w:b/>
          <w:szCs w:val="24"/>
        </w:rPr>
      </w:pPr>
      <w:bookmarkStart w:id="102" w:name="_Ref195794423"/>
      <w:r w:rsidRPr="005B024E">
        <w:t xml:space="preserve">Table </w:t>
      </w:r>
      <w:r w:rsidR="00F257F5">
        <w:fldChar w:fldCharType="begin" w:fldLock="1"/>
      </w:r>
      <w:r w:rsidR="00F257F5">
        <w:instrText xml:space="preserve"> SEQ Table \* ARABIC </w:instrText>
      </w:r>
      <w:r w:rsidR="00F257F5">
        <w:fldChar w:fldCharType="separate"/>
      </w:r>
      <w:r w:rsidR="003C21E7">
        <w:rPr>
          <w:noProof/>
        </w:rPr>
        <w:t>18</w:t>
      </w:r>
      <w:r w:rsidR="00F257F5">
        <w:rPr>
          <w:noProof/>
        </w:rPr>
        <w:fldChar w:fldCharType="end"/>
      </w:r>
      <w:bookmarkEnd w:id="102"/>
      <w:r w:rsidRPr="005B024E">
        <w:t xml:space="preserve">: </w:t>
      </w:r>
      <w:r w:rsidRPr="005B024E">
        <w:rPr>
          <w:rStyle w:val="CommentReference"/>
          <w:b/>
          <w:szCs w:val="24"/>
        </w:rPr>
        <w:t>Data sources and parameter values applied in the utilisation and financial estimates</w:t>
      </w:r>
    </w:p>
    <w:tbl>
      <w:tblPr>
        <w:tblStyle w:val="PBAClayout"/>
        <w:tblW w:w="9351" w:type="dxa"/>
        <w:tblLook w:val="04A0" w:firstRow="1" w:lastRow="0" w:firstColumn="1" w:lastColumn="0" w:noHBand="0" w:noVBand="1"/>
        <w:tblCaption w:val="Table 18: Data sources and parameter values applied in the utilisation and financial estimates"/>
      </w:tblPr>
      <w:tblGrid>
        <w:gridCol w:w="1919"/>
        <w:gridCol w:w="3233"/>
        <w:gridCol w:w="4199"/>
      </w:tblGrid>
      <w:tr w:rsidR="00E66478" w:rsidRPr="001534B3" w14:paraId="17E06D50" w14:textId="77777777" w:rsidTr="007E6C9D">
        <w:trPr>
          <w:trHeight w:val="20"/>
          <w:tblHeader/>
        </w:trPr>
        <w:tc>
          <w:tcPr>
            <w:tcW w:w="1919" w:type="dxa"/>
            <w:vAlign w:val="top"/>
          </w:tcPr>
          <w:p w14:paraId="22596606" w14:textId="77777777" w:rsidR="00BA224D" w:rsidRPr="001534B3" w:rsidRDefault="00BA224D" w:rsidP="00977721">
            <w:pPr>
              <w:pStyle w:val="In-tableHeading"/>
              <w:keepNext w:val="0"/>
              <w:widowControl w:val="0"/>
              <w:rPr>
                <w:szCs w:val="20"/>
              </w:rPr>
            </w:pPr>
            <w:bookmarkStart w:id="103" w:name="_Ref104805295"/>
            <w:r w:rsidRPr="001534B3">
              <w:rPr>
                <w:szCs w:val="20"/>
              </w:rPr>
              <w:t>Data</w:t>
            </w:r>
          </w:p>
        </w:tc>
        <w:tc>
          <w:tcPr>
            <w:tcW w:w="3233" w:type="dxa"/>
          </w:tcPr>
          <w:p w14:paraId="5AABA69B" w14:textId="0E3604FB" w:rsidR="00BA224D" w:rsidRPr="001534B3" w:rsidRDefault="008C1CFA" w:rsidP="00977721">
            <w:pPr>
              <w:pStyle w:val="In-tableHeading"/>
              <w:keepNext w:val="0"/>
              <w:widowControl w:val="0"/>
              <w:rPr>
                <w:szCs w:val="20"/>
              </w:rPr>
            </w:pPr>
            <w:r w:rsidRPr="001534B3">
              <w:rPr>
                <w:szCs w:val="20"/>
              </w:rPr>
              <w:t>Value</w:t>
            </w:r>
          </w:p>
        </w:tc>
        <w:tc>
          <w:tcPr>
            <w:tcW w:w="4199" w:type="dxa"/>
            <w:vAlign w:val="top"/>
          </w:tcPr>
          <w:p w14:paraId="06236B84" w14:textId="77777777" w:rsidR="00BA224D" w:rsidRPr="001534B3" w:rsidRDefault="00BA224D" w:rsidP="00977721">
            <w:pPr>
              <w:pStyle w:val="In-tableHeading"/>
              <w:keepNext w:val="0"/>
              <w:widowControl w:val="0"/>
              <w:rPr>
                <w:szCs w:val="20"/>
              </w:rPr>
            </w:pPr>
            <w:r w:rsidRPr="001534B3">
              <w:rPr>
                <w:szCs w:val="20"/>
              </w:rPr>
              <w:t>Comment</w:t>
            </w:r>
          </w:p>
        </w:tc>
      </w:tr>
      <w:tr w:rsidR="00BA224D" w:rsidRPr="001534B3" w14:paraId="6320FFB0" w14:textId="77777777" w:rsidTr="007E6C9D">
        <w:trPr>
          <w:trHeight w:val="20"/>
        </w:trPr>
        <w:tc>
          <w:tcPr>
            <w:tcW w:w="9351" w:type="dxa"/>
            <w:gridSpan w:val="3"/>
            <w:vAlign w:val="top"/>
          </w:tcPr>
          <w:p w14:paraId="17CE5F0C" w14:textId="77777777" w:rsidR="00BA224D" w:rsidRPr="001534B3" w:rsidRDefault="00BA224D" w:rsidP="00977721">
            <w:pPr>
              <w:pStyle w:val="In-tableHeading"/>
              <w:keepNext w:val="0"/>
              <w:widowControl w:val="0"/>
              <w:rPr>
                <w:szCs w:val="20"/>
              </w:rPr>
            </w:pPr>
            <w:r w:rsidRPr="001534B3">
              <w:rPr>
                <w:szCs w:val="20"/>
              </w:rPr>
              <w:t>Eligible population</w:t>
            </w:r>
          </w:p>
        </w:tc>
      </w:tr>
      <w:tr w:rsidR="00E66478" w:rsidRPr="001534B3" w14:paraId="7E9ED86E" w14:textId="77777777" w:rsidTr="007E6C9D">
        <w:trPr>
          <w:trHeight w:val="20"/>
        </w:trPr>
        <w:tc>
          <w:tcPr>
            <w:tcW w:w="1919" w:type="dxa"/>
            <w:shd w:val="clear" w:color="auto" w:fill="FFFFFF" w:themeFill="background1"/>
            <w:vAlign w:val="top"/>
          </w:tcPr>
          <w:p w14:paraId="7BD32020" w14:textId="33F01845" w:rsidR="00BE2E29" w:rsidRPr="001534B3" w:rsidRDefault="00BE2E29" w:rsidP="00977721">
            <w:pPr>
              <w:pStyle w:val="TableText0"/>
              <w:keepNext w:val="0"/>
              <w:widowControl w:val="0"/>
              <w:rPr>
                <w:szCs w:val="20"/>
              </w:rPr>
            </w:pPr>
            <w:r w:rsidRPr="001534B3">
              <w:rPr>
                <w:szCs w:val="20"/>
              </w:rPr>
              <w:t>NHL</w:t>
            </w:r>
          </w:p>
        </w:tc>
        <w:tc>
          <w:tcPr>
            <w:tcW w:w="3233" w:type="dxa"/>
            <w:vAlign w:val="top"/>
          </w:tcPr>
          <w:tbl>
            <w:tblPr>
              <w:tblStyle w:val="TableGrid"/>
              <w:tblW w:w="530" w:type="pct"/>
              <w:tblCellMar>
                <w:left w:w="28" w:type="dxa"/>
                <w:right w:w="28" w:type="dxa"/>
              </w:tblCellMar>
              <w:tblLook w:val="04A0" w:firstRow="1" w:lastRow="0" w:firstColumn="1" w:lastColumn="0" w:noHBand="0" w:noVBand="1"/>
            </w:tblPr>
            <w:tblGrid>
              <w:gridCol w:w="230"/>
              <w:gridCol w:w="467"/>
              <w:gridCol w:w="467"/>
              <w:gridCol w:w="467"/>
              <w:gridCol w:w="467"/>
              <w:gridCol w:w="467"/>
              <w:gridCol w:w="467"/>
            </w:tblGrid>
            <w:tr w:rsidR="00BE2E29" w:rsidRPr="00BA4060" w14:paraId="69E21D1B" w14:textId="77777777" w:rsidTr="00621199">
              <w:trPr>
                <w:trHeight w:val="20"/>
              </w:trPr>
              <w:tc>
                <w:tcPr>
                  <w:tcW w:w="714" w:type="pct"/>
                </w:tcPr>
                <w:p w14:paraId="04446DA8" w14:textId="77777777" w:rsidR="00BE2E29" w:rsidRPr="00BA4060" w:rsidRDefault="00BE2E29" w:rsidP="00BE2E29">
                  <w:pPr>
                    <w:pStyle w:val="TableText10"/>
                    <w:spacing w:after="0"/>
                    <w:rPr>
                      <w:b/>
                      <w:bCs/>
                    </w:rPr>
                  </w:pPr>
                  <w:r w:rsidRPr="00BA4060">
                    <w:rPr>
                      <w:b/>
                      <w:bCs/>
                    </w:rPr>
                    <w:t>Yr</w:t>
                  </w:r>
                </w:p>
              </w:tc>
              <w:tc>
                <w:tcPr>
                  <w:tcW w:w="714" w:type="pct"/>
                </w:tcPr>
                <w:p w14:paraId="502F84BF" w14:textId="62C24E17" w:rsidR="00BE2E29" w:rsidRPr="00BA4060" w:rsidRDefault="00BE2E29" w:rsidP="00BE2E29">
                  <w:pPr>
                    <w:pStyle w:val="TableText10"/>
                    <w:spacing w:after="0"/>
                    <w:rPr>
                      <w:b/>
                      <w:bCs/>
                    </w:rPr>
                  </w:pPr>
                  <w:r w:rsidRPr="00BA4060">
                    <w:rPr>
                      <w:b/>
                      <w:bCs/>
                    </w:rPr>
                    <w:t>2025</w:t>
                  </w:r>
                </w:p>
              </w:tc>
              <w:tc>
                <w:tcPr>
                  <w:tcW w:w="714" w:type="pct"/>
                </w:tcPr>
                <w:p w14:paraId="4A046E80" w14:textId="4E951D8B" w:rsidR="00BE2E29" w:rsidRPr="00BA4060" w:rsidRDefault="00BE2E29" w:rsidP="00BE2E29">
                  <w:pPr>
                    <w:pStyle w:val="TableText10"/>
                    <w:spacing w:after="0"/>
                    <w:rPr>
                      <w:b/>
                      <w:bCs/>
                    </w:rPr>
                  </w:pPr>
                  <w:r w:rsidRPr="00BA4060">
                    <w:rPr>
                      <w:b/>
                      <w:bCs/>
                    </w:rPr>
                    <w:t>2026</w:t>
                  </w:r>
                </w:p>
              </w:tc>
              <w:tc>
                <w:tcPr>
                  <w:tcW w:w="714" w:type="pct"/>
                </w:tcPr>
                <w:p w14:paraId="270FF98C" w14:textId="003B5499" w:rsidR="00BE2E29" w:rsidRPr="00BA4060" w:rsidRDefault="00BE2E29" w:rsidP="00BE2E29">
                  <w:pPr>
                    <w:pStyle w:val="TableText10"/>
                    <w:spacing w:after="0"/>
                    <w:rPr>
                      <w:b/>
                      <w:bCs/>
                    </w:rPr>
                  </w:pPr>
                  <w:r w:rsidRPr="00BA4060">
                    <w:rPr>
                      <w:b/>
                      <w:bCs/>
                    </w:rPr>
                    <w:t>2027</w:t>
                  </w:r>
                </w:p>
              </w:tc>
              <w:tc>
                <w:tcPr>
                  <w:tcW w:w="714" w:type="pct"/>
                </w:tcPr>
                <w:p w14:paraId="2AE5298E" w14:textId="62B36ECA" w:rsidR="00BE2E29" w:rsidRPr="00BA4060" w:rsidRDefault="00BE2E29" w:rsidP="00BE2E29">
                  <w:pPr>
                    <w:pStyle w:val="TableText10"/>
                    <w:spacing w:after="0"/>
                    <w:rPr>
                      <w:b/>
                      <w:bCs/>
                    </w:rPr>
                  </w:pPr>
                  <w:r w:rsidRPr="00BA4060">
                    <w:rPr>
                      <w:b/>
                      <w:bCs/>
                    </w:rPr>
                    <w:t>2028</w:t>
                  </w:r>
                </w:p>
              </w:tc>
              <w:tc>
                <w:tcPr>
                  <w:tcW w:w="714" w:type="pct"/>
                </w:tcPr>
                <w:p w14:paraId="3478012E" w14:textId="165A76C0" w:rsidR="00BE2E29" w:rsidRPr="00BA4060" w:rsidRDefault="00BE2E29" w:rsidP="00BE2E29">
                  <w:pPr>
                    <w:pStyle w:val="TableText10"/>
                    <w:spacing w:after="0"/>
                    <w:rPr>
                      <w:b/>
                      <w:bCs/>
                    </w:rPr>
                  </w:pPr>
                  <w:r w:rsidRPr="00BA4060">
                    <w:rPr>
                      <w:b/>
                      <w:bCs/>
                    </w:rPr>
                    <w:t>2029</w:t>
                  </w:r>
                </w:p>
              </w:tc>
              <w:tc>
                <w:tcPr>
                  <w:tcW w:w="714" w:type="pct"/>
                </w:tcPr>
                <w:p w14:paraId="7AD21E52" w14:textId="1743CBEC" w:rsidR="00BE2E29" w:rsidRPr="00BA4060" w:rsidRDefault="00BE2E29" w:rsidP="00BE2E29">
                  <w:pPr>
                    <w:pStyle w:val="TableText10"/>
                    <w:spacing w:after="0"/>
                    <w:rPr>
                      <w:b/>
                      <w:bCs/>
                    </w:rPr>
                  </w:pPr>
                  <w:r w:rsidRPr="00BA4060">
                    <w:rPr>
                      <w:b/>
                      <w:bCs/>
                    </w:rPr>
                    <w:t>2030</w:t>
                  </w:r>
                </w:p>
              </w:tc>
            </w:tr>
            <w:tr w:rsidR="00BE2E29" w:rsidRPr="00BA4060" w14:paraId="4B1AEE6E" w14:textId="77777777" w:rsidTr="00621199">
              <w:trPr>
                <w:trHeight w:val="20"/>
              </w:trPr>
              <w:tc>
                <w:tcPr>
                  <w:tcW w:w="714" w:type="pct"/>
                </w:tcPr>
                <w:p w14:paraId="7EA0963D" w14:textId="77777777" w:rsidR="00BE2E29" w:rsidRPr="00BA4060" w:rsidRDefault="00BE2E29" w:rsidP="00BE2E29">
                  <w:pPr>
                    <w:pStyle w:val="TableText10"/>
                    <w:spacing w:after="0"/>
                    <w:rPr>
                      <w:b/>
                      <w:bCs/>
                    </w:rPr>
                  </w:pPr>
                </w:p>
              </w:tc>
              <w:tc>
                <w:tcPr>
                  <w:tcW w:w="714" w:type="pct"/>
                </w:tcPr>
                <w:p w14:paraId="71B094A6" w14:textId="7992EDFF" w:rsidR="00BE2E29" w:rsidRPr="00BA4060" w:rsidRDefault="00BE2E29" w:rsidP="00BE2E29">
                  <w:pPr>
                    <w:pStyle w:val="TableText10"/>
                    <w:spacing w:after="0"/>
                    <w:rPr>
                      <w:b/>
                      <w:bCs/>
                    </w:rPr>
                  </w:pPr>
                  <w:r w:rsidRPr="00BA4060">
                    <w:rPr>
                      <w:rFonts w:cs="Calibri"/>
                      <w:noProof/>
                      <w:color w:val="000000"/>
                    </w:rPr>
                    <w:t>6,967</w:t>
                  </w:r>
                </w:p>
              </w:tc>
              <w:tc>
                <w:tcPr>
                  <w:tcW w:w="714" w:type="pct"/>
                </w:tcPr>
                <w:p w14:paraId="1E439320" w14:textId="14C14E0B" w:rsidR="00BE2E29" w:rsidRPr="00BA4060" w:rsidRDefault="00BE2E29" w:rsidP="00BE2E29">
                  <w:pPr>
                    <w:pStyle w:val="TableText10"/>
                    <w:spacing w:after="0"/>
                    <w:rPr>
                      <w:b/>
                      <w:bCs/>
                    </w:rPr>
                  </w:pPr>
                  <w:r w:rsidRPr="00BA4060">
                    <w:rPr>
                      <w:rFonts w:cs="Calibri"/>
                      <w:noProof/>
                      <w:color w:val="000000"/>
                    </w:rPr>
                    <w:t>7,156</w:t>
                  </w:r>
                </w:p>
              </w:tc>
              <w:tc>
                <w:tcPr>
                  <w:tcW w:w="714" w:type="pct"/>
                </w:tcPr>
                <w:p w14:paraId="216FFEFB" w14:textId="56DBBFF4" w:rsidR="00BE2E29" w:rsidRPr="00BA4060" w:rsidRDefault="00BE2E29" w:rsidP="00BE2E29">
                  <w:pPr>
                    <w:pStyle w:val="TableText10"/>
                    <w:spacing w:after="0"/>
                    <w:rPr>
                      <w:b/>
                      <w:bCs/>
                    </w:rPr>
                  </w:pPr>
                  <w:r w:rsidRPr="00BA4060">
                    <w:rPr>
                      <w:rFonts w:cs="Calibri"/>
                      <w:noProof/>
                      <w:color w:val="000000"/>
                    </w:rPr>
                    <w:t>7,351</w:t>
                  </w:r>
                  <w:r w:rsidR="00F12499" w:rsidRPr="00BA4060">
                    <w:rPr>
                      <w:rFonts w:cs="Calibri"/>
                      <w:noProof/>
                      <w:color w:val="000000"/>
                    </w:rPr>
                    <w:t xml:space="preserve"> </w:t>
                  </w:r>
                </w:p>
              </w:tc>
              <w:tc>
                <w:tcPr>
                  <w:tcW w:w="714" w:type="pct"/>
                </w:tcPr>
                <w:p w14:paraId="60959A2E" w14:textId="475FEA2D" w:rsidR="00BE2E29" w:rsidRPr="00BA4060" w:rsidRDefault="00BE2E29" w:rsidP="00BE2E29">
                  <w:pPr>
                    <w:pStyle w:val="TableText10"/>
                    <w:spacing w:after="0"/>
                    <w:rPr>
                      <w:b/>
                      <w:bCs/>
                    </w:rPr>
                  </w:pPr>
                  <w:r w:rsidRPr="00BA4060">
                    <w:rPr>
                      <w:rFonts w:cs="Calibri"/>
                      <w:noProof/>
                      <w:color w:val="000000"/>
                    </w:rPr>
                    <w:t>7,546</w:t>
                  </w:r>
                </w:p>
              </w:tc>
              <w:tc>
                <w:tcPr>
                  <w:tcW w:w="714" w:type="pct"/>
                </w:tcPr>
                <w:p w14:paraId="6648BCFC" w14:textId="45A7A7D3" w:rsidR="00BE2E29" w:rsidRPr="00BA4060" w:rsidRDefault="00BE2E29" w:rsidP="00BE2E29">
                  <w:pPr>
                    <w:pStyle w:val="TableText10"/>
                    <w:spacing w:after="0"/>
                    <w:rPr>
                      <w:b/>
                      <w:bCs/>
                    </w:rPr>
                  </w:pPr>
                  <w:r w:rsidRPr="00BA4060">
                    <w:rPr>
                      <w:rFonts w:cs="Calibri"/>
                      <w:noProof/>
                      <w:color w:val="000000"/>
                    </w:rPr>
                    <w:t>7,719</w:t>
                  </w:r>
                </w:p>
              </w:tc>
              <w:tc>
                <w:tcPr>
                  <w:tcW w:w="714" w:type="pct"/>
                </w:tcPr>
                <w:p w14:paraId="0F870D6E" w14:textId="4BDE1D92" w:rsidR="00BE2E29" w:rsidRPr="00BA4060" w:rsidRDefault="00BE2E29" w:rsidP="00BE2E29">
                  <w:pPr>
                    <w:pStyle w:val="TableText10"/>
                    <w:spacing w:after="0"/>
                    <w:rPr>
                      <w:b/>
                      <w:bCs/>
                    </w:rPr>
                  </w:pPr>
                  <w:r w:rsidRPr="00BA4060">
                    <w:rPr>
                      <w:rFonts w:cs="Calibri"/>
                      <w:noProof/>
                      <w:color w:val="000000"/>
                    </w:rPr>
                    <w:t>7,893</w:t>
                  </w:r>
                </w:p>
              </w:tc>
            </w:tr>
          </w:tbl>
          <w:p w14:paraId="6D8460A9" w14:textId="1AB220D5" w:rsidR="00BE2E29" w:rsidRPr="00BA4060" w:rsidRDefault="008C1CFA" w:rsidP="00BE2E29">
            <w:pPr>
              <w:pStyle w:val="TableText0"/>
              <w:keepNext w:val="0"/>
              <w:widowControl w:val="0"/>
              <w:rPr>
                <w:szCs w:val="20"/>
              </w:rPr>
            </w:pPr>
            <w:r w:rsidRPr="00BA4060">
              <w:rPr>
                <w:szCs w:val="20"/>
              </w:rPr>
              <w:t>Source:</w:t>
            </w:r>
            <w:r w:rsidR="00BE2E29" w:rsidRPr="00BA4060">
              <w:rPr>
                <w:szCs w:val="20"/>
              </w:rPr>
              <w:t xml:space="preserve"> AIHW cancer data, 2024</w:t>
            </w:r>
            <w:r w:rsidR="00BE2E29" w:rsidRPr="00BA4060">
              <w:rPr>
                <w:rStyle w:val="FootnoteReference"/>
                <w:szCs w:val="20"/>
              </w:rPr>
              <w:footnoteReference w:id="13"/>
            </w:r>
          </w:p>
        </w:tc>
        <w:tc>
          <w:tcPr>
            <w:tcW w:w="4199" w:type="dxa"/>
            <w:vAlign w:val="top"/>
          </w:tcPr>
          <w:p w14:paraId="0A7D291C" w14:textId="38147D92" w:rsidR="00BE2E29" w:rsidRPr="001534B3" w:rsidDel="00BE2E29" w:rsidRDefault="00BE2E29" w:rsidP="00977721">
            <w:pPr>
              <w:pStyle w:val="TableText0"/>
              <w:keepNext w:val="0"/>
              <w:widowControl w:val="0"/>
              <w:rPr>
                <w:szCs w:val="20"/>
              </w:rPr>
            </w:pPr>
            <w:r w:rsidRPr="001534B3">
              <w:rPr>
                <w:szCs w:val="20"/>
              </w:rPr>
              <w:t>Appropriate.</w:t>
            </w:r>
          </w:p>
        </w:tc>
      </w:tr>
      <w:tr w:rsidR="00E66478" w:rsidRPr="001534B3" w14:paraId="07517D17" w14:textId="77777777" w:rsidTr="007E6C9D">
        <w:trPr>
          <w:trHeight w:val="20"/>
        </w:trPr>
        <w:tc>
          <w:tcPr>
            <w:tcW w:w="1919" w:type="dxa"/>
            <w:shd w:val="clear" w:color="auto" w:fill="FFFFFF" w:themeFill="background1"/>
            <w:vAlign w:val="top"/>
          </w:tcPr>
          <w:p w14:paraId="39B27F16" w14:textId="16FD170F" w:rsidR="00BE2E29" w:rsidRPr="001534B3" w:rsidRDefault="00BE2E29" w:rsidP="00977721">
            <w:pPr>
              <w:pStyle w:val="TableText0"/>
              <w:keepNext w:val="0"/>
              <w:widowControl w:val="0"/>
              <w:rPr>
                <w:szCs w:val="20"/>
              </w:rPr>
            </w:pPr>
            <w:r w:rsidRPr="001534B3">
              <w:rPr>
                <w:szCs w:val="20"/>
              </w:rPr>
              <w:t>DLBCL</w:t>
            </w:r>
          </w:p>
        </w:tc>
        <w:tc>
          <w:tcPr>
            <w:tcW w:w="3233" w:type="dxa"/>
            <w:vAlign w:val="top"/>
          </w:tcPr>
          <w:p w14:paraId="0FC25114" w14:textId="1CFF96E9" w:rsidR="00BE2E29" w:rsidRPr="001534B3" w:rsidRDefault="00BE2E29" w:rsidP="00BE2E29">
            <w:pPr>
              <w:pStyle w:val="TableText0"/>
              <w:widowControl w:val="0"/>
              <w:rPr>
                <w:szCs w:val="20"/>
              </w:rPr>
            </w:pPr>
            <w:r w:rsidRPr="001534B3">
              <w:rPr>
                <w:szCs w:val="20"/>
              </w:rPr>
              <w:t xml:space="preserve">35%, sourced from AIHW </w:t>
            </w:r>
            <w:proofErr w:type="spellStart"/>
            <w:r w:rsidRPr="001534B3">
              <w:rPr>
                <w:szCs w:val="20"/>
              </w:rPr>
              <w:t>CDiA</w:t>
            </w:r>
            <w:proofErr w:type="spellEnd"/>
            <w:r w:rsidRPr="001534B3">
              <w:rPr>
                <w:szCs w:val="20"/>
              </w:rPr>
              <w:t>, 2024 (assuming constant rates from 2011-2020)</w:t>
            </w:r>
            <w:r w:rsidRPr="001534B3">
              <w:rPr>
                <w:rStyle w:val="FootnoteReference"/>
                <w:szCs w:val="20"/>
              </w:rPr>
              <w:t xml:space="preserve"> </w:t>
            </w:r>
            <w:r w:rsidRPr="001534B3">
              <w:rPr>
                <w:rStyle w:val="FootnoteReference"/>
                <w:szCs w:val="20"/>
              </w:rPr>
              <w:footnoteReference w:id="14"/>
            </w:r>
          </w:p>
        </w:tc>
        <w:tc>
          <w:tcPr>
            <w:tcW w:w="4199" w:type="dxa"/>
            <w:vAlign w:val="top"/>
          </w:tcPr>
          <w:p w14:paraId="2CAD16D4" w14:textId="577D59AC" w:rsidR="00BE2E29" w:rsidRPr="001534B3" w:rsidRDefault="004B4A16" w:rsidP="00BE2E29">
            <w:pPr>
              <w:pStyle w:val="TableText0"/>
              <w:keepNext w:val="0"/>
              <w:widowControl w:val="0"/>
              <w:rPr>
                <w:szCs w:val="20"/>
              </w:rPr>
            </w:pPr>
            <w:r w:rsidRPr="001534B3">
              <w:rPr>
                <w:szCs w:val="20"/>
              </w:rPr>
              <w:t>Potential overestimate</w:t>
            </w:r>
            <w:r w:rsidR="00BE2E29" w:rsidRPr="001534B3">
              <w:rPr>
                <w:szCs w:val="20"/>
              </w:rPr>
              <w:t xml:space="preserve">. DUSC </w:t>
            </w:r>
            <w:r w:rsidRPr="001534B3">
              <w:rPr>
                <w:szCs w:val="20"/>
              </w:rPr>
              <w:t xml:space="preserve">had </w:t>
            </w:r>
            <w:r w:rsidR="00BE2E29" w:rsidRPr="001534B3">
              <w:rPr>
                <w:szCs w:val="20"/>
              </w:rPr>
              <w:t>previously advised</w:t>
            </w:r>
            <w:r w:rsidRPr="001534B3">
              <w:rPr>
                <w:szCs w:val="20"/>
              </w:rPr>
              <w:t xml:space="preserve"> that DLBCL account for </w:t>
            </w:r>
            <w:r w:rsidR="00BE2E29" w:rsidRPr="001534B3">
              <w:rPr>
                <w:szCs w:val="20"/>
              </w:rPr>
              <w:t>25% - 35%</w:t>
            </w:r>
            <w:r w:rsidRPr="001534B3">
              <w:rPr>
                <w:szCs w:val="20"/>
              </w:rPr>
              <w:t xml:space="preserve"> of NHL</w:t>
            </w:r>
            <w:r w:rsidR="00BE2E29" w:rsidRPr="001534B3">
              <w:rPr>
                <w:szCs w:val="20"/>
              </w:rPr>
              <w:t xml:space="preserve"> (</w:t>
            </w:r>
            <w:r w:rsidR="004D6A0E" w:rsidRPr="001534B3">
              <w:rPr>
                <w:szCs w:val="20"/>
              </w:rPr>
              <w:t xml:space="preserve">para 6.49, </w:t>
            </w:r>
            <w:proofErr w:type="spellStart"/>
            <w:r w:rsidR="004D6A0E" w:rsidRPr="001534B3">
              <w:rPr>
                <w:szCs w:val="20"/>
              </w:rPr>
              <w:t>polatuzumab</w:t>
            </w:r>
            <w:proofErr w:type="spellEnd"/>
            <w:r w:rsidR="008E52E6" w:rsidRPr="001534B3">
              <w:rPr>
                <w:szCs w:val="20"/>
              </w:rPr>
              <w:t xml:space="preserve"> PSD</w:t>
            </w:r>
            <w:r w:rsidR="004D6A0E" w:rsidRPr="001534B3">
              <w:rPr>
                <w:szCs w:val="20"/>
              </w:rPr>
              <w:t>, Nov. 2022 PBAC meeting</w:t>
            </w:r>
            <w:r w:rsidR="00BE2E29" w:rsidRPr="001534B3">
              <w:rPr>
                <w:szCs w:val="20"/>
              </w:rPr>
              <w:t>).</w:t>
            </w:r>
            <w:r w:rsidR="00A11DED" w:rsidRPr="001534B3">
              <w:rPr>
                <w:szCs w:val="20"/>
              </w:rPr>
              <w:t xml:space="preserve"> The PSCR </w:t>
            </w:r>
            <w:r w:rsidR="00DA4686" w:rsidRPr="001534B3">
              <w:rPr>
                <w:szCs w:val="20"/>
              </w:rPr>
              <w:t>noted</w:t>
            </w:r>
            <w:r w:rsidR="00F32E08" w:rsidRPr="001534B3">
              <w:rPr>
                <w:szCs w:val="20"/>
              </w:rPr>
              <w:t xml:space="preserve"> tha</w:t>
            </w:r>
            <w:r w:rsidR="00682B0D" w:rsidRPr="001534B3">
              <w:rPr>
                <w:szCs w:val="20"/>
              </w:rPr>
              <w:t xml:space="preserve">t the PBAC accepted this input in </w:t>
            </w:r>
            <w:r w:rsidR="00DA4686" w:rsidRPr="001534B3">
              <w:rPr>
                <w:szCs w:val="20"/>
              </w:rPr>
              <w:t xml:space="preserve">its </w:t>
            </w:r>
            <w:r w:rsidR="00682B0D" w:rsidRPr="001534B3">
              <w:rPr>
                <w:szCs w:val="20"/>
              </w:rPr>
              <w:t xml:space="preserve">March 2025 </w:t>
            </w:r>
            <w:r w:rsidR="00DA4686" w:rsidRPr="001534B3">
              <w:rPr>
                <w:szCs w:val="20"/>
              </w:rPr>
              <w:t xml:space="preserve">considerations of </w:t>
            </w:r>
            <w:proofErr w:type="spellStart"/>
            <w:r w:rsidR="00DA4686" w:rsidRPr="001534B3">
              <w:rPr>
                <w:szCs w:val="20"/>
              </w:rPr>
              <w:t>polatuzumab</w:t>
            </w:r>
            <w:proofErr w:type="spellEnd"/>
            <w:r w:rsidR="00DA4686" w:rsidRPr="001534B3">
              <w:rPr>
                <w:szCs w:val="20"/>
              </w:rPr>
              <w:t xml:space="preserve"> vedoti</w:t>
            </w:r>
            <w:r w:rsidR="005A4618" w:rsidRPr="001534B3">
              <w:rPr>
                <w:szCs w:val="20"/>
              </w:rPr>
              <w:t>n</w:t>
            </w:r>
            <w:r w:rsidR="0049753D" w:rsidRPr="001534B3">
              <w:rPr>
                <w:szCs w:val="20"/>
              </w:rPr>
              <w:t xml:space="preserve"> (para </w:t>
            </w:r>
            <w:r w:rsidR="00542701" w:rsidRPr="001534B3">
              <w:rPr>
                <w:szCs w:val="20"/>
              </w:rPr>
              <w:t xml:space="preserve">7.13, </w:t>
            </w:r>
            <w:proofErr w:type="spellStart"/>
            <w:r w:rsidR="009B6B64" w:rsidRPr="001534B3">
              <w:rPr>
                <w:szCs w:val="20"/>
              </w:rPr>
              <w:t>polatuzumab</w:t>
            </w:r>
            <w:proofErr w:type="spellEnd"/>
            <w:r w:rsidR="009B6B64" w:rsidRPr="001534B3">
              <w:rPr>
                <w:szCs w:val="20"/>
              </w:rPr>
              <w:t xml:space="preserve"> vedotin</w:t>
            </w:r>
            <w:r w:rsidR="00EC4B12" w:rsidRPr="001534B3">
              <w:rPr>
                <w:szCs w:val="20"/>
              </w:rPr>
              <w:t xml:space="preserve"> Minutes</w:t>
            </w:r>
            <w:r w:rsidR="009B6B64" w:rsidRPr="001534B3">
              <w:rPr>
                <w:szCs w:val="20"/>
              </w:rPr>
              <w:t>, March 2025 PBAC meeting)</w:t>
            </w:r>
            <w:r w:rsidR="005A4618" w:rsidRPr="001534B3">
              <w:rPr>
                <w:szCs w:val="20"/>
              </w:rPr>
              <w:t xml:space="preserve">. </w:t>
            </w:r>
          </w:p>
        </w:tc>
      </w:tr>
      <w:tr w:rsidR="00E66478" w:rsidRPr="001534B3" w14:paraId="7A85AB73" w14:textId="77777777" w:rsidTr="007E6C9D">
        <w:trPr>
          <w:trHeight w:val="20"/>
        </w:trPr>
        <w:tc>
          <w:tcPr>
            <w:tcW w:w="1919" w:type="dxa"/>
            <w:shd w:val="clear" w:color="auto" w:fill="FFFFFF" w:themeFill="background1"/>
            <w:vAlign w:val="top"/>
          </w:tcPr>
          <w:p w14:paraId="5801B50E" w14:textId="49169750" w:rsidR="00BE2E29" w:rsidRPr="001534B3" w:rsidRDefault="003F3821" w:rsidP="00977721">
            <w:pPr>
              <w:pStyle w:val="TableText0"/>
              <w:keepNext w:val="0"/>
              <w:widowControl w:val="0"/>
              <w:rPr>
                <w:szCs w:val="20"/>
              </w:rPr>
            </w:pPr>
            <w:r w:rsidRPr="001534B3">
              <w:rPr>
                <w:szCs w:val="20"/>
              </w:rPr>
              <w:t>% f</w:t>
            </w:r>
            <w:r w:rsidR="00BE2E29" w:rsidRPr="001534B3">
              <w:rPr>
                <w:szCs w:val="20"/>
              </w:rPr>
              <w:t>it to receive 1L</w:t>
            </w:r>
          </w:p>
        </w:tc>
        <w:tc>
          <w:tcPr>
            <w:tcW w:w="3233" w:type="dxa"/>
            <w:vAlign w:val="top"/>
          </w:tcPr>
          <w:p w14:paraId="548BCDA0" w14:textId="4126183E" w:rsidR="00BE2E29" w:rsidRPr="001534B3" w:rsidRDefault="00BE2E29" w:rsidP="00BE2E29">
            <w:pPr>
              <w:pStyle w:val="TableText0"/>
              <w:widowControl w:val="0"/>
              <w:rPr>
                <w:szCs w:val="20"/>
              </w:rPr>
            </w:pPr>
            <w:r w:rsidRPr="001534B3">
              <w:rPr>
                <w:szCs w:val="20"/>
              </w:rPr>
              <w:t xml:space="preserve">96%, sourced from </w:t>
            </w:r>
            <w:r w:rsidR="000C45E5" w:rsidRPr="001534B3">
              <w:rPr>
                <w:szCs w:val="20"/>
              </w:rPr>
              <w:t>S</w:t>
            </w:r>
            <w:r w:rsidRPr="001534B3">
              <w:rPr>
                <w:szCs w:val="20"/>
              </w:rPr>
              <w:t>ponsor’s market research</w:t>
            </w:r>
          </w:p>
        </w:tc>
        <w:tc>
          <w:tcPr>
            <w:tcW w:w="4199" w:type="dxa"/>
            <w:vAlign w:val="top"/>
          </w:tcPr>
          <w:p w14:paraId="125C506A" w14:textId="6AA91635" w:rsidR="00BE2E29" w:rsidRPr="001534B3" w:rsidRDefault="004A1142" w:rsidP="00952B3F">
            <w:pPr>
              <w:pStyle w:val="TableText0"/>
              <w:widowControl w:val="0"/>
              <w:rPr>
                <w:szCs w:val="20"/>
              </w:rPr>
            </w:pPr>
            <w:r w:rsidRPr="001534B3">
              <w:rPr>
                <w:szCs w:val="20"/>
              </w:rPr>
              <w:t>Potential</w:t>
            </w:r>
            <w:r w:rsidR="00BE2E29" w:rsidRPr="001534B3">
              <w:rPr>
                <w:szCs w:val="20"/>
              </w:rPr>
              <w:t xml:space="preserve"> overestimate, as other studies reported lower proportions (Bair et al., 2023: 86%</w:t>
            </w:r>
            <w:r w:rsidR="00BE2E29" w:rsidRPr="001534B3">
              <w:rPr>
                <w:rStyle w:val="FootnoteReference"/>
                <w:szCs w:val="20"/>
              </w:rPr>
              <w:footnoteReference w:id="15"/>
            </w:r>
            <w:r w:rsidR="00BE2E29" w:rsidRPr="001534B3">
              <w:rPr>
                <w:szCs w:val="20"/>
              </w:rPr>
              <w:t>, and Morrison et al., 2020: 61.8%</w:t>
            </w:r>
            <w:r w:rsidR="00BE2E29" w:rsidRPr="001534B3">
              <w:rPr>
                <w:rStyle w:val="FootnoteReference"/>
                <w:szCs w:val="20"/>
              </w:rPr>
              <w:footnoteReference w:id="16"/>
            </w:r>
            <w:r w:rsidR="00BE2E29" w:rsidRPr="001534B3">
              <w:rPr>
                <w:szCs w:val="20"/>
              </w:rPr>
              <w:t>).</w:t>
            </w:r>
            <w:r w:rsidR="00952B3F" w:rsidRPr="001534B3">
              <w:rPr>
                <w:szCs w:val="20"/>
              </w:rPr>
              <w:t xml:space="preserve"> The PBAC previously recommended 82% as the proportion of DLBCL patients who </w:t>
            </w:r>
            <w:r w:rsidR="00DF2F4F" w:rsidRPr="001534B3">
              <w:rPr>
                <w:szCs w:val="20"/>
              </w:rPr>
              <w:t xml:space="preserve">were </w:t>
            </w:r>
            <w:r w:rsidR="00952B3F" w:rsidRPr="001534B3">
              <w:rPr>
                <w:szCs w:val="20"/>
              </w:rPr>
              <w:t xml:space="preserve">fit enough for 1L treatment (para 6.49, </w:t>
            </w:r>
            <w:proofErr w:type="spellStart"/>
            <w:r w:rsidR="00952B3F" w:rsidRPr="001534B3">
              <w:rPr>
                <w:szCs w:val="20"/>
              </w:rPr>
              <w:t>polatuzumab</w:t>
            </w:r>
            <w:proofErr w:type="spellEnd"/>
            <w:r w:rsidR="008E52E6" w:rsidRPr="001534B3">
              <w:rPr>
                <w:szCs w:val="20"/>
              </w:rPr>
              <w:t xml:space="preserve"> PSD</w:t>
            </w:r>
            <w:r w:rsidR="00952B3F" w:rsidRPr="001534B3">
              <w:rPr>
                <w:szCs w:val="20"/>
              </w:rPr>
              <w:t>, Nov</w:t>
            </w:r>
            <w:r w:rsidR="004D6A0E" w:rsidRPr="001534B3">
              <w:rPr>
                <w:szCs w:val="20"/>
              </w:rPr>
              <w:t>.</w:t>
            </w:r>
            <w:r w:rsidR="00952B3F" w:rsidRPr="001534B3">
              <w:rPr>
                <w:szCs w:val="20"/>
              </w:rPr>
              <w:t xml:space="preserve"> 2022 PBAC meeting).</w:t>
            </w:r>
            <w:r w:rsidR="00533672" w:rsidRPr="001534B3">
              <w:rPr>
                <w:szCs w:val="20"/>
              </w:rPr>
              <w:t xml:space="preserve"> </w:t>
            </w:r>
            <w:r w:rsidR="00CF519B" w:rsidRPr="001534B3">
              <w:rPr>
                <w:szCs w:val="20"/>
              </w:rPr>
              <w:t xml:space="preserve">The PSCR (Table 4) noted that </w:t>
            </w:r>
            <w:r w:rsidR="00463F9C" w:rsidRPr="001534B3">
              <w:rPr>
                <w:szCs w:val="20"/>
              </w:rPr>
              <w:t xml:space="preserve">the 82% utilised in the </w:t>
            </w:r>
            <w:proofErr w:type="spellStart"/>
            <w:r w:rsidR="00463F9C" w:rsidRPr="001534B3">
              <w:rPr>
                <w:szCs w:val="20"/>
              </w:rPr>
              <w:t>polatuzumab</w:t>
            </w:r>
            <w:proofErr w:type="spellEnd"/>
            <w:r w:rsidR="00463F9C" w:rsidRPr="001534B3">
              <w:rPr>
                <w:szCs w:val="20"/>
              </w:rPr>
              <w:t xml:space="preserve"> vedotin No</w:t>
            </w:r>
            <w:r w:rsidR="00711E72" w:rsidRPr="001534B3">
              <w:rPr>
                <w:szCs w:val="20"/>
              </w:rPr>
              <w:t xml:space="preserve">v 2022 evaluation </w:t>
            </w:r>
            <w:r w:rsidR="00220EAA" w:rsidRPr="001534B3">
              <w:rPr>
                <w:szCs w:val="20"/>
              </w:rPr>
              <w:t>wa</w:t>
            </w:r>
            <w:r w:rsidR="00711E72" w:rsidRPr="001534B3">
              <w:rPr>
                <w:szCs w:val="20"/>
              </w:rPr>
              <w:t xml:space="preserve">s specific to the proportion of 1L patients who receive R-CHOP. The PSCR </w:t>
            </w:r>
            <w:r w:rsidR="0019477B" w:rsidRPr="001534B3">
              <w:rPr>
                <w:szCs w:val="20"/>
              </w:rPr>
              <w:t xml:space="preserve">stated that extremely few Australian patients would not receive 1L therapy of any kind following a diagnosis of DLBCL. </w:t>
            </w:r>
          </w:p>
        </w:tc>
      </w:tr>
      <w:tr w:rsidR="00E66478" w:rsidRPr="001534B3" w14:paraId="49BCCA87" w14:textId="77777777" w:rsidTr="007E6C9D">
        <w:trPr>
          <w:trHeight w:val="20"/>
        </w:trPr>
        <w:tc>
          <w:tcPr>
            <w:tcW w:w="1919" w:type="dxa"/>
            <w:shd w:val="clear" w:color="auto" w:fill="FFFFFF" w:themeFill="background1"/>
            <w:vAlign w:val="top"/>
          </w:tcPr>
          <w:p w14:paraId="52EA3045" w14:textId="0E902A17" w:rsidR="00BE2E29" w:rsidRPr="001534B3" w:rsidRDefault="003F3821" w:rsidP="00977721">
            <w:pPr>
              <w:pStyle w:val="TableText0"/>
              <w:keepNext w:val="0"/>
              <w:widowControl w:val="0"/>
              <w:rPr>
                <w:szCs w:val="20"/>
              </w:rPr>
            </w:pPr>
            <w:r w:rsidRPr="001534B3">
              <w:rPr>
                <w:szCs w:val="20"/>
              </w:rPr>
              <w:t xml:space="preserve">% </w:t>
            </w:r>
            <w:r w:rsidR="00BE2E29" w:rsidRPr="001534B3">
              <w:rPr>
                <w:szCs w:val="20"/>
              </w:rPr>
              <w:t>R/R</w:t>
            </w:r>
            <w:r w:rsidRPr="001534B3">
              <w:rPr>
                <w:szCs w:val="20"/>
              </w:rPr>
              <w:t xml:space="preserve"> DLBCL post 1L</w:t>
            </w:r>
          </w:p>
        </w:tc>
        <w:tc>
          <w:tcPr>
            <w:tcW w:w="3233" w:type="dxa"/>
            <w:vAlign w:val="top"/>
          </w:tcPr>
          <w:p w14:paraId="7D4A9FEE" w14:textId="537AF82B" w:rsidR="00BE2E29" w:rsidRPr="001534B3" w:rsidRDefault="00BE2E29" w:rsidP="00BE2E29">
            <w:pPr>
              <w:pStyle w:val="TableText0"/>
              <w:widowControl w:val="0"/>
              <w:rPr>
                <w:szCs w:val="20"/>
              </w:rPr>
            </w:pPr>
            <w:r w:rsidRPr="001534B3">
              <w:rPr>
                <w:szCs w:val="20"/>
              </w:rPr>
              <w:t xml:space="preserve">40%, </w:t>
            </w:r>
            <w:r w:rsidR="00B0173E" w:rsidRPr="001534B3">
              <w:rPr>
                <w:szCs w:val="20"/>
              </w:rPr>
              <w:t>estimated from the literature</w:t>
            </w:r>
            <w:r w:rsidR="00BE0CF7" w:rsidRPr="001534B3">
              <w:rPr>
                <w:szCs w:val="20"/>
              </w:rPr>
              <w:t>:</w:t>
            </w:r>
            <w:r w:rsidR="00B0173E" w:rsidRPr="001534B3">
              <w:rPr>
                <w:szCs w:val="20"/>
              </w:rPr>
              <w:t xml:space="preserve"> </w:t>
            </w:r>
            <w:r w:rsidRPr="001534B3">
              <w:rPr>
                <w:szCs w:val="20"/>
              </w:rPr>
              <w:t xml:space="preserve">Tan et al, 2024 </w:t>
            </w:r>
            <w:r w:rsidRPr="001534B3">
              <w:rPr>
                <w:rStyle w:val="FootnoteReference"/>
                <w:szCs w:val="20"/>
              </w:rPr>
              <w:footnoteReference w:id="17"/>
            </w:r>
            <w:r w:rsidRPr="001534B3">
              <w:rPr>
                <w:szCs w:val="20"/>
              </w:rPr>
              <w:t xml:space="preserve"> [</w:t>
            </w:r>
            <w:r w:rsidR="00BE0CF7" w:rsidRPr="001534B3">
              <w:rPr>
                <w:szCs w:val="20"/>
              </w:rPr>
              <w:t xml:space="preserve">reporting </w:t>
            </w:r>
            <w:r w:rsidRPr="001534B3">
              <w:rPr>
                <w:szCs w:val="20"/>
              </w:rPr>
              <w:t>30%-40%] and Sarkozy &amp; Sehn 2018 [</w:t>
            </w:r>
            <w:r w:rsidR="00BE0CF7" w:rsidRPr="001534B3">
              <w:rPr>
                <w:szCs w:val="20"/>
              </w:rPr>
              <w:t xml:space="preserve">reporting </w:t>
            </w:r>
            <w:r w:rsidRPr="001534B3">
              <w:rPr>
                <w:szCs w:val="20"/>
              </w:rPr>
              <w:t xml:space="preserve">40%] </w:t>
            </w:r>
            <w:r w:rsidRPr="001534B3">
              <w:rPr>
                <w:rStyle w:val="FootnoteReference"/>
                <w:szCs w:val="20"/>
              </w:rPr>
              <w:footnoteReference w:id="18"/>
            </w:r>
            <w:r w:rsidRPr="001534B3">
              <w:rPr>
                <w:szCs w:val="20"/>
              </w:rPr>
              <w:t>.</w:t>
            </w:r>
          </w:p>
        </w:tc>
        <w:tc>
          <w:tcPr>
            <w:tcW w:w="4199" w:type="dxa"/>
            <w:vAlign w:val="top"/>
          </w:tcPr>
          <w:p w14:paraId="32E657A3" w14:textId="5EDECE9F" w:rsidR="00BE2E29" w:rsidRPr="001534B3" w:rsidRDefault="00621199" w:rsidP="00BE2E29">
            <w:pPr>
              <w:pStyle w:val="TableText0"/>
              <w:keepNext w:val="0"/>
              <w:widowControl w:val="0"/>
              <w:rPr>
                <w:szCs w:val="20"/>
              </w:rPr>
            </w:pPr>
            <w:r w:rsidRPr="001534B3">
              <w:rPr>
                <w:szCs w:val="20"/>
              </w:rPr>
              <w:t xml:space="preserve">The share of R/R patients was reported to be 30%-40% in </w:t>
            </w:r>
            <w:r w:rsidR="00BE0CF7" w:rsidRPr="001534B3">
              <w:rPr>
                <w:szCs w:val="20"/>
              </w:rPr>
              <w:t>Tan 2024 study</w:t>
            </w:r>
            <w:r w:rsidRPr="001534B3">
              <w:rPr>
                <w:szCs w:val="20"/>
              </w:rPr>
              <w:t xml:space="preserve"> and was consistent with Sarkozy</w:t>
            </w:r>
            <w:r w:rsidR="00CC5E5E" w:rsidRPr="001534B3">
              <w:rPr>
                <w:szCs w:val="20"/>
              </w:rPr>
              <w:t xml:space="preserve"> </w:t>
            </w:r>
            <w:r w:rsidRPr="001534B3">
              <w:rPr>
                <w:szCs w:val="20"/>
              </w:rPr>
              <w:t xml:space="preserve">2018. </w:t>
            </w:r>
            <w:r w:rsidR="00BE0CF7" w:rsidRPr="001534B3">
              <w:rPr>
                <w:szCs w:val="20"/>
              </w:rPr>
              <w:t>The l</w:t>
            </w:r>
            <w:r w:rsidRPr="001534B3">
              <w:rPr>
                <w:szCs w:val="20"/>
              </w:rPr>
              <w:t>ower interval was used in the sensitivity analysis.</w:t>
            </w:r>
          </w:p>
        </w:tc>
      </w:tr>
      <w:tr w:rsidR="00E66478" w:rsidRPr="001534B3" w14:paraId="39A3F279" w14:textId="77777777" w:rsidTr="007E6C9D">
        <w:trPr>
          <w:trHeight w:val="20"/>
        </w:trPr>
        <w:tc>
          <w:tcPr>
            <w:tcW w:w="1919" w:type="dxa"/>
            <w:shd w:val="clear" w:color="auto" w:fill="FFFFFF" w:themeFill="background1"/>
            <w:vAlign w:val="top"/>
          </w:tcPr>
          <w:p w14:paraId="2129F3FA" w14:textId="494615DA" w:rsidR="00621199" w:rsidRPr="001534B3" w:rsidRDefault="003F3821" w:rsidP="00977721">
            <w:pPr>
              <w:pStyle w:val="TableText0"/>
              <w:keepNext w:val="0"/>
              <w:widowControl w:val="0"/>
              <w:rPr>
                <w:szCs w:val="20"/>
              </w:rPr>
            </w:pPr>
            <w:r w:rsidRPr="001534B3">
              <w:rPr>
                <w:szCs w:val="20"/>
              </w:rPr>
              <w:t>% ineligible/ unsuitable for 2L</w:t>
            </w:r>
            <w:r w:rsidR="00621199" w:rsidRPr="001534B3">
              <w:rPr>
                <w:szCs w:val="20"/>
              </w:rPr>
              <w:t xml:space="preserve"> ASCT/ CAR-T</w:t>
            </w:r>
          </w:p>
        </w:tc>
        <w:tc>
          <w:tcPr>
            <w:tcW w:w="3233" w:type="dxa"/>
            <w:vAlign w:val="top"/>
          </w:tcPr>
          <w:p w14:paraId="61817783" w14:textId="728EFD03" w:rsidR="00621199" w:rsidRPr="001534B3" w:rsidRDefault="00621199" w:rsidP="00BE2E29">
            <w:pPr>
              <w:pStyle w:val="TableText0"/>
              <w:widowControl w:val="0"/>
              <w:rPr>
                <w:szCs w:val="20"/>
              </w:rPr>
            </w:pPr>
            <w:r w:rsidRPr="001534B3">
              <w:rPr>
                <w:szCs w:val="20"/>
              </w:rPr>
              <w:t xml:space="preserve">50%, </w:t>
            </w:r>
            <w:r w:rsidR="00B0173E" w:rsidRPr="001534B3">
              <w:rPr>
                <w:szCs w:val="20"/>
              </w:rPr>
              <w:t xml:space="preserve">estimated from the literature. </w:t>
            </w:r>
            <w:r w:rsidRPr="001534B3">
              <w:rPr>
                <w:szCs w:val="20"/>
              </w:rPr>
              <w:t xml:space="preserve">Metis; Sehn &amp; Salles 2021 </w:t>
            </w:r>
            <w:r w:rsidRPr="001534B3">
              <w:rPr>
                <w:rStyle w:val="FootnoteReference"/>
                <w:szCs w:val="20"/>
              </w:rPr>
              <w:footnoteReference w:id="19"/>
            </w:r>
            <w:r w:rsidRPr="001534B3">
              <w:rPr>
                <w:szCs w:val="20"/>
              </w:rPr>
              <w:t xml:space="preserve"> (</w:t>
            </w:r>
            <w:r w:rsidR="00BE0CF7" w:rsidRPr="001534B3">
              <w:rPr>
                <w:szCs w:val="20"/>
              </w:rPr>
              <w:t xml:space="preserve">reporting </w:t>
            </w:r>
            <w:r w:rsidRPr="001534B3">
              <w:rPr>
                <w:szCs w:val="20"/>
              </w:rPr>
              <w:t>50%)</w:t>
            </w:r>
            <w:r w:rsidRPr="001534B3">
              <w:rPr>
                <w:rStyle w:val="FootnoteReference"/>
                <w:szCs w:val="20"/>
              </w:rPr>
              <w:footnoteReference w:id="20"/>
            </w:r>
            <w:r w:rsidRPr="001534B3">
              <w:rPr>
                <w:szCs w:val="20"/>
              </w:rPr>
              <w:t>; Friedberg 2011 (</w:t>
            </w:r>
            <w:r w:rsidR="00BE0CF7" w:rsidRPr="001534B3">
              <w:rPr>
                <w:szCs w:val="20"/>
              </w:rPr>
              <w:t xml:space="preserve">reporting </w:t>
            </w:r>
            <w:r w:rsidRPr="001534B3">
              <w:rPr>
                <w:szCs w:val="20"/>
              </w:rPr>
              <w:t>50%)</w:t>
            </w:r>
          </w:p>
        </w:tc>
        <w:tc>
          <w:tcPr>
            <w:tcW w:w="4199" w:type="dxa"/>
            <w:vAlign w:val="top"/>
          </w:tcPr>
          <w:p w14:paraId="3ED2D78C" w14:textId="137847D0" w:rsidR="00621199" w:rsidRPr="001534B3" w:rsidRDefault="004B4A16" w:rsidP="00BE2E29">
            <w:pPr>
              <w:pStyle w:val="TableText0"/>
              <w:keepNext w:val="0"/>
              <w:widowControl w:val="0"/>
              <w:rPr>
                <w:szCs w:val="20"/>
              </w:rPr>
            </w:pPr>
            <w:r w:rsidRPr="001534B3">
              <w:rPr>
                <w:szCs w:val="20"/>
              </w:rPr>
              <w:t>Potential underestimate, given the reference</w:t>
            </w:r>
            <w:r w:rsidR="00BE0CF7" w:rsidRPr="001534B3">
              <w:rPr>
                <w:szCs w:val="20"/>
              </w:rPr>
              <w:t>s</w:t>
            </w:r>
            <w:r w:rsidRPr="001534B3">
              <w:rPr>
                <w:szCs w:val="20"/>
              </w:rPr>
              <w:t xml:space="preserve"> only include</w:t>
            </w:r>
            <w:r w:rsidR="00BE0CF7" w:rsidRPr="001534B3">
              <w:rPr>
                <w:szCs w:val="20"/>
              </w:rPr>
              <w:t>d</w:t>
            </w:r>
            <w:r w:rsidRPr="001534B3">
              <w:rPr>
                <w:szCs w:val="20"/>
              </w:rPr>
              <w:t xml:space="preserve"> ineligibility for ASCT whereas the parameter refers to the proportion ineligible for ASCT/CAR-T. Estimates for the proportion of patient</w:t>
            </w:r>
            <w:r w:rsidR="007E6C9D" w:rsidRPr="001534B3">
              <w:rPr>
                <w:szCs w:val="20"/>
              </w:rPr>
              <w:t>s</w:t>
            </w:r>
            <w:r w:rsidRPr="001534B3">
              <w:rPr>
                <w:szCs w:val="20"/>
              </w:rPr>
              <w:t xml:space="preserve"> </w:t>
            </w:r>
            <w:r w:rsidR="00D83CD7" w:rsidRPr="001534B3">
              <w:rPr>
                <w:szCs w:val="20"/>
              </w:rPr>
              <w:t xml:space="preserve">who were </w:t>
            </w:r>
            <w:r w:rsidRPr="001534B3">
              <w:rPr>
                <w:szCs w:val="20"/>
              </w:rPr>
              <w:t xml:space="preserve">ineligible for CAR-T varies across the literature, e.g. </w:t>
            </w:r>
            <w:r w:rsidR="003F3821" w:rsidRPr="001534B3">
              <w:rPr>
                <w:szCs w:val="20"/>
              </w:rPr>
              <w:t>62% in ZUMA-1, 32-63% in Sarkozy.</w:t>
            </w:r>
            <w:r w:rsidR="00E35BB3" w:rsidRPr="001534B3">
              <w:rPr>
                <w:szCs w:val="20"/>
              </w:rPr>
              <w:t xml:space="preserve"> The PSCR (Table 4) stated that, in the absence of market data, an upper limit of 60% may be reasonable. </w:t>
            </w:r>
          </w:p>
        </w:tc>
      </w:tr>
      <w:tr w:rsidR="00E66478" w:rsidRPr="001534B3" w14:paraId="1D31DFF8" w14:textId="77777777" w:rsidTr="007E6C9D">
        <w:trPr>
          <w:trHeight w:val="20"/>
        </w:trPr>
        <w:tc>
          <w:tcPr>
            <w:tcW w:w="1919" w:type="dxa"/>
            <w:shd w:val="clear" w:color="auto" w:fill="FFFFFF" w:themeFill="background1"/>
            <w:vAlign w:val="top"/>
          </w:tcPr>
          <w:p w14:paraId="1B232A43" w14:textId="65FC627A" w:rsidR="00621199" w:rsidRPr="001534B3" w:rsidRDefault="003F3821" w:rsidP="00977721">
            <w:pPr>
              <w:pStyle w:val="TableText0"/>
              <w:keepNext w:val="0"/>
              <w:widowControl w:val="0"/>
              <w:rPr>
                <w:szCs w:val="20"/>
              </w:rPr>
            </w:pPr>
            <w:r w:rsidRPr="001534B3">
              <w:rPr>
                <w:szCs w:val="20"/>
              </w:rPr>
              <w:t>% f</w:t>
            </w:r>
            <w:r w:rsidR="00621199" w:rsidRPr="001534B3">
              <w:rPr>
                <w:szCs w:val="20"/>
              </w:rPr>
              <w:t>it to receive 2L</w:t>
            </w:r>
            <w:r w:rsidRPr="001534B3">
              <w:rPr>
                <w:szCs w:val="20"/>
              </w:rPr>
              <w:t xml:space="preserve"> chemotherapy / immunotherapy │ineligible/unsuitable for 2L ASCT/CAR-T</w:t>
            </w:r>
          </w:p>
        </w:tc>
        <w:tc>
          <w:tcPr>
            <w:tcW w:w="3233" w:type="dxa"/>
            <w:vAlign w:val="top"/>
          </w:tcPr>
          <w:p w14:paraId="2F191253" w14:textId="6ADF44CA" w:rsidR="00621199" w:rsidRPr="001534B3" w:rsidRDefault="00621199" w:rsidP="00BE2E29">
            <w:pPr>
              <w:pStyle w:val="TableText0"/>
              <w:widowControl w:val="0"/>
              <w:rPr>
                <w:szCs w:val="20"/>
              </w:rPr>
            </w:pPr>
            <w:r w:rsidRPr="001534B3">
              <w:rPr>
                <w:szCs w:val="20"/>
              </w:rPr>
              <w:t xml:space="preserve">89%, sourced from </w:t>
            </w:r>
            <w:r w:rsidR="000C45E5" w:rsidRPr="001534B3">
              <w:rPr>
                <w:szCs w:val="20"/>
              </w:rPr>
              <w:t>S</w:t>
            </w:r>
            <w:r w:rsidRPr="001534B3">
              <w:rPr>
                <w:szCs w:val="20"/>
              </w:rPr>
              <w:t>ponsor’s market research</w:t>
            </w:r>
          </w:p>
        </w:tc>
        <w:tc>
          <w:tcPr>
            <w:tcW w:w="4199" w:type="dxa"/>
            <w:vAlign w:val="top"/>
          </w:tcPr>
          <w:p w14:paraId="6FE0C6A7" w14:textId="0A88E28A" w:rsidR="00621199" w:rsidRPr="001534B3" w:rsidRDefault="00BE0CF7" w:rsidP="00BE2E29">
            <w:pPr>
              <w:pStyle w:val="TableText0"/>
              <w:keepNext w:val="0"/>
              <w:widowControl w:val="0"/>
              <w:rPr>
                <w:szCs w:val="20"/>
              </w:rPr>
            </w:pPr>
            <w:r w:rsidRPr="001534B3">
              <w:rPr>
                <w:szCs w:val="20"/>
              </w:rPr>
              <w:t>The source could not be verified.</w:t>
            </w:r>
          </w:p>
        </w:tc>
      </w:tr>
      <w:tr w:rsidR="00E66478" w:rsidRPr="001534B3" w14:paraId="5EEBAFBD" w14:textId="77777777" w:rsidTr="007E6C9D">
        <w:trPr>
          <w:trHeight w:val="20"/>
        </w:trPr>
        <w:tc>
          <w:tcPr>
            <w:tcW w:w="1919" w:type="dxa"/>
            <w:shd w:val="clear" w:color="auto" w:fill="FFFFFF" w:themeFill="background1"/>
            <w:vAlign w:val="top"/>
          </w:tcPr>
          <w:p w14:paraId="0BCFE272" w14:textId="5FF4BF33" w:rsidR="00621199" w:rsidRPr="001534B3" w:rsidRDefault="003F3821" w:rsidP="00977721">
            <w:pPr>
              <w:pStyle w:val="TableText0"/>
              <w:keepNext w:val="0"/>
              <w:widowControl w:val="0"/>
              <w:rPr>
                <w:szCs w:val="20"/>
              </w:rPr>
            </w:pPr>
            <w:r w:rsidRPr="001534B3">
              <w:rPr>
                <w:szCs w:val="20"/>
              </w:rPr>
              <w:t xml:space="preserve">% </w:t>
            </w:r>
            <w:r w:rsidR="00621199" w:rsidRPr="001534B3">
              <w:rPr>
                <w:szCs w:val="20"/>
              </w:rPr>
              <w:t>requiring 3L</w:t>
            </w:r>
            <w:r w:rsidRPr="001534B3">
              <w:rPr>
                <w:szCs w:val="20"/>
              </w:rPr>
              <w:t xml:space="preserve"> treatment</w:t>
            </w:r>
            <w:r w:rsidR="00621199" w:rsidRPr="001534B3">
              <w:rPr>
                <w:szCs w:val="20"/>
              </w:rPr>
              <w:t>, post</w:t>
            </w:r>
            <w:r w:rsidRPr="001534B3">
              <w:rPr>
                <w:szCs w:val="20"/>
              </w:rPr>
              <w:t xml:space="preserve"> 2L</w:t>
            </w:r>
            <w:r w:rsidR="00621199" w:rsidRPr="001534B3">
              <w:rPr>
                <w:szCs w:val="20"/>
              </w:rPr>
              <w:t xml:space="preserve"> ASCT/ CAR-T</w:t>
            </w:r>
          </w:p>
        </w:tc>
        <w:tc>
          <w:tcPr>
            <w:tcW w:w="3233" w:type="dxa"/>
            <w:vAlign w:val="top"/>
          </w:tcPr>
          <w:p w14:paraId="412EEF54" w14:textId="63D860A8" w:rsidR="00621199" w:rsidRPr="001534B3" w:rsidRDefault="00621199" w:rsidP="00BE2E29">
            <w:pPr>
              <w:pStyle w:val="TableText0"/>
              <w:widowControl w:val="0"/>
              <w:rPr>
                <w:szCs w:val="20"/>
              </w:rPr>
            </w:pPr>
            <w:r w:rsidRPr="001534B3">
              <w:rPr>
                <w:szCs w:val="20"/>
              </w:rPr>
              <w:t xml:space="preserve">40%, </w:t>
            </w:r>
            <w:r w:rsidR="00BE0CF7" w:rsidRPr="001534B3">
              <w:rPr>
                <w:szCs w:val="20"/>
              </w:rPr>
              <w:t xml:space="preserve">estimated from the literature: </w:t>
            </w:r>
            <w:r w:rsidRPr="001534B3">
              <w:rPr>
                <w:szCs w:val="20"/>
              </w:rPr>
              <w:t>Westin, 2022</w:t>
            </w:r>
            <w:r w:rsidR="00E66478" w:rsidRPr="001534B3">
              <w:rPr>
                <w:rStyle w:val="FootnoteReference"/>
                <w:szCs w:val="20"/>
              </w:rPr>
              <w:footnoteReference w:id="21"/>
            </w:r>
            <w:r w:rsidRPr="001534B3">
              <w:rPr>
                <w:szCs w:val="20"/>
              </w:rPr>
              <w:t>.</w:t>
            </w:r>
          </w:p>
        </w:tc>
        <w:tc>
          <w:tcPr>
            <w:tcW w:w="4199" w:type="dxa"/>
            <w:vAlign w:val="top"/>
          </w:tcPr>
          <w:p w14:paraId="40A04108" w14:textId="3C260035" w:rsidR="00621199" w:rsidRPr="001534B3" w:rsidRDefault="008A0363" w:rsidP="00BE2E29">
            <w:pPr>
              <w:pStyle w:val="TableText0"/>
              <w:keepNext w:val="0"/>
              <w:widowControl w:val="0"/>
              <w:rPr>
                <w:szCs w:val="20"/>
              </w:rPr>
            </w:pPr>
            <w:r w:rsidRPr="001534B3">
              <w:rPr>
                <w:szCs w:val="20"/>
              </w:rPr>
              <w:t>Potential overestimate. C</w:t>
            </w:r>
            <w:r w:rsidR="00621199" w:rsidRPr="001534B3">
              <w:rPr>
                <w:szCs w:val="20"/>
              </w:rPr>
              <w:t>ould not be verified from the cited reference</w:t>
            </w:r>
            <w:r w:rsidR="006747DA" w:rsidRPr="001534B3">
              <w:rPr>
                <w:szCs w:val="20"/>
              </w:rPr>
              <w:t>. The cited reference (Figure 2)</w:t>
            </w:r>
            <w:r w:rsidR="00621199" w:rsidRPr="001534B3">
              <w:rPr>
                <w:szCs w:val="20"/>
              </w:rPr>
              <w:t xml:space="preserve"> indicated 28-38% of patients post ASCT/CAR-T were not cured.</w:t>
            </w:r>
            <w:r w:rsidR="00E501B8" w:rsidRPr="001534B3">
              <w:rPr>
                <w:szCs w:val="20"/>
              </w:rPr>
              <w:t xml:space="preserve"> </w:t>
            </w:r>
            <w:r w:rsidR="00443A70" w:rsidRPr="001534B3">
              <w:rPr>
                <w:szCs w:val="20"/>
              </w:rPr>
              <w:t xml:space="preserve">The PSCR (Table 4) </w:t>
            </w:r>
            <w:r w:rsidR="004F50FD" w:rsidRPr="001534B3">
              <w:rPr>
                <w:szCs w:val="20"/>
              </w:rPr>
              <w:t xml:space="preserve">stated it was reasonable to assume that all patients who </w:t>
            </w:r>
            <w:r w:rsidR="00FF61AE" w:rsidRPr="001534B3">
              <w:rPr>
                <w:szCs w:val="20"/>
              </w:rPr>
              <w:t>are not cured following ASCT/</w:t>
            </w:r>
            <w:r w:rsidR="000940C3">
              <w:rPr>
                <w:szCs w:val="20"/>
              </w:rPr>
              <w:t>CAR-T cell therapy</w:t>
            </w:r>
            <w:r w:rsidR="00FF61AE" w:rsidRPr="001534B3">
              <w:rPr>
                <w:szCs w:val="20"/>
              </w:rPr>
              <w:t xml:space="preserve"> would require further treatment. The PSCR noted that whether a patient is suffi</w:t>
            </w:r>
            <w:r w:rsidR="00751DC9" w:rsidRPr="001534B3">
              <w:rPr>
                <w:szCs w:val="20"/>
              </w:rPr>
              <w:t xml:space="preserve">ciently fit to proceed to treatment is considered in the next step. </w:t>
            </w:r>
          </w:p>
        </w:tc>
      </w:tr>
      <w:tr w:rsidR="00E66478" w:rsidRPr="001534B3" w14:paraId="28A54EDB" w14:textId="77777777" w:rsidTr="007E6C9D">
        <w:trPr>
          <w:trHeight w:val="20"/>
        </w:trPr>
        <w:tc>
          <w:tcPr>
            <w:tcW w:w="1919" w:type="dxa"/>
            <w:shd w:val="clear" w:color="auto" w:fill="FFFFFF" w:themeFill="background1"/>
            <w:vAlign w:val="top"/>
          </w:tcPr>
          <w:p w14:paraId="2BFAF45C" w14:textId="70DDBAED" w:rsidR="00621199" w:rsidRPr="001534B3" w:rsidRDefault="003F3821" w:rsidP="00977721">
            <w:pPr>
              <w:pStyle w:val="TableText0"/>
              <w:keepNext w:val="0"/>
              <w:widowControl w:val="0"/>
              <w:rPr>
                <w:szCs w:val="20"/>
              </w:rPr>
            </w:pPr>
            <w:r w:rsidRPr="001534B3">
              <w:rPr>
                <w:szCs w:val="20"/>
              </w:rPr>
              <w:t>% f</w:t>
            </w:r>
            <w:r w:rsidR="00621199" w:rsidRPr="001534B3">
              <w:rPr>
                <w:szCs w:val="20"/>
              </w:rPr>
              <w:t>it to receive 3L</w:t>
            </w:r>
            <w:r w:rsidRPr="001534B3">
              <w:rPr>
                <w:szCs w:val="20"/>
              </w:rPr>
              <w:t xml:space="preserve"> chemotherapy/ immunotherapy │ 2L ASCT/CAR-T</w:t>
            </w:r>
          </w:p>
        </w:tc>
        <w:tc>
          <w:tcPr>
            <w:tcW w:w="3233" w:type="dxa"/>
            <w:vAlign w:val="top"/>
          </w:tcPr>
          <w:p w14:paraId="557D282A" w14:textId="3EA251F6" w:rsidR="00621199" w:rsidRPr="001534B3" w:rsidRDefault="00621199" w:rsidP="008C1CFA">
            <w:pPr>
              <w:pStyle w:val="TableText0"/>
              <w:widowControl w:val="0"/>
              <w:rPr>
                <w:szCs w:val="20"/>
              </w:rPr>
            </w:pPr>
            <w:r w:rsidRPr="001534B3">
              <w:rPr>
                <w:szCs w:val="20"/>
              </w:rPr>
              <w:t xml:space="preserve">53%, </w:t>
            </w:r>
            <w:r w:rsidR="00BE0CF7" w:rsidRPr="001534B3">
              <w:rPr>
                <w:szCs w:val="20"/>
              </w:rPr>
              <w:t xml:space="preserve">estimated from the literature: </w:t>
            </w:r>
            <w:r w:rsidRPr="001534B3">
              <w:rPr>
                <w:szCs w:val="20"/>
              </w:rPr>
              <w:t>Kanas 2021</w:t>
            </w:r>
            <w:r w:rsidRPr="001534B3">
              <w:rPr>
                <w:rStyle w:val="FootnoteReference"/>
                <w:szCs w:val="20"/>
              </w:rPr>
              <w:footnoteReference w:id="22"/>
            </w:r>
            <w:r w:rsidRPr="001534B3">
              <w:rPr>
                <w:szCs w:val="20"/>
              </w:rPr>
              <w:t>.</w:t>
            </w:r>
          </w:p>
        </w:tc>
        <w:tc>
          <w:tcPr>
            <w:tcW w:w="4199" w:type="dxa"/>
            <w:vAlign w:val="top"/>
          </w:tcPr>
          <w:p w14:paraId="3D7ABCAF" w14:textId="53EB0FBB" w:rsidR="00621199" w:rsidRPr="001534B3" w:rsidRDefault="008A0363" w:rsidP="00BE2E29">
            <w:pPr>
              <w:pStyle w:val="TableText0"/>
              <w:keepNext w:val="0"/>
              <w:widowControl w:val="0"/>
              <w:rPr>
                <w:szCs w:val="20"/>
              </w:rPr>
            </w:pPr>
            <w:r w:rsidRPr="001534B3">
              <w:rPr>
                <w:szCs w:val="20"/>
              </w:rPr>
              <w:t xml:space="preserve">The estimate from Kanas 2021 was not </w:t>
            </w:r>
            <w:r w:rsidR="00621199" w:rsidRPr="001534B3">
              <w:rPr>
                <w:szCs w:val="20"/>
              </w:rPr>
              <w:t>conditional on prior ASCT/ CAR-T.</w:t>
            </w:r>
          </w:p>
        </w:tc>
      </w:tr>
      <w:tr w:rsidR="006747DA" w:rsidRPr="001534B3" w14:paraId="390F33BD" w14:textId="77777777" w:rsidTr="007E6C9D">
        <w:trPr>
          <w:trHeight w:val="20"/>
        </w:trPr>
        <w:tc>
          <w:tcPr>
            <w:tcW w:w="1919" w:type="dxa"/>
            <w:shd w:val="clear" w:color="auto" w:fill="FFFFFF" w:themeFill="background1"/>
            <w:vAlign w:val="top"/>
          </w:tcPr>
          <w:p w14:paraId="21706925" w14:textId="074EB15D" w:rsidR="006747DA" w:rsidRPr="001534B3" w:rsidRDefault="006747DA" w:rsidP="00977721">
            <w:pPr>
              <w:pStyle w:val="TableText0"/>
              <w:keepNext w:val="0"/>
              <w:widowControl w:val="0"/>
              <w:rPr>
                <w:szCs w:val="20"/>
              </w:rPr>
            </w:pPr>
            <w:r w:rsidRPr="001534B3">
              <w:rPr>
                <w:szCs w:val="20"/>
              </w:rPr>
              <w:t>Grandfathered patients</w:t>
            </w:r>
          </w:p>
        </w:tc>
        <w:tc>
          <w:tcPr>
            <w:tcW w:w="3233" w:type="dxa"/>
            <w:vAlign w:val="top"/>
          </w:tcPr>
          <w:p w14:paraId="707E7DC4" w14:textId="2FA458CD" w:rsidR="006747DA" w:rsidRPr="001534B3" w:rsidRDefault="00BD6E95" w:rsidP="008C1CFA">
            <w:pPr>
              <w:pStyle w:val="TableText0"/>
              <w:widowControl w:val="0"/>
              <w:rPr>
                <w:szCs w:val="20"/>
              </w:rPr>
            </w:pPr>
            <w:r w:rsidRPr="00BD6E95">
              <w:rPr>
                <w:color w:val="000000"/>
                <w:spacing w:val="53"/>
                <w:szCs w:val="20"/>
                <w:shd w:val="solid" w:color="000000" w:fill="000000"/>
                <w:fitText w:val="330" w:id="-632053751"/>
                <w14:textFill>
                  <w14:solidFill>
                    <w14:srgbClr w14:val="000000">
                      <w14:alpha w14:val="100000"/>
                    </w14:srgbClr>
                  </w14:solidFill>
                </w14:textFill>
              </w:rPr>
              <w:t>|||</w:t>
            </w:r>
            <w:r w:rsidRPr="00BD6E95">
              <w:rPr>
                <w:color w:val="000000"/>
                <w:spacing w:val="1"/>
                <w:szCs w:val="20"/>
                <w:shd w:val="solid" w:color="000000" w:fill="000000"/>
                <w:fitText w:val="330" w:id="-632053751"/>
                <w14:textFill>
                  <w14:solidFill>
                    <w14:srgbClr w14:val="000000">
                      <w14:alpha w14:val="100000"/>
                    </w14:srgbClr>
                  </w14:solidFill>
                </w14:textFill>
              </w:rPr>
              <w:t>|</w:t>
            </w:r>
            <w:r w:rsidR="006747DA" w:rsidRPr="001534B3">
              <w:rPr>
                <w:szCs w:val="20"/>
              </w:rPr>
              <w:t xml:space="preserve"> </w:t>
            </w:r>
            <w:r w:rsidR="00D043E0">
              <w:rPr>
                <w:szCs w:val="20"/>
                <w:vertAlign w:val="superscript"/>
              </w:rPr>
              <w:t>1</w:t>
            </w:r>
            <w:r w:rsidR="00617E0C">
              <w:rPr>
                <w:szCs w:val="20"/>
              </w:rPr>
              <w:t xml:space="preserve"> </w:t>
            </w:r>
            <w:r w:rsidR="006747DA" w:rsidRPr="001534B3">
              <w:rPr>
                <w:szCs w:val="20"/>
              </w:rPr>
              <w:t>grandfather patients requiring continuing prescriptions from treatment cycle 2</w:t>
            </w:r>
            <w:r w:rsidR="00952B3F" w:rsidRPr="001534B3">
              <w:rPr>
                <w:szCs w:val="20"/>
              </w:rPr>
              <w:t xml:space="preserve"> </w:t>
            </w:r>
            <w:r w:rsidR="006747DA" w:rsidRPr="001534B3">
              <w:rPr>
                <w:szCs w:val="20"/>
              </w:rPr>
              <w:t>onwards, assumed.</w:t>
            </w:r>
          </w:p>
        </w:tc>
        <w:tc>
          <w:tcPr>
            <w:tcW w:w="4199" w:type="dxa"/>
            <w:vAlign w:val="top"/>
          </w:tcPr>
          <w:p w14:paraId="3FABB36D" w14:textId="7F657F1C" w:rsidR="006747DA" w:rsidRPr="001534B3" w:rsidRDefault="006747DA" w:rsidP="00BE2E29">
            <w:pPr>
              <w:pStyle w:val="TableText0"/>
              <w:keepNext w:val="0"/>
              <w:widowControl w:val="0"/>
              <w:rPr>
                <w:szCs w:val="20"/>
              </w:rPr>
            </w:pPr>
            <w:r w:rsidRPr="001534B3">
              <w:rPr>
                <w:szCs w:val="20"/>
              </w:rPr>
              <w:t xml:space="preserve">Grandfathered patients were estimated as </w:t>
            </w:r>
            <w:r w:rsidR="00BD6E95" w:rsidRPr="00BD6E95">
              <w:rPr>
                <w:color w:val="000000"/>
                <w:spacing w:val="53"/>
                <w:szCs w:val="20"/>
                <w:shd w:val="solid" w:color="000000" w:fill="000000"/>
                <w:fitText w:val="330" w:id="-632053750"/>
                <w14:textFill>
                  <w14:solidFill>
                    <w14:srgbClr w14:val="000000">
                      <w14:alpha w14:val="100000"/>
                    </w14:srgbClr>
                  </w14:solidFill>
                </w14:textFill>
              </w:rPr>
              <w:t>|||</w:t>
            </w:r>
            <w:r w:rsidR="00BD6E95" w:rsidRPr="00BD6E95">
              <w:rPr>
                <w:color w:val="000000"/>
                <w:spacing w:val="1"/>
                <w:szCs w:val="20"/>
                <w:shd w:val="solid" w:color="000000" w:fill="000000"/>
                <w:fitText w:val="330" w:id="-632053750"/>
                <w14:textFill>
                  <w14:solidFill>
                    <w14:srgbClr w14:val="000000">
                      <w14:alpha w14:val="100000"/>
                    </w14:srgbClr>
                  </w14:solidFill>
                </w14:textFill>
              </w:rPr>
              <w:t>|</w:t>
            </w:r>
            <w:r w:rsidRPr="004E4ABF">
              <w:rPr>
                <w:szCs w:val="20"/>
              </w:rPr>
              <w:t>%</w:t>
            </w:r>
            <w:r w:rsidRPr="001534B3">
              <w:rPr>
                <w:szCs w:val="20"/>
              </w:rPr>
              <w:t xml:space="preserve"> of 2025 incident population in 2L (i.e</w:t>
            </w:r>
            <w:r w:rsidRPr="00925CF1">
              <w:rPr>
                <w:szCs w:val="20"/>
              </w:rPr>
              <w:t xml:space="preserve">., </w:t>
            </w:r>
            <w:r w:rsidR="00BD6E95" w:rsidRPr="00BD6E95">
              <w:rPr>
                <w:color w:val="000000"/>
                <w:spacing w:val="53"/>
                <w:szCs w:val="20"/>
                <w:shd w:val="solid" w:color="000000" w:fill="000000"/>
                <w:fitText w:val="330" w:id="-632053749"/>
                <w14:textFill>
                  <w14:solidFill>
                    <w14:srgbClr w14:val="000000">
                      <w14:alpha w14:val="100000"/>
                    </w14:srgbClr>
                  </w14:solidFill>
                </w14:textFill>
              </w:rPr>
              <w:t>|||</w:t>
            </w:r>
            <w:r w:rsidR="00BD6E95" w:rsidRPr="00BD6E95">
              <w:rPr>
                <w:color w:val="000000"/>
                <w:spacing w:val="1"/>
                <w:szCs w:val="20"/>
                <w:shd w:val="solid" w:color="000000" w:fill="000000"/>
                <w:fitText w:val="330" w:id="-632053749"/>
                <w14:textFill>
                  <w14:solidFill>
                    <w14:srgbClr w14:val="000000">
                      <w14:alpha w14:val="100000"/>
                    </w14:srgbClr>
                  </w14:solidFill>
                </w14:textFill>
              </w:rPr>
              <w:t>|</w:t>
            </w:r>
            <w:r w:rsidR="0091644D" w:rsidRPr="0091644D">
              <w:rPr>
                <w:szCs w:val="20"/>
                <w:vertAlign w:val="superscript"/>
              </w:rPr>
              <w:t>1</w:t>
            </w:r>
            <w:r w:rsidRPr="00925CF1">
              <w:rPr>
                <w:szCs w:val="20"/>
              </w:rPr>
              <w:t xml:space="preserve">) and 3L (i.e., </w:t>
            </w:r>
            <w:r w:rsidRPr="0091644D">
              <w:rPr>
                <w:szCs w:val="20"/>
              </w:rPr>
              <w:t>10</w:t>
            </w:r>
            <w:r w:rsidR="0091644D" w:rsidRPr="0091644D">
              <w:rPr>
                <w:szCs w:val="20"/>
                <w:vertAlign w:val="superscript"/>
              </w:rPr>
              <w:t>1</w:t>
            </w:r>
            <w:r w:rsidRPr="00925CF1">
              <w:rPr>
                <w:szCs w:val="20"/>
              </w:rPr>
              <w:t xml:space="preserve">). </w:t>
            </w:r>
            <w:r w:rsidRPr="001534B3">
              <w:rPr>
                <w:szCs w:val="20"/>
              </w:rPr>
              <w:t>This was uncertain and subject to double-counting.</w:t>
            </w:r>
          </w:p>
        </w:tc>
      </w:tr>
      <w:tr w:rsidR="00BA224D" w:rsidRPr="001534B3" w14:paraId="6207F43D" w14:textId="77777777" w:rsidTr="007E6C9D">
        <w:trPr>
          <w:trHeight w:val="20"/>
        </w:trPr>
        <w:tc>
          <w:tcPr>
            <w:tcW w:w="9351" w:type="dxa"/>
            <w:gridSpan w:val="3"/>
            <w:vAlign w:val="top"/>
          </w:tcPr>
          <w:p w14:paraId="077D03D0" w14:textId="77777777" w:rsidR="00BA224D" w:rsidRPr="001534B3" w:rsidRDefault="00BA224D" w:rsidP="00977721">
            <w:pPr>
              <w:pStyle w:val="TableText0"/>
              <w:keepNext w:val="0"/>
              <w:widowControl w:val="0"/>
              <w:rPr>
                <w:b/>
                <w:szCs w:val="20"/>
              </w:rPr>
            </w:pPr>
            <w:r w:rsidRPr="001534B3">
              <w:rPr>
                <w:b/>
                <w:szCs w:val="20"/>
              </w:rPr>
              <w:t>Treatment utilisation</w:t>
            </w:r>
          </w:p>
        </w:tc>
      </w:tr>
      <w:tr w:rsidR="00E66478" w:rsidRPr="001534B3" w14:paraId="5306571A" w14:textId="77777777" w:rsidTr="007E6C9D">
        <w:trPr>
          <w:trHeight w:val="20"/>
        </w:trPr>
        <w:tc>
          <w:tcPr>
            <w:tcW w:w="1919" w:type="dxa"/>
            <w:vAlign w:val="top"/>
          </w:tcPr>
          <w:p w14:paraId="6631B268" w14:textId="6C0F5E31" w:rsidR="00BA224D" w:rsidRPr="001534B3" w:rsidRDefault="00BA224D" w:rsidP="00977721">
            <w:pPr>
              <w:pStyle w:val="TableText0"/>
              <w:keepNext w:val="0"/>
              <w:widowControl w:val="0"/>
              <w:rPr>
                <w:szCs w:val="20"/>
              </w:rPr>
            </w:pPr>
            <w:r w:rsidRPr="001534B3">
              <w:rPr>
                <w:szCs w:val="20"/>
              </w:rPr>
              <w:t>Uptake rate (2L, 3L)</w:t>
            </w:r>
          </w:p>
        </w:tc>
        <w:tc>
          <w:tcPr>
            <w:tcW w:w="3233" w:type="dxa"/>
            <w:vAlign w:val="top"/>
          </w:tcPr>
          <w:p w14:paraId="00D80875" w14:textId="2A656F9F" w:rsidR="008A0363" w:rsidRPr="001534B3" w:rsidRDefault="008A0363" w:rsidP="009E140B">
            <w:pPr>
              <w:pStyle w:val="TableText0"/>
              <w:keepNext w:val="0"/>
              <w:widowControl w:val="0"/>
              <w:rPr>
                <w:szCs w:val="20"/>
              </w:rPr>
            </w:pPr>
            <w:r w:rsidRPr="001534B3">
              <w:rPr>
                <w:szCs w:val="20"/>
              </w:rPr>
              <w:t xml:space="preserve">Uptake of </w:t>
            </w:r>
            <w:r w:rsidR="00BD6E95" w:rsidRPr="00BD6E95">
              <w:rPr>
                <w:color w:val="000000"/>
                <w:spacing w:val="53"/>
                <w:szCs w:val="20"/>
                <w:shd w:val="solid" w:color="000000" w:fill="000000"/>
                <w:fitText w:val="330" w:id="-632053748"/>
                <w14:textFill>
                  <w14:solidFill>
                    <w14:srgbClr w14:val="000000">
                      <w14:alpha w14:val="100000"/>
                    </w14:srgbClr>
                  </w14:solidFill>
                </w14:textFill>
              </w:rPr>
              <w:t>|||</w:t>
            </w:r>
            <w:r w:rsidR="00BD6E95" w:rsidRPr="00BD6E95">
              <w:rPr>
                <w:color w:val="000000"/>
                <w:spacing w:val="1"/>
                <w:szCs w:val="20"/>
                <w:shd w:val="solid" w:color="000000" w:fill="000000"/>
                <w:fitText w:val="330" w:id="-632053748"/>
                <w14:textFill>
                  <w14:solidFill>
                    <w14:srgbClr w14:val="000000">
                      <w14:alpha w14:val="100000"/>
                    </w14:srgbClr>
                  </w14:solidFill>
                </w14:textFill>
              </w:rPr>
              <w:t>|</w:t>
            </w:r>
            <w:r w:rsidRPr="001534B3">
              <w:rPr>
                <w:szCs w:val="20"/>
              </w:rPr>
              <w:t xml:space="preserve">% to </w:t>
            </w:r>
            <w:r w:rsidR="00BD6E95" w:rsidRPr="00BD6E95">
              <w:rPr>
                <w:color w:val="000000"/>
                <w:spacing w:val="53"/>
                <w:szCs w:val="20"/>
                <w:shd w:val="solid" w:color="000000" w:fill="000000"/>
                <w:fitText w:val="330" w:id="-632053747"/>
                <w14:textFill>
                  <w14:solidFill>
                    <w14:srgbClr w14:val="000000">
                      <w14:alpha w14:val="100000"/>
                    </w14:srgbClr>
                  </w14:solidFill>
                </w14:textFill>
              </w:rPr>
              <w:t>|||</w:t>
            </w:r>
            <w:r w:rsidR="00BD6E95" w:rsidRPr="00BD6E95">
              <w:rPr>
                <w:color w:val="000000"/>
                <w:spacing w:val="1"/>
                <w:szCs w:val="20"/>
                <w:shd w:val="solid" w:color="000000" w:fill="000000"/>
                <w:fitText w:val="330" w:id="-632053747"/>
                <w14:textFill>
                  <w14:solidFill>
                    <w14:srgbClr w14:val="000000">
                      <w14:alpha w14:val="100000"/>
                    </w14:srgbClr>
                  </w14:solidFill>
                </w14:textFill>
              </w:rPr>
              <w:t>|</w:t>
            </w:r>
            <w:r w:rsidR="009E140B" w:rsidRPr="001534B3">
              <w:rPr>
                <w:szCs w:val="20"/>
              </w:rPr>
              <w:t xml:space="preserve">% in 6 years of listing, </w:t>
            </w:r>
            <w:r w:rsidRPr="001534B3">
              <w:rPr>
                <w:szCs w:val="20"/>
              </w:rPr>
              <w:t xml:space="preserve">assumed </w:t>
            </w:r>
            <w:r w:rsidR="009E140B" w:rsidRPr="001534B3">
              <w:rPr>
                <w:szCs w:val="20"/>
              </w:rPr>
              <w:t>due to the significant OS benefits</w:t>
            </w:r>
            <w:r w:rsidR="008C1CFA" w:rsidRPr="001534B3">
              <w:rPr>
                <w:szCs w:val="20"/>
              </w:rPr>
              <w:t>.</w:t>
            </w:r>
          </w:p>
          <w:p w14:paraId="5FE7616F" w14:textId="249D7B62" w:rsidR="00BA224D" w:rsidRPr="001534B3" w:rsidRDefault="00BA224D" w:rsidP="008A0363">
            <w:pPr>
              <w:pStyle w:val="TableText0"/>
              <w:keepNext w:val="0"/>
              <w:widowControl w:val="0"/>
              <w:rPr>
                <w:szCs w:val="20"/>
              </w:rPr>
            </w:pPr>
          </w:p>
        </w:tc>
        <w:tc>
          <w:tcPr>
            <w:tcW w:w="4199" w:type="dxa"/>
            <w:vAlign w:val="top"/>
          </w:tcPr>
          <w:p w14:paraId="4A91B62A" w14:textId="4DFE1BB1" w:rsidR="00BA224D" w:rsidRPr="001534B3" w:rsidRDefault="00BA224D" w:rsidP="00977721">
            <w:pPr>
              <w:pStyle w:val="TableText0"/>
              <w:keepNext w:val="0"/>
              <w:widowControl w:val="0"/>
              <w:rPr>
                <w:szCs w:val="20"/>
              </w:rPr>
            </w:pPr>
            <w:r w:rsidRPr="001534B3">
              <w:rPr>
                <w:szCs w:val="20"/>
              </w:rPr>
              <w:t>The submission assumed the same uptake rates for patients receiving 2L and 3L therapy</w:t>
            </w:r>
            <w:r w:rsidR="000C6329" w:rsidRPr="001534B3">
              <w:rPr>
                <w:szCs w:val="20"/>
              </w:rPr>
              <w:t>, which may not be reasonable.</w:t>
            </w:r>
            <w:r w:rsidRPr="001534B3">
              <w:rPr>
                <w:szCs w:val="20"/>
              </w:rPr>
              <w:t xml:space="preserve"> </w:t>
            </w:r>
            <w:r w:rsidR="006747DA" w:rsidRPr="001534B3">
              <w:rPr>
                <w:szCs w:val="20"/>
              </w:rPr>
              <w:t xml:space="preserve">Uptake rate in grandfathered patient was assumed to be </w:t>
            </w:r>
            <w:r w:rsidR="00BD6E95" w:rsidRPr="00BD6E95">
              <w:rPr>
                <w:color w:val="000000"/>
                <w:spacing w:val="53"/>
                <w:szCs w:val="20"/>
                <w:shd w:val="solid" w:color="000000" w:fill="000000"/>
                <w:fitText w:val="330" w:id="-632053746"/>
                <w14:textFill>
                  <w14:solidFill>
                    <w14:srgbClr w14:val="000000">
                      <w14:alpha w14:val="100000"/>
                    </w14:srgbClr>
                  </w14:solidFill>
                </w14:textFill>
              </w:rPr>
              <w:t>|||</w:t>
            </w:r>
            <w:r w:rsidR="00BD6E95" w:rsidRPr="00BD6E95">
              <w:rPr>
                <w:color w:val="000000"/>
                <w:spacing w:val="1"/>
                <w:szCs w:val="20"/>
                <w:shd w:val="solid" w:color="000000" w:fill="000000"/>
                <w:fitText w:val="330" w:id="-632053746"/>
                <w14:textFill>
                  <w14:solidFill>
                    <w14:srgbClr w14:val="000000">
                      <w14:alpha w14:val="100000"/>
                    </w14:srgbClr>
                  </w14:solidFill>
                </w14:textFill>
              </w:rPr>
              <w:t>|</w:t>
            </w:r>
            <w:r w:rsidR="006747DA" w:rsidRPr="001534B3">
              <w:rPr>
                <w:szCs w:val="20"/>
              </w:rPr>
              <w:t>%.</w:t>
            </w:r>
          </w:p>
        </w:tc>
      </w:tr>
      <w:tr w:rsidR="00E66478" w:rsidRPr="001534B3" w14:paraId="2CFAB1FE" w14:textId="77777777" w:rsidTr="007E6C9D">
        <w:trPr>
          <w:trHeight w:val="20"/>
        </w:trPr>
        <w:tc>
          <w:tcPr>
            <w:tcW w:w="1919" w:type="dxa"/>
            <w:vAlign w:val="top"/>
          </w:tcPr>
          <w:p w14:paraId="3548653A" w14:textId="4F1E7E16" w:rsidR="00BA224D" w:rsidRPr="001534B3" w:rsidRDefault="00AE51AC" w:rsidP="00977721">
            <w:pPr>
              <w:pStyle w:val="TableText0"/>
              <w:keepNext w:val="0"/>
              <w:widowControl w:val="0"/>
              <w:rPr>
                <w:szCs w:val="20"/>
              </w:rPr>
            </w:pPr>
            <w:r w:rsidRPr="001534B3">
              <w:rPr>
                <w:szCs w:val="20"/>
              </w:rPr>
              <w:t>A</w:t>
            </w:r>
            <w:r w:rsidR="00BA224D" w:rsidRPr="001534B3">
              <w:rPr>
                <w:szCs w:val="20"/>
              </w:rPr>
              <w:t>ffected patients in other lines of therapy, with the uptake of Glofit-GemOx in 2L</w:t>
            </w:r>
            <w:r w:rsidR="00E66478" w:rsidRPr="001534B3">
              <w:rPr>
                <w:szCs w:val="20"/>
              </w:rPr>
              <w:t xml:space="preserve"> and 3L</w:t>
            </w:r>
          </w:p>
        </w:tc>
        <w:tc>
          <w:tcPr>
            <w:tcW w:w="3233" w:type="dxa"/>
            <w:vAlign w:val="top"/>
          </w:tcPr>
          <w:p w14:paraId="5B303E09" w14:textId="7122E78D" w:rsidR="003A5A77" w:rsidRPr="001534B3" w:rsidRDefault="003A5A77" w:rsidP="003A5A77">
            <w:pPr>
              <w:pStyle w:val="TableText10"/>
              <w:spacing w:after="0"/>
            </w:pPr>
            <w:r w:rsidRPr="001534B3">
              <w:t xml:space="preserve">In 2L, </w:t>
            </w:r>
            <w:r w:rsidR="008C1CFA" w:rsidRPr="001534B3">
              <w:t xml:space="preserve">for </w:t>
            </w:r>
            <w:r w:rsidRPr="001534B3">
              <w:t>1 patient treated with glofitamab:</w:t>
            </w:r>
          </w:p>
          <w:p w14:paraId="64C8D61B" w14:textId="77777777" w:rsidR="003A5A77" w:rsidRPr="001534B3" w:rsidRDefault="003A5A77" w:rsidP="003A5A77">
            <w:pPr>
              <w:pStyle w:val="TableText10"/>
              <w:spacing w:after="0"/>
            </w:pPr>
            <w:r w:rsidRPr="001534B3">
              <w:t>–</w:t>
            </w:r>
            <w:r w:rsidRPr="001534B3">
              <w:tab/>
              <w:t>1 less treated with 2L rituximab,</w:t>
            </w:r>
          </w:p>
          <w:p w14:paraId="046DA38C" w14:textId="2B20524F" w:rsidR="003A5A77" w:rsidRPr="001534B3" w:rsidRDefault="003A5A77" w:rsidP="00B55035">
            <w:pPr>
              <w:pStyle w:val="TableText10"/>
              <w:spacing w:after="0"/>
            </w:pPr>
            <w:r w:rsidRPr="001534B3">
              <w:t>–</w:t>
            </w:r>
            <w:r w:rsidRPr="001534B3">
              <w:tab/>
              <w:t>0.165 less treated with 3L epcoritamab,</w:t>
            </w:r>
          </w:p>
          <w:p w14:paraId="7D27F79D" w14:textId="77777777" w:rsidR="003A5A77" w:rsidRPr="001534B3" w:rsidRDefault="003A5A77" w:rsidP="003A5A77">
            <w:pPr>
              <w:pStyle w:val="TableText10"/>
              <w:spacing w:after="0"/>
            </w:pPr>
            <w:r w:rsidRPr="001534B3">
              <w:t>–</w:t>
            </w:r>
            <w:r w:rsidRPr="001534B3">
              <w:tab/>
              <w:t>1 treated with obinutuzumab.</w:t>
            </w:r>
          </w:p>
          <w:p w14:paraId="0153465D" w14:textId="25E05604" w:rsidR="003A5A77" w:rsidRPr="001534B3" w:rsidRDefault="003A5A77" w:rsidP="003A5A77">
            <w:pPr>
              <w:pStyle w:val="TableText10"/>
              <w:spacing w:after="0"/>
            </w:pPr>
            <w:r w:rsidRPr="001534B3">
              <w:t xml:space="preserve">In 3L, </w:t>
            </w:r>
            <w:r w:rsidR="008C1CFA" w:rsidRPr="001534B3">
              <w:t xml:space="preserve">for </w:t>
            </w:r>
            <w:r w:rsidRPr="001534B3">
              <w:t>1 patient treated with glofitamab</w:t>
            </w:r>
            <w:r w:rsidR="008C1CFA" w:rsidRPr="001534B3">
              <w:t>:</w:t>
            </w:r>
            <w:r w:rsidRPr="001534B3">
              <w:t xml:space="preserve"> </w:t>
            </w:r>
          </w:p>
          <w:p w14:paraId="72BF08DE" w14:textId="77777777" w:rsidR="003A5A77" w:rsidRPr="001534B3" w:rsidRDefault="003A5A77" w:rsidP="003A5A77">
            <w:pPr>
              <w:pStyle w:val="TableText10"/>
              <w:spacing w:after="0"/>
            </w:pPr>
            <w:r w:rsidRPr="001534B3">
              <w:t>–</w:t>
            </w:r>
            <w:r w:rsidRPr="001534B3">
              <w:tab/>
              <w:t>1 less treated with 3L epcoritamab,</w:t>
            </w:r>
          </w:p>
          <w:p w14:paraId="09AF2073" w14:textId="25C41780" w:rsidR="00BA224D" w:rsidRPr="001534B3" w:rsidRDefault="003A5A77" w:rsidP="003A5A77">
            <w:pPr>
              <w:pStyle w:val="TableText10"/>
              <w:spacing w:after="0"/>
            </w:pPr>
            <w:r w:rsidRPr="001534B3">
              <w:t>–</w:t>
            </w:r>
            <w:r w:rsidRPr="001534B3">
              <w:tab/>
              <w:t>1 patient treated with obinutuzumab.</w:t>
            </w:r>
          </w:p>
        </w:tc>
        <w:tc>
          <w:tcPr>
            <w:tcW w:w="4199" w:type="dxa"/>
            <w:vAlign w:val="top"/>
          </w:tcPr>
          <w:p w14:paraId="1E7C98B2" w14:textId="7062B365" w:rsidR="00BA224D" w:rsidRPr="001534B3" w:rsidRDefault="00BA224D" w:rsidP="00977721">
            <w:pPr>
              <w:pStyle w:val="TableText0"/>
              <w:keepNext w:val="0"/>
              <w:widowControl w:val="0"/>
              <w:rPr>
                <w:szCs w:val="20"/>
              </w:rPr>
            </w:pPr>
            <w:r w:rsidRPr="001534B3">
              <w:rPr>
                <w:szCs w:val="20"/>
              </w:rPr>
              <w:t xml:space="preserve">The submission assumed, based on STARGLO, that using Glofit-GemOx in 2L would substitute rituximab (2L) 1:1 and result in less use of epcoritamab (3L) 1:0.165. </w:t>
            </w:r>
            <w:r w:rsidR="00B55035" w:rsidRPr="001534B3">
              <w:rPr>
                <w:szCs w:val="20"/>
              </w:rPr>
              <w:t>This was appropriate.</w:t>
            </w:r>
          </w:p>
        </w:tc>
      </w:tr>
      <w:tr w:rsidR="00BA224D" w:rsidRPr="001534B3" w14:paraId="7CA9496A" w14:textId="77777777" w:rsidTr="007E6C9D">
        <w:trPr>
          <w:trHeight w:val="20"/>
        </w:trPr>
        <w:tc>
          <w:tcPr>
            <w:tcW w:w="9351" w:type="dxa"/>
            <w:gridSpan w:val="3"/>
            <w:vAlign w:val="top"/>
          </w:tcPr>
          <w:p w14:paraId="288B2222" w14:textId="77777777" w:rsidR="00BA224D" w:rsidRPr="001534B3" w:rsidRDefault="00BA224D" w:rsidP="00977721">
            <w:pPr>
              <w:pStyle w:val="TableText0"/>
              <w:keepNext w:val="0"/>
              <w:widowControl w:val="0"/>
              <w:rPr>
                <w:b/>
                <w:szCs w:val="20"/>
              </w:rPr>
            </w:pPr>
            <w:r w:rsidRPr="001534B3">
              <w:rPr>
                <w:b/>
                <w:szCs w:val="20"/>
              </w:rPr>
              <w:t>Scripts/units dispensed</w:t>
            </w:r>
          </w:p>
        </w:tc>
      </w:tr>
      <w:tr w:rsidR="00E66478" w:rsidRPr="001534B3" w14:paraId="7451A11F" w14:textId="77777777" w:rsidTr="007E6C9D">
        <w:trPr>
          <w:trHeight w:val="20"/>
        </w:trPr>
        <w:tc>
          <w:tcPr>
            <w:tcW w:w="1919" w:type="dxa"/>
            <w:vAlign w:val="top"/>
          </w:tcPr>
          <w:p w14:paraId="05726A43" w14:textId="77777777" w:rsidR="00BA224D" w:rsidRPr="001534B3" w:rsidRDefault="00BA224D" w:rsidP="00977721">
            <w:pPr>
              <w:pStyle w:val="TableText0"/>
              <w:keepNext w:val="0"/>
              <w:widowControl w:val="0"/>
              <w:rPr>
                <w:szCs w:val="20"/>
              </w:rPr>
            </w:pPr>
            <w:r w:rsidRPr="001534B3">
              <w:rPr>
                <w:szCs w:val="20"/>
              </w:rPr>
              <w:t>Glofitamab 2.5mg and 10mg vials</w:t>
            </w:r>
          </w:p>
        </w:tc>
        <w:tc>
          <w:tcPr>
            <w:tcW w:w="3233" w:type="dxa"/>
            <w:vAlign w:val="top"/>
          </w:tcPr>
          <w:p w14:paraId="665ECD19" w14:textId="00BE9962" w:rsidR="00BA224D" w:rsidRPr="001534B3" w:rsidRDefault="008C1CFA" w:rsidP="0039144E">
            <w:pPr>
              <w:pStyle w:val="TableText0"/>
              <w:keepNext w:val="0"/>
              <w:widowControl w:val="0"/>
              <w:rPr>
                <w:szCs w:val="20"/>
              </w:rPr>
            </w:pPr>
            <w:r w:rsidRPr="001534B3">
              <w:rPr>
                <w:szCs w:val="20"/>
              </w:rPr>
              <w:t>The submission assumed all patients would complete 12 cycles of glofitamab at recommended doses</w:t>
            </w:r>
            <w:r w:rsidR="0039144E" w:rsidRPr="001534B3">
              <w:rPr>
                <w:szCs w:val="20"/>
              </w:rPr>
              <w:t>: 1 × 2.5 mg vial + 1 × 10 mg vial + 11 × 3 × 10 mg vial)</w:t>
            </w:r>
            <w:r w:rsidRPr="001534B3">
              <w:rPr>
                <w:szCs w:val="20"/>
              </w:rPr>
              <w:t>,</w:t>
            </w:r>
            <w:r w:rsidR="0039144E" w:rsidRPr="001534B3">
              <w:rPr>
                <w:szCs w:val="20"/>
              </w:rPr>
              <w:t xml:space="preserve"> </w:t>
            </w:r>
            <w:r w:rsidRPr="001534B3">
              <w:rPr>
                <w:szCs w:val="20"/>
              </w:rPr>
              <w:t xml:space="preserve">and did not cost </w:t>
            </w:r>
            <w:proofErr w:type="spellStart"/>
            <w:r w:rsidRPr="001534B3">
              <w:rPr>
                <w:szCs w:val="20"/>
              </w:rPr>
              <w:t>GemOx</w:t>
            </w:r>
            <w:proofErr w:type="spellEnd"/>
            <w:r w:rsidRPr="001534B3">
              <w:rPr>
                <w:szCs w:val="20"/>
              </w:rPr>
              <w:t xml:space="preserve"> separately, claiming that no change was expected compared to R-</w:t>
            </w:r>
            <w:proofErr w:type="spellStart"/>
            <w:r w:rsidRPr="001534B3">
              <w:rPr>
                <w:szCs w:val="20"/>
              </w:rPr>
              <w:t>GemOx</w:t>
            </w:r>
            <w:proofErr w:type="spellEnd"/>
            <w:r w:rsidR="0039144E" w:rsidRPr="001534B3">
              <w:rPr>
                <w:szCs w:val="20"/>
              </w:rPr>
              <w:t>.</w:t>
            </w:r>
            <w:r w:rsidR="00BA224D" w:rsidRPr="001534B3">
              <w:rPr>
                <w:szCs w:val="20"/>
              </w:rPr>
              <w:t xml:space="preserve"> </w:t>
            </w:r>
          </w:p>
        </w:tc>
        <w:tc>
          <w:tcPr>
            <w:tcW w:w="4199" w:type="dxa"/>
            <w:vAlign w:val="top"/>
          </w:tcPr>
          <w:p w14:paraId="1035A041" w14:textId="09B2B4C7" w:rsidR="00BA224D" w:rsidRPr="001534B3" w:rsidRDefault="008C1CFA" w:rsidP="008C1CFA">
            <w:pPr>
              <w:pStyle w:val="TableText0"/>
              <w:keepNext w:val="0"/>
              <w:widowControl w:val="0"/>
              <w:rPr>
                <w:szCs w:val="20"/>
              </w:rPr>
            </w:pPr>
            <w:r w:rsidRPr="001534B3">
              <w:rPr>
                <w:szCs w:val="20"/>
              </w:rPr>
              <w:t xml:space="preserve">Assuming all patients received 12 cycles of glofitamab likely overestimated its per-patient cost, as STARGLO patients averaged 8.5 cycles. However, excluding </w:t>
            </w:r>
            <w:proofErr w:type="spellStart"/>
            <w:r w:rsidRPr="001534B3">
              <w:rPr>
                <w:szCs w:val="20"/>
              </w:rPr>
              <w:t>GemOx</w:t>
            </w:r>
            <w:proofErr w:type="spellEnd"/>
            <w:r w:rsidRPr="001534B3">
              <w:rPr>
                <w:szCs w:val="20"/>
              </w:rPr>
              <w:t xml:space="preserve"> costs likely underestimated glofitamab listing costs because (1) cost</w:t>
            </w:r>
            <w:r w:rsidR="00F83094" w:rsidRPr="001534B3">
              <w:rPr>
                <w:szCs w:val="20"/>
              </w:rPr>
              <w:t xml:space="preserve"> </w:t>
            </w:r>
            <w:r w:rsidRPr="001534B3">
              <w:rPr>
                <w:szCs w:val="20"/>
              </w:rPr>
              <w:t xml:space="preserve">offsets were overestimated due to fewer </w:t>
            </w:r>
            <w:proofErr w:type="spellStart"/>
            <w:r w:rsidRPr="001534B3">
              <w:rPr>
                <w:szCs w:val="20"/>
              </w:rPr>
              <w:t>GemOx</w:t>
            </w:r>
            <w:proofErr w:type="spellEnd"/>
            <w:r w:rsidRPr="001534B3">
              <w:rPr>
                <w:szCs w:val="20"/>
              </w:rPr>
              <w:t xml:space="preserve"> doses in the R-</w:t>
            </w:r>
            <w:proofErr w:type="spellStart"/>
            <w:r w:rsidRPr="001534B3">
              <w:rPr>
                <w:szCs w:val="20"/>
              </w:rPr>
              <w:t>GemOx</w:t>
            </w:r>
            <w:proofErr w:type="spellEnd"/>
            <w:r w:rsidRPr="001534B3">
              <w:rPr>
                <w:szCs w:val="20"/>
              </w:rPr>
              <w:t xml:space="preserve"> arm, and (2) </w:t>
            </w:r>
            <w:proofErr w:type="spellStart"/>
            <w:r w:rsidRPr="001534B3">
              <w:rPr>
                <w:szCs w:val="20"/>
              </w:rPr>
              <w:t>Glofit</w:t>
            </w:r>
            <w:proofErr w:type="spellEnd"/>
            <w:r w:rsidRPr="001534B3">
              <w:rPr>
                <w:szCs w:val="20"/>
              </w:rPr>
              <w:t>-</w:t>
            </w:r>
            <w:r w:rsidR="007E6C9D" w:rsidRPr="001534B3">
              <w:rPr>
                <w:szCs w:val="20"/>
              </w:rPr>
              <w:t> </w:t>
            </w:r>
            <w:proofErr w:type="spellStart"/>
            <w:r w:rsidRPr="001534B3">
              <w:rPr>
                <w:szCs w:val="20"/>
              </w:rPr>
              <w:t>GemOx</w:t>
            </w:r>
            <w:proofErr w:type="spellEnd"/>
            <w:r w:rsidRPr="001534B3">
              <w:rPr>
                <w:szCs w:val="20"/>
              </w:rPr>
              <w:t xml:space="preserve"> does not replace R-</w:t>
            </w:r>
            <w:proofErr w:type="spellStart"/>
            <w:r w:rsidRPr="001534B3">
              <w:rPr>
                <w:szCs w:val="20"/>
              </w:rPr>
              <w:t>GemOx</w:t>
            </w:r>
            <w:proofErr w:type="spellEnd"/>
            <w:r w:rsidRPr="001534B3">
              <w:rPr>
                <w:szCs w:val="20"/>
              </w:rPr>
              <w:t xml:space="preserve"> in third-line treatment.</w:t>
            </w:r>
            <w:r w:rsidR="0035788B" w:rsidRPr="001534B3">
              <w:rPr>
                <w:szCs w:val="20"/>
              </w:rPr>
              <w:t xml:space="preserve"> The ESC considered the </w:t>
            </w:r>
            <w:r w:rsidR="002E4496" w:rsidRPr="001534B3">
              <w:rPr>
                <w:szCs w:val="20"/>
              </w:rPr>
              <w:t xml:space="preserve">average number of glofitamab </w:t>
            </w:r>
            <w:r w:rsidR="009E085F" w:rsidRPr="001534B3">
              <w:rPr>
                <w:szCs w:val="20"/>
              </w:rPr>
              <w:t>cycles from the STARGLO trial should be used</w:t>
            </w:r>
            <w:r w:rsidR="00D14B4B" w:rsidRPr="001534B3">
              <w:rPr>
                <w:szCs w:val="20"/>
              </w:rPr>
              <w:t xml:space="preserve"> (i.e. 8.5 cycles). </w:t>
            </w:r>
          </w:p>
        </w:tc>
      </w:tr>
      <w:tr w:rsidR="00E66478" w:rsidRPr="001534B3" w14:paraId="660CABA5" w14:textId="77777777" w:rsidTr="007E6C9D">
        <w:trPr>
          <w:trHeight w:val="20"/>
        </w:trPr>
        <w:tc>
          <w:tcPr>
            <w:tcW w:w="1919" w:type="dxa"/>
            <w:vAlign w:val="top"/>
          </w:tcPr>
          <w:p w14:paraId="7A9F1559" w14:textId="5FD7FC3D" w:rsidR="00BA224D" w:rsidRPr="001534B3" w:rsidRDefault="00AE51AC" w:rsidP="00977721">
            <w:pPr>
              <w:pStyle w:val="TableText0"/>
              <w:keepNext w:val="0"/>
              <w:widowControl w:val="0"/>
              <w:rPr>
                <w:szCs w:val="20"/>
              </w:rPr>
            </w:pPr>
            <w:r w:rsidRPr="001534B3">
              <w:rPr>
                <w:szCs w:val="20"/>
              </w:rPr>
              <w:t>A</w:t>
            </w:r>
            <w:r w:rsidR="00BA224D" w:rsidRPr="001534B3">
              <w:rPr>
                <w:szCs w:val="20"/>
              </w:rPr>
              <w:t>ffected medicines</w:t>
            </w:r>
          </w:p>
        </w:tc>
        <w:tc>
          <w:tcPr>
            <w:tcW w:w="3233" w:type="dxa"/>
            <w:vAlign w:val="top"/>
          </w:tcPr>
          <w:p w14:paraId="640F94B5" w14:textId="5EE7B075" w:rsidR="00BA224D" w:rsidRPr="001534B3" w:rsidRDefault="008C1CFA" w:rsidP="008C1CFA">
            <w:pPr>
              <w:pStyle w:val="TableText10"/>
              <w:spacing w:after="0"/>
            </w:pPr>
            <w:r w:rsidRPr="001534B3">
              <w:t>R-</w:t>
            </w:r>
            <w:proofErr w:type="spellStart"/>
            <w:r w:rsidRPr="001534B3">
              <w:t>GemOx</w:t>
            </w:r>
            <w:proofErr w:type="spellEnd"/>
            <w:r w:rsidRPr="001534B3">
              <w:t>: patients were assumed to need 8 cycles of rituximab (8 × 500</w:t>
            </w:r>
            <w:r w:rsidRPr="001534B3">
              <w:rPr>
                <w:rFonts w:ascii="Arial" w:hAnsi="Arial" w:cs="Arial"/>
              </w:rPr>
              <w:t> </w:t>
            </w:r>
            <w:r w:rsidRPr="001534B3">
              <w:t xml:space="preserve">mg and 16 </w:t>
            </w:r>
            <w:r w:rsidRPr="001534B3">
              <w:rPr>
                <w:rFonts w:cs="Arial Narrow"/>
              </w:rPr>
              <w:t>×</w:t>
            </w:r>
            <w:r w:rsidRPr="001534B3">
              <w:t xml:space="preserve"> 100</w:t>
            </w:r>
            <w:r w:rsidRPr="001534B3">
              <w:rPr>
                <w:rFonts w:ascii="Arial" w:hAnsi="Arial" w:cs="Arial"/>
              </w:rPr>
              <w:t> </w:t>
            </w:r>
            <w:r w:rsidRPr="001534B3">
              <w:t xml:space="preserve">mg vials), with no </w:t>
            </w:r>
            <w:proofErr w:type="spellStart"/>
            <w:r w:rsidRPr="001534B3">
              <w:t>GemOx</w:t>
            </w:r>
            <w:proofErr w:type="spellEnd"/>
            <w:r w:rsidRPr="001534B3">
              <w:t xml:space="preserve"> included. Epcoritamab: patients were assumed to need 16 cycles of treatment (2 × 4</w:t>
            </w:r>
            <w:r w:rsidRPr="001534B3">
              <w:rPr>
                <w:rFonts w:ascii="Arial" w:hAnsi="Arial" w:cs="Arial"/>
              </w:rPr>
              <w:t> </w:t>
            </w:r>
            <w:r w:rsidRPr="001534B3">
              <w:t xml:space="preserve">mg and 29 </w:t>
            </w:r>
            <w:r w:rsidRPr="001534B3">
              <w:rPr>
                <w:rFonts w:cs="Arial Narrow"/>
              </w:rPr>
              <w:t>×</w:t>
            </w:r>
            <w:r w:rsidRPr="001534B3">
              <w:t xml:space="preserve"> 48</w:t>
            </w:r>
            <w:r w:rsidRPr="001534B3">
              <w:rPr>
                <w:rFonts w:ascii="Arial" w:hAnsi="Arial" w:cs="Arial"/>
              </w:rPr>
              <w:t> </w:t>
            </w:r>
            <w:r w:rsidRPr="001534B3">
              <w:t>mg vials of epcoritamab).</w:t>
            </w:r>
          </w:p>
        </w:tc>
        <w:tc>
          <w:tcPr>
            <w:tcW w:w="4199" w:type="dxa"/>
            <w:vAlign w:val="top"/>
          </w:tcPr>
          <w:p w14:paraId="44C8CA7B" w14:textId="37EE4800" w:rsidR="00BA224D" w:rsidRPr="001534B3" w:rsidRDefault="00BA224D" w:rsidP="00977721">
            <w:pPr>
              <w:pStyle w:val="TableText0"/>
              <w:keepNext w:val="0"/>
              <w:widowControl w:val="0"/>
              <w:rPr>
                <w:szCs w:val="20"/>
              </w:rPr>
            </w:pPr>
            <w:proofErr w:type="spellStart"/>
            <w:r w:rsidRPr="001534B3">
              <w:rPr>
                <w:szCs w:val="20"/>
              </w:rPr>
              <w:t>GemOx</w:t>
            </w:r>
            <w:proofErr w:type="spellEnd"/>
            <w:r w:rsidRPr="001534B3">
              <w:rPr>
                <w:szCs w:val="20"/>
              </w:rPr>
              <w:t xml:space="preserve"> component was not cost</w:t>
            </w:r>
            <w:r w:rsidR="0039144E" w:rsidRPr="001534B3">
              <w:rPr>
                <w:szCs w:val="20"/>
              </w:rPr>
              <w:t>ed</w:t>
            </w:r>
            <w:r w:rsidRPr="001534B3">
              <w:rPr>
                <w:szCs w:val="20"/>
              </w:rPr>
              <w:t xml:space="preserve"> and assumed to be unchanged in the financial analysis</w:t>
            </w:r>
            <w:r w:rsidR="0039144E" w:rsidRPr="001534B3">
              <w:rPr>
                <w:szCs w:val="20"/>
              </w:rPr>
              <w:t xml:space="preserve">. This was not appropriate and may have led to underestimation of the incremental cost of </w:t>
            </w:r>
            <w:proofErr w:type="spellStart"/>
            <w:r w:rsidR="0039144E" w:rsidRPr="001534B3">
              <w:rPr>
                <w:szCs w:val="20"/>
              </w:rPr>
              <w:t>GemOx</w:t>
            </w:r>
            <w:proofErr w:type="spellEnd"/>
            <w:r w:rsidR="0039144E" w:rsidRPr="001534B3">
              <w:rPr>
                <w:szCs w:val="20"/>
              </w:rPr>
              <w:t>, as stated above.</w:t>
            </w:r>
          </w:p>
        </w:tc>
      </w:tr>
      <w:tr w:rsidR="00BA224D" w:rsidRPr="001534B3" w14:paraId="1DC59272" w14:textId="77777777" w:rsidTr="007E6C9D">
        <w:trPr>
          <w:trHeight w:val="20"/>
        </w:trPr>
        <w:tc>
          <w:tcPr>
            <w:tcW w:w="9351" w:type="dxa"/>
            <w:gridSpan w:val="3"/>
            <w:vAlign w:val="top"/>
          </w:tcPr>
          <w:p w14:paraId="0F21C66A" w14:textId="77777777" w:rsidR="00BA224D" w:rsidRPr="001534B3" w:rsidRDefault="00BA224D" w:rsidP="00977721">
            <w:pPr>
              <w:pStyle w:val="TableText0"/>
              <w:keepNext w:val="0"/>
              <w:widowControl w:val="0"/>
              <w:rPr>
                <w:b/>
                <w:szCs w:val="20"/>
              </w:rPr>
            </w:pPr>
            <w:r w:rsidRPr="001534B3">
              <w:rPr>
                <w:b/>
                <w:szCs w:val="20"/>
              </w:rPr>
              <w:t>PBS/RPBS Costs</w:t>
            </w:r>
          </w:p>
        </w:tc>
      </w:tr>
      <w:tr w:rsidR="00E66478" w:rsidRPr="001534B3" w14:paraId="16A49440" w14:textId="77777777" w:rsidTr="007E6C9D">
        <w:trPr>
          <w:trHeight w:val="20"/>
        </w:trPr>
        <w:tc>
          <w:tcPr>
            <w:tcW w:w="1919" w:type="dxa"/>
            <w:vAlign w:val="top"/>
          </w:tcPr>
          <w:p w14:paraId="3F8FF342" w14:textId="0236A87D" w:rsidR="00BA224D" w:rsidRPr="001534B3" w:rsidRDefault="00BA224D" w:rsidP="00977721">
            <w:pPr>
              <w:pStyle w:val="TableText0"/>
              <w:keepNext w:val="0"/>
              <w:widowControl w:val="0"/>
              <w:rPr>
                <w:szCs w:val="20"/>
              </w:rPr>
            </w:pPr>
            <w:r w:rsidRPr="001534B3">
              <w:rPr>
                <w:szCs w:val="20"/>
              </w:rPr>
              <w:t>Glofitamab</w:t>
            </w:r>
            <w:r w:rsidR="009E49E8" w:rsidRPr="001534B3">
              <w:rPr>
                <w:szCs w:val="20"/>
              </w:rPr>
              <w:t xml:space="preserve"> (DPMQ- public/private weighted)</w:t>
            </w:r>
          </w:p>
        </w:tc>
        <w:tc>
          <w:tcPr>
            <w:tcW w:w="3233" w:type="dxa"/>
            <w:vAlign w:val="top"/>
          </w:tcPr>
          <w:p w14:paraId="3BB51B33" w14:textId="19D3BDA7" w:rsidR="009E49E8" w:rsidRPr="001534B3" w:rsidRDefault="009E49E8" w:rsidP="009E49E8">
            <w:pPr>
              <w:jc w:val="left"/>
              <w:rPr>
                <w:rFonts w:ascii="Arial Narrow" w:eastAsiaTheme="majorEastAsia" w:hAnsi="Arial Narrow" w:cstheme="majorBidi"/>
                <w:bCs/>
                <w:sz w:val="20"/>
                <w:szCs w:val="20"/>
              </w:rPr>
            </w:pPr>
            <w:r w:rsidRPr="001534B3">
              <w:rPr>
                <w:rFonts w:ascii="Arial Narrow" w:eastAsiaTheme="majorEastAsia" w:hAnsi="Arial Narrow" w:cstheme="majorBidi"/>
                <w:bCs/>
                <w:sz w:val="20"/>
                <w:szCs w:val="20"/>
              </w:rPr>
              <w:t>2.5mg: effective:</w:t>
            </w:r>
            <w:r w:rsidR="006747DA" w:rsidRPr="001534B3">
              <w:rPr>
                <w:rFonts w:ascii="Arial Narrow" w:eastAsiaTheme="majorEastAsia" w:hAnsi="Arial Narrow" w:cstheme="majorBidi"/>
                <w:bCs/>
                <w:sz w:val="20"/>
                <w:szCs w:val="20"/>
              </w:rPr>
              <w:t xml:space="preserve"> </w:t>
            </w:r>
            <w:r w:rsidRPr="001534B3">
              <w:rPr>
                <w:rFonts w:ascii="Arial Narrow" w:eastAsiaTheme="majorEastAsia" w:hAnsi="Arial Narrow" w:cstheme="majorBidi"/>
                <w:bCs/>
                <w:sz w:val="20"/>
                <w:szCs w:val="20"/>
              </w:rPr>
              <w:t>$</w:t>
            </w:r>
            <w:r w:rsidR="00BD6E95" w:rsidRPr="00BD6E95">
              <w:rPr>
                <w:rFonts w:ascii="Arial Narrow" w:eastAsiaTheme="majorEastAsia" w:hAnsi="Arial Narrow" w:cstheme="majorBidi"/>
                <w:bCs/>
                <w:color w:val="000000"/>
                <w:spacing w:val="51"/>
                <w:sz w:val="20"/>
                <w:szCs w:val="20"/>
                <w:shd w:val="solid" w:color="000000" w:fill="000000"/>
                <w:fitText w:val="324" w:id="-632053745"/>
                <w14:textFill>
                  <w14:solidFill>
                    <w14:srgbClr w14:val="000000">
                      <w14:alpha w14:val="100000"/>
                    </w14:srgbClr>
                  </w14:solidFill>
                </w14:textFill>
              </w:rPr>
              <w:t>|||</w:t>
            </w:r>
            <w:r w:rsidR="00BD6E95" w:rsidRPr="00BD6E95">
              <w:rPr>
                <w:rFonts w:ascii="Arial Narrow" w:eastAsiaTheme="majorEastAsia" w:hAnsi="Arial Narrow" w:cstheme="majorBidi"/>
                <w:bCs/>
                <w:color w:val="000000"/>
                <w:spacing w:val="1"/>
                <w:sz w:val="20"/>
                <w:szCs w:val="20"/>
                <w:shd w:val="solid" w:color="000000" w:fill="000000"/>
                <w:fitText w:val="324" w:id="-632053745"/>
                <w14:textFill>
                  <w14:solidFill>
                    <w14:srgbClr w14:val="000000">
                      <w14:alpha w14:val="100000"/>
                    </w14:srgbClr>
                  </w14:solidFill>
                </w14:textFill>
              </w:rPr>
              <w:t>|</w:t>
            </w:r>
          </w:p>
          <w:p w14:paraId="6D96AE9B" w14:textId="71C0E7AB" w:rsidR="00BA224D" w:rsidRPr="001534B3" w:rsidRDefault="009E49E8" w:rsidP="009E49E8">
            <w:pPr>
              <w:jc w:val="left"/>
              <w:rPr>
                <w:rFonts w:ascii="Arial Narrow" w:eastAsiaTheme="majorEastAsia" w:hAnsi="Arial Narrow" w:cstheme="majorBidi"/>
                <w:bCs/>
                <w:sz w:val="20"/>
                <w:szCs w:val="20"/>
              </w:rPr>
            </w:pPr>
            <w:r w:rsidRPr="001534B3">
              <w:rPr>
                <w:rFonts w:ascii="Arial Narrow" w:eastAsiaTheme="majorEastAsia" w:hAnsi="Arial Narrow" w:cstheme="majorBidi"/>
                <w:bCs/>
                <w:sz w:val="20"/>
                <w:szCs w:val="20"/>
              </w:rPr>
              <w:t>10 mg: effective: $</w:t>
            </w:r>
            <w:r w:rsidR="00BD6E95" w:rsidRPr="00BD6E95">
              <w:rPr>
                <w:rFonts w:ascii="Arial Narrow" w:eastAsiaTheme="majorEastAsia" w:hAnsi="Arial Narrow" w:cstheme="majorBidi"/>
                <w:bCs/>
                <w:color w:val="000000"/>
                <w:spacing w:val="51"/>
                <w:sz w:val="20"/>
                <w:szCs w:val="20"/>
                <w:shd w:val="solid" w:color="000000" w:fill="000000"/>
                <w:fitText w:val="324" w:id="-632053744"/>
                <w14:textFill>
                  <w14:solidFill>
                    <w14:srgbClr w14:val="000000">
                      <w14:alpha w14:val="100000"/>
                    </w14:srgbClr>
                  </w14:solidFill>
                </w14:textFill>
              </w:rPr>
              <w:t>|||</w:t>
            </w:r>
            <w:r w:rsidR="00BD6E95" w:rsidRPr="00BD6E95">
              <w:rPr>
                <w:rFonts w:ascii="Arial Narrow" w:eastAsiaTheme="majorEastAsia" w:hAnsi="Arial Narrow" w:cstheme="majorBidi"/>
                <w:bCs/>
                <w:color w:val="000000"/>
                <w:spacing w:val="1"/>
                <w:sz w:val="20"/>
                <w:szCs w:val="20"/>
                <w:shd w:val="solid" w:color="000000" w:fill="000000"/>
                <w:fitText w:val="324" w:id="-632053744"/>
                <w14:textFill>
                  <w14:solidFill>
                    <w14:srgbClr w14:val="000000">
                      <w14:alpha w14:val="100000"/>
                    </w14:srgbClr>
                  </w14:solidFill>
                </w14:textFill>
              </w:rPr>
              <w:t>|</w:t>
            </w:r>
          </w:p>
        </w:tc>
        <w:tc>
          <w:tcPr>
            <w:tcW w:w="4199" w:type="dxa"/>
            <w:vAlign w:val="top"/>
          </w:tcPr>
          <w:p w14:paraId="7170FCF1" w14:textId="2EB6613A" w:rsidR="00BA224D" w:rsidRPr="001534B3" w:rsidRDefault="00185F42" w:rsidP="00DE2622">
            <w:pPr>
              <w:pStyle w:val="TableText0"/>
              <w:keepNext w:val="0"/>
              <w:widowControl w:val="0"/>
              <w:rPr>
                <w:szCs w:val="20"/>
              </w:rPr>
            </w:pPr>
            <w:r w:rsidRPr="001534B3">
              <w:rPr>
                <w:szCs w:val="20"/>
              </w:rPr>
              <w:t>Consistent with</w:t>
            </w:r>
            <w:r w:rsidR="00735B15" w:rsidRPr="001534B3">
              <w:rPr>
                <w:szCs w:val="20"/>
              </w:rPr>
              <w:t xml:space="preserve"> the economic analysis</w:t>
            </w:r>
            <w:r w:rsidRPr="001534B3">
              <w:rPr>
                <w:szCs w:val="20"/>
              </w:rPr>
              <w:t xml:space="preserve">. </w:t>
            </w:r>
            <w:r w:rsidR="007E6C9D" w:rsidRPr="001534B3">
              <w:rPr>
                <w:szCs w:val="20"/>
              </w:rPr>
              <w:t>The p</w:t>
            </w:r>
            <w:r w:rsidR="00BA224D" w:rsidRPr="001534B3">
              <w:rPr>
                <w:szCs w:val="20"/>
              </w:rPr>
              <w:t>roportion dispensed in public and private setting</w:t>
            </w:r>
            <w:r w:rsidR="007E6C9D" w:rsidRPr="001534B3">
              <w:rPr>
                <w:szCs w:val="20"/>
              </w:rPr>
              <w:t>s</w:t>
            </w:r>
            <w:r w:rsidR="00BA224D" w:rsidRPr="001534B3">
              <w:rPr>
                <w:szCs w:val="20"/>
              </w:rPr>
              <w:t xml:space="preserve"> w</w:t>
            </w:r>
            <w:r w:rsidR="007E6C9D" w:rsidRPr="001534B3">
              <w:rPr>
                <w:szCs w:val="20"/>
              </w:rPr>
              <w:t xml:space="preserve">ere </w:t>
            </w:r>
            <w:r w:rsidR="00BA224D" w:rsidRPr="001534B3">
              <w:rPr>
                <w:szCs w:val="20"/>
              </w:rPr>
              <w:t>34.78% to 65.22%, based on rituximab scripts.</w:t>
            </w:r>
          </w:p>
        </w:tc>
      </w:tr>
      <w:tr w:rsidR="0073669F" w:rsidRPr="001534B3" w14:paraId="78C43793" w14:textId="77777777" w:rsidTr="007E6C9D">
        <w:trPr>
          <w:trHeight w:val="20"/>
        </w:trPr>
        <w:tc>
          <w:tcPr>
            <w:tcW w:w="1919" w:type="dxa"/>
            <w:vAlign w:val="top"/>
          </w:tcPr>
          <w:p w14:paraId="42D827E7" w14:textId="601AD2CB" w:rsidR="0073669F" w:rsidRPr="001534B3" w:rsidRDefault="00AE51AC" w:rsidP="009E49E8">
            <w:pPr>
              <w:pStyle w:val="TableText0"/>
              <w:keepNext w:val="0"/>
              <w:widowControl w:val="0"/>
              <w:rPr>
                <w:szCs w:val="20"/>
              </w:rPr>
            </w:pPr>
            <w:r w:rsidRPr="001534B3">
              <w:rPr>
                <w:szCs w:val="20"/>
              </w:rPr>
              <w:t>A</w:t>
            </w:r>
            <w:r w:rsidR="0073669F" w:rsidRPr="001534B3">
              <w:rPr>
                <w:szCs w:val="20"/>
              </w:rPr>
              <w:t>ffected medicines</w:t>
            </w:r>
            <w:r w:rsidR="009E49E8" w:rsidRPr="001534B3">
              <w:rPr>
                <w:szCs w:val="20"/>
              </w:rPr>
              <w:t xml:space="preserve"> (DPMQ- public/private weighted)</w:t>
            </w:r>
          </w:p>
        </w:tc>
        <w:tc>
          <w:tcPr>
            <w:tcW w:w="3233" w:type="dxa"/>
            <w:vAlign w:val="top"/>
          </w:tcPr>
          <w:p w14:paraId="0D33CC16" w14:textId="430F81EE" w:rsidR="0073669F" w:rsidRPr="000553CD" w:rsidRDefault="009E49E8" w:rsidP="0073669F">
            <w:pPr>
              <w:pStyle w:val="TableText0"/>
              <w:widowControl w:val="0"/>
              <w:rPr>
                <w:rFonts w:cs="Calibri"/>
                <w:color w:val="000000"/>
                <w:szCs w:val="20"/>
              </w:rPr>
            </w:pPr>
            <w:r w:rsidRPr="000553CD">
              <w:t>–</w:t>
            </w:r>
            <w:r w:rsidRPr="000553CD">
              <w:tab/>
            </w:r>
            <w:r w:rsidRPr="000553CD">
              <w:rPr>
                <w:szCs w:val="20"/>
              </w:rPr>
              <w:t xml:space="preserve">Obinutuzumab: </w:t>
            </w:r>
            <w:r w:rsidR="0073669F" w:rsidRPr="000553CD">
              <w:rPr>
                <w:rFonts w:cs="Calibri"/>
                <w:color w:val="000000"/>
                <w:szCs w:val="20"/>
              </w:rPr>
              <w:t>$4,687.05</w:t>
            </w:r>
          </w:p>
          <w:p w14:paraId="22CD5CD6" w14:textId="44F862E0" w:rsidR="009E49E8" w:rsidRPr="000553CD" w:rsidRDefault="009E49E8" w:rsidP="0073669F">
            <w:pPr>
              <w:pStyle w:val="TableText0"/>
              <w:widowControl w:val="0"/>
              <w:rPr>
                <w:rFonts w:cs="Calibri"/>
                <w:color w:val="000000"/>
                <w:szCs w:val="20"/>
              </w:rPr>
            </w:pPr>
            <w:r w:rsidRPr="000553CD">
              <w:t>–</w:t>
            </w:r>
            <w:r w:rsidRPr="000553CD">
              <w:tab/>
            </w:r>
            <w:r w:rsidRPr="000553CD">
              <w:rPr>
                <w:szCs w:val="20"/>
              </w:rPr>
              <w:t xml:space="preserve">Rituximab100 mg/ 10ml: </w:t>
            </w:r>
            <w:r w:rsidRPr="000553CD">
              <w:rPr>
                <w:rFonts w:cs="Calibri"/>
                <w:color w:val="000000"/>
                <w:szCs w:val="20"/>
              </w:rPr>
              <w:t>$424.71</w:t>
            </w:r>
          </w:p>
          <w:p w14:paraId="6E42749A" w14:textId="2B522D79" w:rsidR="009E49E8" w:rsidRPr="00DB04D7" w:rsidRDefault="009E49E8" w:rsidP="009E49E8">
            <w:pPr>
              <w:pStyle w:val="TableText0"/>
              <w:widowControl w:val="0"/>
              <w:rPr>
                <w:szCs w:val="20"/>
              </w:rPr>
            </w:pPr>
            <w:r w:rsidRPr="000553CD">
              <w:t>–</w:t>
            </w:r>
            <w:r w:rsidRPr="000553CD">
              <w:tab/>
            </w:r>
            <w:r w:rsidRPr="00DB04D7">
              <w:rPr>
                <w:szCs w:val="20"/>
              </w:rPr>
              <w:t>Epcoritamab 4 mg, estimated effective: $611.40</w:t>
            </w:r>
          </w:p>
          <w:p w14:paraId="2CA5CB63" w14:textId="13382A64" w:rsidR="009E49E8" w:rsidRPr="000553CD" w:rsidRDefault="009E49E8" w:rsidP="009E49E8">
            <w:pPr>
              <w:pStyle w:val="TableText0"/>
              <w:widowControl w:val="0"/>
              <w:rPr>
                <w:szCs w:val="20"/>
              </w:rPr>
            </w:pPr>
            <w:r w:rsidRPr="00DB04D7">
              <w:t>–</w:t>
            </w:r>
            <w:r w:rsidRPr="00DB04D7">
              <w:tab/>
            </w:r>
            <w:r w:rsidRPr="00DB04D7">
              <w:rPr>
                <w:szCs w:val="20"/>
              </w:rPr>
              <w:t>Epcoritamab 48 mg,</w:t>
            </w:r>
            <w:r w:rsidRPr="00DB04D7">
              <w:t xml:space="preserve"> </w:t>
            </w:r>
            <w:r w:rsidRPr="00DB04D7">
              <w:rPr>
                <w:szCs w:val="20"/>
              </w:rPr>
              <w:t>estimated effective: $6,024.85</w:t>
            </w:r>
          </w:p>
        </w:tc>
        <w:tc>
          <w:tcPr>
            <w:tcW w:w="4199" w:type="dxa"/>
            <w:vAlign w:val="top"/>
          </w:tcPr>
          <w:p w14:paraId="6F7864E9" w14:textId="224021E4" w:rsidR="0073669F" w:rsidRPr="000553CD" w:rsidRDefault="009E49E8" w:rsidP="0073669F">
            <w:pPr>
              <w:pStyle w:val="TableText0"/>
              <w:keepNext w:val="0"/>
              <w:widowControl w:val="0"/>
              <w:rPr>
                <w:szCs w:val="20"/>
              </w:rPr>
            </w:pPr>
            <w:r w:rsidRPr="00DB04D7">
              <w:rPr>
                <w:szCs w:val="20"/>
              </w:rPr>
              <w:t xml:space="preserve">Overall consistent with </w:t>
            </w:r>
            <w:r w:rsidR="00735B15" w:rsidRPr="00DB04D7">
              <w:rPr>
                <w:szCs w:val="20"/>
              </w:rPr>
              <w:t>the economic analysis</w:t>
            </w:r>
            <w:r w:rsidRPr="00DB04D7">
              <w:rPr>
                <w:szCs w:val="20"/>
              </w:rPr>
              <w:t xml:space="preserve">, except for epcoritamab, where </w:t>
            </w:r>
            <w:r w:rsidR="00D43CEF" w:rsidRPr="00DB04D7">
              <w:rPr>
                <w:szCs w:val="20"/>
              </w:rPr>
              <w:t xml:space="preserve">estimated effective price was 20% </w:t>
            </w:r>
            <w:r w:rsidR="00FE1978" w:rsidRPr="00DB04D7">
              <w:rPr>
                <w:szCs w:val="20"/>
              </w:rPr>
              <w:t xml:space="preserve">lower </w:t>
            </w:r>
            <w:r w:rsidR="00D43CEF" w:rsidRPr="00DB04D7">
              <w:rPr>
                <w:szCs w:val="20"/>
              </w:rPr>
              <w:t>in the financial estimates compared</w:t>
            </w:r>
            <w:r w:rsidR="00D43CEF" w:rsidRPr="000553CD">
              <w:rPr>
                <w:szCs w:val="20"/>
              </w:rPr>
              <w:t xml:space="preserve"> to the economic evaluation</w:t>
            </w:r>
            <w:r w:rsidRPr="000553CD">
              <w:rPr>
                <w:szCs w:val="20"/>
              </w:rPr>
              <w:t xml:space="preserve">. </w:t>
            </w:r>
            <w:r w:rsidR="00D43CEF" w:rsidRPr="000553CD">
              <w:rPr>
                <w:szCs w:val="20"/>
              </w:rPr>
              <w:t xml:space="preserve">The financial estimates were sensitive to this difference. </w:t>
            </w:r>
          </w:p>
        </w:tc>
      </w:tr>
      <w:tr w:rsidR="0073669F" w:rsidRPr="001534B3" w14:paraId="4606DC5D" w14:textId="77777777" w:rsidTr="007E6C9D">
        <w:trPr>
          <w:trHeight w:val="20"/>
        </w:trPr>
        <w:tc>
          <w:tcPr>
            <w:tcW w:w="9351" w:type="dxa"/>
            <w:gridSpan w:val="3"/>
            <w:vAlign w:val="top"/>
          </w:tcPr>
          <w:p w14:paraId="51911607" w14:textId="77777777" w:rsidR="0073669F" w:rsidRPr="001534B3" w:rsidRDefault="0073669F" w:rsidP="0073669F">
            <w:pPr>
              <w:pStyle w:val="TableText0"/>
              <w:keepNext w:val="0"/>
              <w:widowControl w:val="0"/>
              <w:rPr>
                <w:b/>
                <w:bCs w:val="0"/>
                <w:szCs w:val="20"/>
              </w:rPr>
            </w:pPr>
            <w:r w:rsidRPr="001534B3">
              <w:rPr>
                <w:b/>
                <w:bCs w:val="0"/>
                <w:szCs w:val="20"/>
              </w:rPr>
              <w:t>MBS Costs</w:t>
            </w:r>
          </w:p>
        </w:tc>
      </w:tr>
      <w:tr w:rsidR="0073669F" w:rsidRPr="001534B3" w14:paraId="740B9BF6" w14:textId="77777777" w:rsidTr="007E6C9D">
        <w:trPr>
          <w:trHeight w:val="20"/>
        </w:trPr>
        <w:tc>
          <w:tcPr>
            <w:tcW w:w="1919" w:type="dxa"/>
            <w:vAlign w:val="top"/>
          </w:tcPr>
          <w:p w14:paraId="1040C31D" w14:textId="29CBFC94" w:rsidR="0073669F" w:rsidRPr="001534B3" w:rsidRDefault="0073669F" w:rsidP="0073669F">
            <w:pPr>
              <w:pStyle w:val="TableText0"/>
              <w:keepNext w:val="0"/>
              <w:widowControl w:val="0"/>
              <w:rPr>
                <w:szCs w:val="20"/>
              </w:rPr>
            </w:pPr>
            <w:r w:rsidRPr="001534B3">
              <w:rPr>
                <w:szCs w:val="20"/>
              </w:rPr>
              <w:t>Administration</w:t>
            </w:r>
            <w:r w:rsidR="009E49E8" w:rsidRPr="001534B3">
              <w:rPr>
                <w:szCs w:val="20"/>
              </w:rPr>
              <w:t xml:space="preserve"> and follow up specialist consultation</w:t>
            </w:r>
          </w:p>
        </w:tc>
        <w:tc>
          <w:tcPr>
            <w:tcW w:w="3233" w:type="dxa"/>
            <w:vAlign w:val="top"/>
          </w:tcPr>
          <w:p w14:paraId="4A8BB807" w14:textId="5E499BBA" w:rsidR="0073669F" w:rsidRPr="001534B3" w:rsidRDefault="009E49E8" w:rsidP="008C1CFA">
            <w:pPr>
              <w:pStyle w:val="TableText0"/>
              <w:widowControl w:val="0"/>
              <w:rPr>
                <w:szCs w:val="20"/>
              </w:rPr>
            </w:pPr>
            <w:r w:rsidRPr="001534B3">
              <w:rPr>
                <w:szCs w:val="20"/>
              </w:rPr>
              <w:t>MBS items 13950 and 105</w:t>
            </w:r>
            <w:r w:rsidR="008C1CFA" w:rsidRPr="001534B3">
              <w:rPr>
                <w:szCs w:val="20"/>
              </w:rPr>
              <w:t>, 80% benefit was assumed.</w:t>
            </w:r>
          </w:p>
        </w:tc>
        <w:tc>
          <w:tcPr>
            <w:tcW w:w="4199" w:type="dxa"/>
            <w:vAlign w:val="top"/>
          </w:tcPr>
          <w:p w14:paraId="6D1FB264" w14:textId="5A5DB305" w:rsidR="0073669F" w:rsidRPr="001534B3" w:rsidRDefault="0073669F" w:rsidP="0073669F">
            <w:pPr>
              <w:pStyle w:val="TableText0"/>
              <w:keepNext w:val="0"/>
              <w:widowControl w:val="0"/>
              <w:rPr>
                <w:szCs w:val="20"/>
              </w:rPr>
            </w:pPr>
            <w:r w:rsidRPr="001534B3">
              <w:rPr>
                <w:szCs w:val="20"/>
              </w:rPr>
              <w:t>Whether savings to the health budget associated with fewer consultations would be realised in practice is uncertain.</w:t>
            </w:r>
          </w:p>
        </w:tc>
      </w:tr>
      <w:tr w:rsidR="00B55035" w:rsidRPr="001534B3" w14:paraId="0BD3EF78" w14:textId="77777777" w:rsidTr="002178A9">
        <w:trPr>
          <w:trHeight w:val="20"/>
        </w:trPr>
        <w:tc>
          <w:tcPr>
            <w:tcW w:w="9351" w:type="dxa"/>
            <w:gridSpan w:val="3"/>
            <w:vAlign w:val="top"/>
          </w:tcPr>
          <w:p w14:paraId="57AC660D" w14:textId="79505725" w:rsidR="00B55035" w:rsidRPr="001534B3" w:rsidRDefault="00B55035" w:rsidP="0073669F">
            <w:pPr>
              <w:pStyle w:val="TableText0"/>
              <w:keepNext w:val="0"/>
              <w:widowControl w:val="0"/>
              <w:rPr>
                <w:b/>
                <w:bCs w:val="0"/>
                <w:szCs w:val="20"/>
              </w:rPr>
            </w:pPr>
            <w:r w:rsidRPr="001534B3">
              <w:rPr>
                <w:b/>
                <w:bCs w:val="0"/>
                <w:szCs w:val="20"/>
              </w:rPr>
              <w:t>Other Costs (Health Budget, NHRA-HST Fund)</w:t>
            </w:r>
          </w:p>
        </w:tc>
      </w:tr>
      <w:tr w:rsidR="00B55035" w:rsidRPr="001534B3" w14:paraId="58D900C3" w14:textId="77777777" w:rsidTr="007E6C9D">
        <w:trPr>
          <w:trHeight w:val="20"/>
        </w:trPr>
        <w:tc>
          <w:tcPr>
            <w:tcW w:w="1919" w:type="dxa"/>
            <w:vAlign w:val="top"/>
          </w:tcPr>
          <w:p w14:paraId="58846635" w14:textId="15A4C280" w:rsidR="00B55035" w:rsidRPr="001534B3" w:rsidRDefault="00B55035" w:rsidP="00B55035">
            <w:pPr>
              <w:pStyle w:val="TableText0"/>
              <w:keepNext w:val="0"/>
              <w:widowControl w:val="0"/>
              <w:rPr>
                <w:szCs w:val="20"/>
              </w:rPr>
            </w:pPr>
            <w:r w:rsidRPr="001534B3">
              <w:rPr>
                <w:szCs w:val="20"/>
              </w:rPr>
              <w:t>CAR-T</w:t>
            </w:r>
          </w:p>
        </w:tc>
        <w:tc>
          <w:tcPr>
            <w:tcW w:w="3233" w:type="dxa"/>
            <w:vAlign w:val="top"/>
          </w:tcPr>
          <w:p w14:paraId="5524DB02" w14:textId="4C116F5C" w:rsidR="00B55035" w:rsidRPr="001534B3" w:rsidRDefault="00B55035" w:rsidP="00B55035">
            <w:pPr>
              <w:pStyle w:val="TableText0"/>
              <w:widowControl w:val="0"/>
              <w:rPr>
                <w:szCs w:val="20"/>
              </w:rPr>
            </w:pPr>
            <w:r w:rsidRPr="001534B3">
              <w:rPr>
                <w:szCs w:val="20"/>
              </w:rPr>
              <w:t xml:space="preserve">It was assumed that for 1 patient treated with glofitamab in 2L, </w:t>
            </w:r>
            <w:r w:rsidRPr="001534B3">
              <w:t>0.088 less patients will be treated with 3L CAR-T.</w:t>
            </w:r>
          </w:p>
          <w:p w14:paraId="6A51F736" w14:textId="618D19D4" w:rsidR="00B55035" w:rsidRPr="001534B3" w:rsidRDefault="00D8585A" w:rsidP="00B55035">
            <w:pPr>
              <w:pStyle w:val="TableText0"/>
              <w:widowControl w:val="0"/>
              <w:rPr>
                <w:szCs w:val="20"/>
              </w:rPr>
            </w:pPr>
            <w:r w:rsidRPr="001534B3">
              <w:rPr>
                <w:szCs w:val="20"/>
              </w:rPr>
              <w:t xml:space="preserve">The cost was </w:t>
            </w:r>
            <w:r w:rsidR="00667C3E" w:rsidRPr="001534B3">
              <w:rPr>
                <w:szCs w:val="20"/>
              </w:rPr>
              <w:t>assumed</w:t>
            </w:r>
            <w:r w:rsidRPr="001534B3">
              <w:rPr>
                <w:szCs w:val="20"/>
              </w:rPr>
              <w:t xml:space="preserve"> to be </w:t>
            </w:r>
            <w:r w:rsidR="00B55035" w:rsidRPr="001534B3">
              <w:rPr>
                <w:szCs w:val="20"/>
              </w:rPr>
              <w:t xml:space="preserve">$500,000 per patient (based on Lymphoma Australia </w:t>
            </w:r>
            <w:r w:rsidR="00B55035" w:rsidRPr="001534B3">
              <w:rPr>
                <w:rStyle w:val="FootnoteReference"/>
                <w:szCs w:val="20"/>
              </w:rPr>
              <w:footnoteReference w:id="23"/>
            </w:r>
            <w:r w:rsidR="00B55035" w:rsidRPr="001534B3">
              <w:rPr>
                <w:szCs w:val="20"/>
              </w:rPr>
              <w:t>)</w:t>
            </w:r>
          </w:p>
        </w:tc>
        <w:tc>
          <w:tcPr>
            <w:tcW w:w="4199" w:type="dxa"/>
            <w:vAlign w:val="top"/>
          </w:tcPr>
          <w:p w14:paraId="6585CB66" w14:textId="1160E1E7" w:rsidR="00B55035" w:rsidRPr="001534B3" w:rsidRDefault="00227350" w:rsidP="00B55035">
            <w:pPr>
              <w:pStyle w:val="TableText0"/>
              <w:keepNext w:val="0"/>
              <w:widowControl w:val="0"/>
              <w:rPr>
                <w:szCs w:val="20"/>
              </w:rPr>
            </w:pPr>
            <w:r>
              <w:rPr>
                <w:szCs w:val="20"/>
              </w:rPr>
              <w:t>The evaluation considered w</w:t>
            </w:r>
            <w:r w:rsidR="00B55035" w:rsidRPr="001534B3">
              <w:rPr>
                <w:szCs w:val="20"/>
              </w:rPr>
              <w:t xml:space="preserve">hether 2L </w:t>
            </w:r>
            <w:proofErr w:type="spellStart"/>
            <w:r w:rsidR="00B55035" w:rsidRPr="001534B3">
              <w:rPr>
                <w:szCs w:val="20"/>
              </w:rPr>
              <w:t>Glofit</w:t>
            </w:r>
            <w:proofErr w:type="spellEnd"/>
            <w:r w:rsidR="00B55035" w:rsidRPr="001534B3">
              <w:rPr>
                <w:szCs w:val="20"/>
              </w:rPr>
              <w:t>- </w:t>
            </w:r>
            <w:proofErr w:type="spellStart"/>
            <w:r w:rsidR="00B55035" w:rsidRPr="001534B3">
              <w:rPr>
                <w:szCs w:val="20"/>
              </w:rPr>
              <w:t>GemOx</w:t>
            </w:r>
            <w:proofErr w:type="spellEnd"/>
            <w:r w:rsidR="00B55035" w:rsidRPr="001534B3">
              <w:rPr>
                <w:szCs w:val="20"/>
              </w:rPr>
              <w:t xml:space="preserve"> would lead to reduced 3L CAR-T was highly uncertain, given patients treated with 2L </w:t>
            </w:r>
            <w:proofErr w:type="spellStart"/>
            <w:r w:rsidR="00B55035" w:rsidRPr="001534B3">
              <w:rPr>
                <w:szCs w:val="20"/>
              </w:rPr>
              <w:t>Glofit</w:t>
            </w:r>
            <w:proofErr w:type="spellEnd"/>
            <w:r w:rsidR="00B55035" w:rsidRPr="001534B3">
              <w:rPr>
                <w:szCs w:val="20"/>
              </w:rPr>
              <w:t>- </w:t>
            </w:r>
            <w:proofErr w:type="spellStart"/>
            <w:r w:rsidR="00B55035" w:rsidRPr="001534B3">
              <w:rPr>
                <w:szCs w:val="20"/>
              </w:rPr>
              <w:t>GemOx</w:t>
            </w:r>
            <w:proofErr w:type="spellEnd"/>
            <w:r w:rsidR="00B55035" w:rsidRPr="001534B3">
              <w:rPr>
                <w:szCs w:val="20"/>
              </w:rPr>
              <w:t xml:space="preserve"> were assumed to be CAR-T ineligible patients in the financial estimates. Additionally, the assumed CAR-T price was uncertain. </w:t>
            </w:r>
          </w:p>
        </w:tc>
      </w:tr>
    </w:tbl>
    <w:p w14:paraId="0F2BF9DD" w14:textId="77777777" w:rsidR="007C3355" w:rsidRPr="00D27E88" w:rsidRDefault="007C3355" w:rsidP="007C3355">
      <w:pPr>
        <w:pStyle w:val="TableFigureFooter"/>
        <w:widowControl w:val="0"/>
      </w:pPr>
      <w:r w:rsidRPr="00800F64">
        <w:rPr>
          <w:iCs/>
        </w:rPr>
        <w:t>Source:</w:t>
      </w:r>
      <w:r w:rsidRPr="00F85FB8">
        <w:rPr>
          <w:i/>
          <w:iCs/>
        </w:rPr>
        <w:t xml:space="preserve"> </w:t>
      </w:r>
      <w:r w:rsidRPr="002359F0">
        <w:t>compiled during the evaluation</w:t>
      </w:r>
      <w:r w:rsidRPr="00F85FB8">
        <w:rPr>
          <w:i/>
          <w:iCs/>
        </w:rPr>
        <w:t xml:space="preserve"> </w:t>
      </w:r>
      <w:r w:rsidRPr="00D27E88">
        <w:t>based on pp.200-211 of the submission.</w:t>
      </w:r>
    </w:p>
    <w:p w14:paraId="251D55D3" w14:textId="236849FF" w:rsidR="007C3355" w:rsidRDefault="007C3355" w:rsidP="007C3355">
      <w:pPr>
        <w:pStyle w:val="TableFigureFooter"/>
        <w:widowControl w:val="0"/>
        <w:rPr>
          <w:szCs w:val="20"/>
        </w:rPr>
      </w:pPr>
      <w:r>
        <w:t xml:space="preserve">1L=first line; 2L=second line; </w:t>
      </w:r>
      <w:r w:rsidRPr="00BD0E4A">
        <w:t>ASCT</w:t>
      </w:r>
      <w:r>
        <w:t>=</w:t>
      </w:r>
      <w:r w:rsidRPr="00BD0E4A">
        <w:t>autologous stem cell transplant</w:t>
      </w:r>
      <w:r>
        <w:t xml:space="preserve">; </w:t>
      </w:r>
      <w:r w:rsidRPr="00BD0E4A">
        <w:t>CAR-T=Chimeric antigen receptor T-cell; DLBCL= Diffuse large B-cell lymphoma</w:t>
      </w:r>
      <w:r>
        <w:t xml:space="preserve">; Elig.=eligible; </w:t>
      </w:r>
      <w:proofErr w:type="spellStart"/>
      <w:r w:rsidRPr="00BD0E4A">
        <w:t>GemOx</w:t>
      </w:r>
      <w:proofErr w:type="spellEnd"/>
      <w:r w:rsidRPr="00BD0E4A">
        <w:t xml:space="preserve">=gemcitabine + oxaliplatin; </w:t>
      </w:r>
      <w:proofErr w:type="spellStart"/>
      <w:r w:rsidRPr="00BD0E4A">
        <w:t>Glofit</w:t>
      </w:r>
      <w:proofErr w:type="spellEnd"/>
      <w:r w:rsidRPr="00BD0E4A">
        <w:t>=glofitamab;</w:t>
      </w:r>
      <w:r>
        <w:t xml:space="preserve"> </w:t>
      </w:r>
      <w:r w:rsidRPr="00BD0E4A">
        <w:t>MBS=Medicare Benefits Schedule; PBS=Pharmaceutical Benefits Scheme; R/R</w:t>
      </w:r>
      <w:r>
        <w:t>=</w:t>
      </w:r>
      <w:r w:rsidRPr="00BD0E4A">
        <w:t>Relapse/Refractory</w:t>
      </w:r>
      <w:r>
        <w:t>; SPA=special pricing arrangement; Yr=year</w:t>
      </w:r>
      <w:r w:rsidRPr="00D27E88">
        <w:t>.</w:t>
      </w:r>
      <w:r w:rsidR="007E6C9D">
        <w:t xml:space="preserve"> </w:t>
      </w:r>
      <w:r w:rsidR="007E6C9D" w:rsidRPr="00A85980">
        <w:rPr>
          <w:szCs w:val="20"/>
        </w:rPr>
        <w:t>│</w:t>
      </w:r>
      <w:r w:rsidR="007E6C9D">
        <w:rPr>
          <w:szCs w:val="20"/>
        </w:rPr>
        <w:t>=conditional on.</w:t>
      </w:r>
    </w:p>
    <w:p w14:paraId="75E25340" w14:textId="77777777" w:rsidR="00437D54" w:rsidRPr="008207AB" w:rsidRDefault="00437D54" w:rsidP="00437D54">
      <w:pPr>
        <w:pStyle w:val="TableFigureFooter"/>
        <w:widowControl w:val="0"/>
        <w:rPr>
          <w:bCs/>
          <w:i/>
          <w:iCs/>
          <w:sz w:val="20"/>
          <w:szCs w:val="18"/>
        </w:rPr>
      </w:pPr>
      <w:r w:rsidRPr="008207AB">
        <w:rPr>
          <w:bCs/>
          <w:i/>
          <w:iCs/>
          <w:sz w:val="20"/>
          <w:szCs w:val="18"/>
        </w:rPr>
        <w:t>The redacted values correspond to the following ranges:</w:t>
      </w:r>
    </w:p>
    <w:p w14:paraId="1EEE6887" w14:textId="36AFC059" w:rsidR="00F96C92" w:rsidRPr="008207AB" w:rsidRDefault="00437D54" w:rsidP="00F96C92">
      <w:pPr>
        <w:pStyle w:val="TableFigureFooter"/>
        <w:widowControl w:val="0"/>
        <w:rPr>
          <w:i/>
          <w:iCs/>
          <w:sz w:val="20"/>
          <w:szCs w:val="18"/>
        </w:rPr>
      </w:pPr>
      <w:r w:rsidRPr="008207AB">
        <w:rPr>
          <w:i/>
          <w:iCs/>
          <w:sz w:val="20"/>
          <w:szCs w:val="18"/>
          <w:vertAlign w:val="superscript"/>
        </w:rPr>
        <w:t>1</w:t>
      </w:r>
      <w:r w:rsidRPr="008207AB">
        <w:rPr>
          <w:i/>
          <w:iCs/>
          <w:sz w:val="20"/>
          <w:szCs w:val="18"/>
        </w:rPr>
        <w:t xml:space="preserve"> </w:t>
      </w:r>
      <w:r w:rsidR="00F96C92" w:rsidRPr="008207AB">
        <w:rPr>
          <w:i/>
          <w:iCs/>
          <w:sz w:val="20"/>
          <w:szCs w:val="18"/>
        </w:rPr>
        <w:t>&lt; 500</w:t>
      </w:r>
    </w:p>
    <w:p w14:paraId="6F78F605" w14:textId="3B2CD085" w:rsidR="00B15502" w:rsidRPr="001B4DB2" w:rsidRDefault="00B15502" w:rsidP="007C3355">
      <w:pPr>
        <w:pStyle w:val="TableFigureFooter"/>
        <w:widowControl w:val="0"/>
        <w:rPr>
          <w:sz w:val="20"/>
          <w:szCs w:val="18"/>
        </w:rPr>
      </w:pPr>
    </w:p>
    <w:p w14:paraId="14483D06" w14:textId="1E94FB3C" w:rsidR="002A0BBB" w:rsidRPr="001534B3" w:rsidRDefault="00A53E6E" w:rsidP="0055387D">
      <w:pPr>
        <w:numPr>
          <w:ilvl w:val="1"/>
          <w:numId w:val="1"/>
        </w:numPr>
        <w:spacing w:before="60" w:after="60"/>
        <w:rPr>
          <w:rFonts w:asciiTheme="minorHAnsi" w:hAnsiTheme="minorHAnsi"/>
          <w:iCs/>
          <w:snapToGrid w:val="0"/>
        </w:rPr>
      </w:pPr>
      <w:r w:rsidRPr="001534B3">
        <w:rPr>
          <w:rFonts w:asciiTheme="minorHAnsi" w:hAnsiTheme="minorHAnsi"/>
          <w:iCs/>
          <w:snapToGrid w:val="0"/>
        </w:rPr>
        <w:fldChar w:fldCharType="begin" w:fldLock="1"/>
      </w:r>
      <w:r w:rsidRPr="001534B3">
        <w:rPr>
          <w:rFonts w:asciiTheme="minorHAnsi" w:hAnsiTheme="minorHAnsi"/>
          <w:iCs/>
          <w:snapToGrid w:val="0"/>
        </w:rPr>
        <w:instrText xml:space="preserve"> REF _Ref111736337 </w:instrText>
      </w:r>
      <w:r w:rsidR="0055387D" w:rsidRPr="001534B3">
        <w:rPr>
          <w:rFonts w:asciiTheme="minorHAnsi" w:hAnsiTheme="minorHAnsi"/>
          <w:iCs/>
          <w:snapToGrid w:val="0"/>
        </w:rPr>
        <w:instrText xml:space="preserve"> \* MERGEFORMAT </w:instrText>
      </w:r>
      <w:r w:rsidRPr="001534B3">
        <w:rPr>
          <w:rFonts w:asciiTheme="minorHAnsi" w:hAnsiTheme="minorHAnsi"/>
          <w:iCs/>
          <w:snapToGrid w:val="0"/>
        </w:rPr>
        <w:fldChar w:fldCharType="separate"/>
      </w:r>
      <w:r w:rsidR="003C21E7" w:rsidRPr="003C21E7">
        <w:rPr>
          <w:rFonts w:asciiTheme="minorHAnsi" w:hAnsiTheme="minorHAnsi"/>
          <w:iCs/>
          <w:snapToGrid w:val="0"/>
        </w:rPr>
        <w:t>Table 19</w:t>
      </w:r>
      <w:r w:rsidRPr="001534B3">
        <w:rPr>
          <w:rFonts w:asciiTheme="minorHAnsi" w:hAnsiTheme="minorHAnsi"/>
          <w:iCs/>
          <w:snapToGrid w:val="0"/>
        </w:rPr>
        <w:fldChar w:fldCharType="end"/>
      </w:r>
      <w:r w:rsidR="002A0BBB" w:rsidRPr="001534B3">
        <w:rPr>
          <w:rFonts w:asciiTheme="minorHAnsi" w:hAnsiTheme="minorHAnsi"/>
          <w:iCs/>
          <w:snapToGrid w:val="0"/>
        </w:rPr>
        <w:t xml:space="preserve"> summarises the estimated net financial implications to the PBS/RPBS and the MBS for the proposed listing of </w:t>
      </w:r>
      <w:r w:rsidR="00760C5A" w:rsidRPr="001534B3">
        <w:rPr>
          <w:rFonts w:asciiTheme="minorHAnsi" w:hAnsiTheme="minorHAnsi"/>
          <w:iCs/>
          <w:snapToGrid w:val="0"/>
        </w:rPr>
        <w:t>Glofit-GemOx</w:t>
      </w:r>
      <w:r w:rsidR="002A0BBB" w:rsidRPr="001534B3">
        <w:rPr>
          <w:rFonts w:asciiTheme="minorHAnsi" w:hAnsiTheme="minorHAnsi"/>
          <w:iCs/>
          <w:snapToGrid w:val="0"/>
        </w:rPr>
        <w:t xml:space="preserve"> over the first six years (assumed as 20</w:t>
      </w:r>
      <w:r w:rsidR="00760C5A" w:rsidRPr="001534B3">
        <w:rPr>
          <w:rFonts w:asciiTheme="minorHAnsi" w:hAnsiTheme="minorHAnsi"/>
          <w:iCs/>
          <w:snapToGrid w:val="0"/>
        </w:rPr>
        <w:t>25</w:t>
      </w:r>
      <w:r w:rsidR="002A0BBB" w:rsidRPr="001534B3">
        <w:rPr>
          <w:rFonts w:asciiTheme="minorHAnsi" w:hAnsiTheme="minorHAnsi"/>
          <w:iCs/>
          <w:snapToGrid w:val="0"/>
        </w:rPr>
        <w:t xml:space="preserve"> to 20</w:t>
      </w:r>
      <w:r w:rsidR="00760C5A" w:rsidRPr="001534B3">
        <w:rPr>
          <w:rFonts w:asciiTheme="minorHAnsi" w:hAnsiTheme="minorHAnsi"/>
          <w:iCs/>
          <w:snapToGrid w:val="0"/>
        </w:rPr>
        <w:t>30</w:t>
      </w:r>
      <w:r w:rsidR="002A0BBB" w:rsidRPr="001534B3">
        <w:rPr>
          <w:rFonts w:asciiTheme="minorHAnsi" w:hAnsiTheme="minorHAnsi"/>
          <w:iCs/>
          <w:snapToGrid w:val="0"/>
        </w:rPr>
        <w:t xml:space="preserve">). </w:t>
      </w:r>
      <w:r w:rsidR="002359F0">
        <w:rPr>
          <w:rFonts w:asciiTheme="minorHAnsi" w:hAnsiTheme="minorHAnsi"/>
          <w:iCs/>
          <w:snapToGrid w:val="0"/>
        </w:rPr>
        <w:t xml:space="preserve">As outlined in </w:t>
      </w:r>
      <w:r w:rsidR="005C225E">
        <w:rPr>
          <w:rFonts w:asciiTheme="minorHAnsi" w:hAnsiTheme="minorHAnsi"/>
          <w:iCs/>
          <w:snapToGrid w:val="0"/>
        </w:rPr>
        <w:fldChar w:fldCharType="begin" w:fldLock="1"/>
      </w:r>
      <w:r w:rsidR="005C225E">
        <w:rPr>
          <w:rFonts w:asciiTheme="minorHAnsi" w:hAnsiTheme="minorHAnsi"/>
          <w:iCs/>
          <w:snapToGrid w:val="0"/>
        </w:rPr>
        <w:instrText xml:space="preserve"> REF _Ref195794423 \h </w:instrText>
      </w:r>
      <w:r w:rsidR="005C225E">
        <w:rPr>
          <w:rFonts w:asciiTheme="minorHAnsi" w:hAnsiTheme="minorHAnsi"/>
          <w:iCs/>
          <w:snapToGrid w:val="0"/>
        </w:rPr>
      </w:r>
      <w:r w:rsidR="005C225E">
        <w:rPr>
          <w:rFonts w:asciiTheme="minorHAnsi" w:hAnsiTheme="minorHAnsi"/>
          <w:iCs/>
          <w:snapToGrid w:val="0"/>
        </w:rPr>
        <w:fldChar w:fldCharType="separate"/>
      </w:r>
      <w:r w:rsidR="005C225E" w:rsidRPr="005B024E">
        <w:t xml:space="preserve">Table </w:t>
      </w:r>
      <w:r w:rsidR="005C225E">
        <w:rPr>
          <w:noProof/>
        </w:rPr>
        <w:t>18</w:t>
      </w:r>
      <w:r w:rsidR="005C225E">
        <w:rPr>
          <w:rFonts w:asciiTheme="minorHAnsi" w:hAnsiTheme="minorHAnsi"/>
          <w:iCs/>
          <w:snapToGrid w:val="0"/>
        </w:rPr>
        <w:fldChar w:fldCharType="end"/>
      </w:r>
      <w:r w:rsidR="005C225E">
        <w:rPr>
          <w:rFonts w:asciiTheme="minorHAnsi" w:hAnsiTheme="minorHAnsi"/>
          <w:iCs/>
          <w:snapToGrid w:val="0"/>
        </w:rPr>
        <w:t xml:space="preserve">, the </w:t>
      </w:r>
      <w:r w:rsidR="002F6C74">
        <w:rPr>
          <w:rFonts w:asciiTheme="minorHAnsi" w:hAnsiTheme="minorHAnsi"/>
          <w:iCs/>
          <w:snapToGrid w:val="0"/>
        </w:rPr>
        <w:t xml:space="preserve">financial implications outlined in </w:t>
      </w:r>
      <w:r w:rsidR="002F6C74" w:rsidRPr="001534B3">
        <w:rPr>
          <w:rFonts w:asciiTheme="minorHAnsi" w:hAnsiTheme="minorHAnsi"/>
          <w:iCs/>
          <w:snapToGrid w:val="0"/>
        </w:rPr>
        <w:fldChar w:fldCharType="begin" w:fldLock="1"/>
      </w:r>
      <w:r w:rsidR="002F6C74" w:rsidRPr="001534B3">
        <w:rPr>
          <w:rFonts w:asciiTheme="minorHAnsi" w:hAnsiTheme="minorHAnsi"/>
          <w:iCs/>
          <w:snapToGrid w:val="0"/>
        </w:rPr>
        <w:instrText xml:space="preserve"> REF _Ref111736337  \* MERGEFORMAT </w:instrText>
      </w:r>
      <w:r w:rsidR="002F6C74" w:rsidRPr="001534B3">
        <w:rPr>
          <w:rFonts w:asciiTheme="minorHAnsi" w:hAnsiTheme="minorHAnsi"/>
          <w:iCs/>
          <w:snapToGrid w:val="0"/>
        </w:rPr>
        <w:fldChar w:fldCharType="separate"/>
      </w:r>
      <w:r w:rsidR="002F6C74" w:rsidRPr="003C21E7">
        <w:rPr>
          <w:rFonts w:asciiTheme="minorHAnsi" w:hAnsiTheme="minorHAnsi"/>
          <w:iCs/>
          <w:snapToGrid w:val="0"/>
        </w:rPr>
        <w:t>Table 19</w:t>
      </w:r>
      <w:r w:rsidR="002F6C74" w:rsidRPr="001534B3">
        <w:rPr>
          <w:rFonts w:asciiTheme="minorHAnsi" w:hAnsiTheme="minorHAnsi"/>
          <w:iCs/>
          <w:snapToGrid w:val="0"/>
        </w:rPr>
        <w:fldChar w:fldCharType="end"/>
      </w:r>
      <w:r w:rsidR="002F6C74">
        <w:rPr>
          <w:rFonts w:asciiTheme="minorHAnsi" w:hAnsiTheme="minorHAnsi"/>
          <w:iCs/>
          <w:snapToGrid w:val="0"/>
        </w:rPr>
        <w:t xml:space="preserve"> use an estimated effective price for epcor</w:t>
      </w:r>
      <w:r w:rsidR="006F29AF">
        <w:rPr>
          <w:rFonts w:asciiTheme="minorHAnsi" w:hAnsiTheme="minorHAnsi"/>
          <w:iCs/>
          <w:snapToGrid w:val="0"/>
        </w:rPr>
        <w:t xml:space="preserve">itamab. </w:t>
      </w:r>
    </w:p>
    <w:p w14:paraId="3259CEF2" w14:textId="4E18B8F4" w:rsidR="002A0BBB" w:rsidRPr="001534B3" w:rsidRDefault="002A0BBB" w:rsidP="006229E0">
      <w:pPr>
        <w:pStyle w:val="Caption"/>
        <w:rPr>
          <w:iCs/>
        </w:rPr>
      </w:pPr>
      <w:bookmarkStart w:id="104" w:name="_Ref111736337"/>
      <w:r w:rsidRPr="001534B3">
        <w:rPr>
          <w:iCs/>
        </w:rPr>
        <w:t xml:space="preserve">Table </w:t>
      </w:r>
      <w:r w:rsidR="00F257F5" w:rsidRPr="001534B3">
        <w:rPr>
          <w:iCs/>
        </w:rPr>
        <w:fldChar w:fldCharType="begin" w:fldLock="1"/>
      </w:r>
      <w:r w:rsidR="00F257F5" w:rsidRPr="001534B3">
        <w:rPr>
          <w:iCs/>
        </w:rPr>
        <w:instrText xml:space="preserve"> SEQ Table \* ARABIC </w:instrText>
      </w:r>
      <w:r w:rsidR="00F257F5" w:rsidRPr="001534B3">
        <w:rPr>
          <w:iCs/>
        </w:rPr>
        <w:fldChar w:fldCharType="separate"/>
      </w:r>
      <w:r w:rsidR="003C21E7">
        <w:rPr>
          <w:iCs/>
          <w:noProof/>
        </w:rPr>
        <w:t>19</w:t>
      </w:r>
      <w:r w:rsidR="00F257F5" w:rsidRPr="001534B3">
        <w:rPr>
          <w:iCs/>
          <w:noProof/>
        </w:rPr>
        <w:fldChar w:fldCharType="end"/>
      </w:r>
      <w:bookmarkEnd w:id="103"/>
      <w:bookmarkEnd w:id="104"/>
      <w:r w:rsidRPr="001534B3">
        <w:rPr>
          <w:iCs/>
        </w:rPr>
        <w:t>:</w:t>
      </w:r>
      <w:r w:rsidRPr="001534B3">
        <w:rPr>
          <w:rStyle w:val="CommentReference"/>
          <w:b/>
          <w:iCs/>
          <w:szCs w:val="24"/>
        </w:rPr>
        <w:t xml:space="preserve"> Estimated use and financial implications</w:t>
      </w:r>
    </w:p>
    <w:tbl>
      <w:tblPr>
        <w:tblStyle w:val="ASDTable2"/>
        <w:tblW w:w="5185" w:type="pct"/>
        <w:tblInd w:w="0" w:type="dxa"/>
        <w:tblLayout w:type="fixed"/>
        <w:tblCellMar>
          <w:left w:w="28" w:type="dxa"/>
          <w:right w:w="28" w:type="dxa"/>
        </w:tblCellMar>
        <w:tblLook w:val="04A0" w:firstRow="1" w:lastRow="0" w:firstColumn="1" w:lastColumn="0" w:noHBand="0" w:noVBand="1"/>
        <w:tblCaption w:val="Table 19: Estimated use and financial implications"/>
      </w:tblPr>
      <w:tblGrid>
        <w:gridCol w:w="1692"/>
        <w:gridCol w:w="1090"/>
        <w:gridCol w:w="1087"/>
        <w:gridCol w:w="1087"/>
        <w:gridCol w:w="1133"/>
        <w:gridCol w:w="1057"/>
        <w:gridCol w:w="1087"/>
        <w:gridCol w:w="1118"/>
      </w:tblGrid>
      <w:tr w:rsidR="007E6C9D" w:rsidRPr="001534B3" w14:paraId="28DDC566" w14:textId="77777777" w:rsidTr="008C7D15">
        <w:trPr>
          <w:trHeight w:val="20"/>
          <w:tblHeader/>
        </w:trPr>
        <w:tc>
          <w:tcPr>
            <w:tcW w:w="905" w:type="pct"/>
            <w:tcBorders>
              <w:top w:val="single" w:sz="4" w:space="0" w:color="auto"/>
              <w:left w:val="single" w:sz="4" w:space="0" w:color="auto"/>
              <w:bottom w:val="single" w:sz="4" w:space="0" w:color="auto"/>
              <w:right w:val="single" w:sz="4" w:space="0" w:color="auto"/>
            </w:tcBorders>
            <w:vAlign w:val="center"/>
          </w:tcPr>
          <w:p w14:paraId="4F604BD6" w14:textId="77777777" w:rsidR="00BA224D" w:rsidRPr="001534B3" w:rsidRDefault="00BA224D" w:rsidP="006229E0">
            <w:pPr>
              <w:keepNext/>
              <w:keepLines/>
              <w:widowControl w:val="0"/>
              <w:jc w:val="left"/>
              <w:rPr>
                <w:rFonts w:ascii="Arial Narrow" w:hAnsi="Arial Narrow" w:cs="Times New Roman"/>
                <w:iCs/>
                <w:sz w:val="19"/>
                <w:szCs w:val="19"/>
                <w:lang w:eastAsia="en-GB"/>
              </w:rPr>
            </w:pPr>
          </w:p>
        </w:tc>
        <w:tc>
          <w:tcPr>
            <w:tcW w:w="583" w:type="pct"/>
            <w:tcBorders>
              <w:top w:val="single" w:sz="4" w:space="0" w:color="auto"/>
              <w:left w:val="single" w:sz="4" w:space="0" w:color="auto"/>
              <w:bottom w:val="single" w:sz="4" w:space="0" w:color="auto"/>
              <w:right w:val="single" w:sz="4" w:space="0" w:color="auto"/>
            </w:tcBorders>
            <w:vAlign w:val="center"/>
          </w:tcPr>
          <w:p w14:paraId="3C4A25F0" w14:textId="77777777" w:rsidR="00BA224D" w:rsidRPr="001534B3" w:rsidRDefault="00BA224D" w:rsidP="006229E0">
            <w:pPr>
              <w:keepNext/>
              <w:keepLines/>
              <w:widowControl w:val="0"/>
              <w:jc w:val="center"/>
              <w:rPr>
                <w:rFonts w:ascii="Arial Narrow" w:hAnsi="Arial Narrow" w:cs="Times New Roman"/>
                <w:b/>
                <w:iCs/>
                <w:sz w:val="19"/>
                <w:szCs w:val="19"/>
                <w:lang w:eastAsia="en-GB"/>
              </w:rPr>
            </w:pPr>
            <w:r w:rsidRPr="001534B3">
              <w:rPr>
                <w:rFonts w:ascii="Arial Narrow" w:hAnsi="Arial Narrow" w:cs="Times New Roman"/>
                <w:b/>
                <w:iCs/>
                <w:sz w:val="19"/>
                <w:szCs w:val="19"/>
                <w:lang w:eastAsia="en-GB"/>
              </w:rPr>
              <w:t>2025</w:t>
            </w:r>
          </w:p>
        </w:tc>
        <w:tc>
          <w:tcPr>
            <w:tcW w:w="581" w:type="pct"/>
            <w:tcBorders>
              <w:top w:val="single" w:sz="4" w:space="0" w:color="auto"/>
              <w:left w:val="single" w:sz="4" w:space="0" w:color="auto"/>
              <w:bottom w:val="single" w:sz="4" w:space="0" w:color="auto"/>
              <w:right w:val="single" w:sz="4" w:space="0" w:color="auto"/>
            </w:tcBorders>
            <w:vAlign w:val="center"/>
          </w:tcPr>
          <w:p w14:paraId="039E2FD3" w14:textId="77777777" w:rsidR="00BA224D" w:rsidRPr="001534B3" w:rsidRDefault="00BA224D" w:rsidP="006229E0">
            <w:pPr>
              <w:keepNext/>
              <w:keepLines/>
              <w:widowControl w:val="0"/>
              <w:jc w:val="center"/>
              <w:rPr>
                <w:rFonts w:ascii="Arial Narrow" w:hAnsi="Arial Narrow" w:cs="Times New Roman"/>
                <w:b/>
                <w:iCs/>
                <w:sz w:val="19"/>
                <w:szCs w:val="19"/>
                <w:lang w:eastAsia="en-GB"/>
              </w:rPr>
            </w:pPr>
            <w:r w:rsidRPr="001534B3">
              <w:rPr>
                <w:rFonts w:ascii="Arial Narrow" w:hAnsi="Arial Narrow" w:cs="Times New Roman"/>
                <w:b/>
                <w:iCs/>
                <w:sz w:val="19"/>
                <w:szCs w:val="19"/>
                <w:lang w:eastAsia="en-GB"/>
              </w:rPr>
              <w:t>2026</w:t>
            </w:r>
          </w:p>
        </w:tc>
        <w:tc>
          <w:tcPr>
            <w:tcW w:w="581" w:type="pct"/>
            <w:tcBorders>
              <w:top w:val="single" w:sz="4" w:space="0" w:color="auto"/>
              <w:left w:val="single" w:sz="4" w:space="0" w:color="auto"/>
              <w:bottom w:val="single" w:sz="4" w:space="0" w:color="auto"/>
              <w:right w:val="single" w:sz="4" w:space="0" w:color="auto"/>
            </w:tcBorders>
            <w:vAlign w:val="center"/>
          </w:tcPr>
          <w:p w14:paraId="669D57A4" w14:textId="77777777" w:rsidR="00BA224D" w:rsidRPr="001534B3" w:rsidRDefault="00BA224D" w:rsidP="006229E0">
            <w:pPr>
              <w:keepNext/>
              <w:keepLines/>
              <w:widowControl w:val="0"/>
              <w:jc w:val="center"/>
              <w:rPr>
                <w:rFonts w:ascii="Arial Narrow" w:hAnsi="Arial Narrow" w:cs="Times New Roman"/>
                <w:b/>
                <w:iCs/>
                <w:sz w:val="19"/>
                <w:szCs w:val="19"/>
                <w:lang w:eastAsia="en-GB"/>
              </w:rPr>
            </w:pPr>
            <w:r w:rsidRPr="001534B3">
              <w:rPr>
                <w:rFonts w:ascii="Arial Narrow" w:hAnsi="Arial Narrow" w:cs="Times New Roman"/>
                <w:b/>
                <w:iCs/>
                <w:sz w:val="19"/>
                <w:szCs w:val="19"/>
                <w:lang w:eastAsia="en-GB"/>
              </w:rPr>
              <w:t>2027</w:t>
            </w:r>
          </w:p>
        </w:tc>
        <w:tc>
          <w:tcPr>
            <w:tcW w:w="606" w:type="pct"/>
            <w:tcBorders>
              <w:top w:val="single" w:sz="4" w:space="0" w:color="auto"/>
              <w:left w:val="single" w:sz="4" w:space="0" w:color="auto"/>
              <w:bottom w:val="single" w:sz="4" w:space="0" w:color="auto"/>
              <w:right w:val="single" w:sz="4" w:space="0" w:color="auto"/>
            </w:tcBorders>
            <w:vAlign w:val="center"/>
          </w:tcPr>
          <w:p w14:paraId="3D380BF0" w14:textId="77777777" w:rsidR="00BA224D" w:rsidRPr="001534B3" w:rsidRDefault="00BA224D" w:rsidP="006229E0">
            <w:pPr>
              <w:keepNext/>
              <w:keepLines/>
              <w:widowControl w:val="0"/>
              <w:jc w:val="center"/>
              <w:rPr>
                <w:rFonts w:ascii="Arial Narrow" w:hAnsi="Arial Narrow" w:cs="Times New Roman"/>
                <w:b/>
                <w:iCs/>
                <w:sz w:val="19"/>
                <w:szCs w:val="19"/>
                <w:lang w:eastAsia="en-GB"/>
              </w:rPr>
            </w:pPr>
            <w:r w:rsidRPr="001534B3">
              <w:rPr>
                <w:rFonts w:ascii="Arial Narrow" w:hAnsi="Arial Narrow" w:cs="Times New Roman"/>
                <w:b/>
                <w:iCs/>
                <w:sz w:val="19"/>
                <w:szCs w:val="19"/>
                <w:lang w:eastAsia="en-GB"/>
              </w:rPr>
              <w:t>2028</w:t>
            </w:r>
          </w:p>
        </w:tc>
        <w:tc>
          <w:tcPr>
            <w:tcW w:w="565" w:type="pct"/>
            <w:tcBorders>
              <w:top w:val="single" w:sz="4" w:space="0" w:color="auto"/>
              <w:left w:val="single" w:sz="4" w:space="0" w:color="auto"/>
              <w:bottom w:val="single" w:sz="4" w:space="0" w:color="auto"/>
              <w:right w:val="single" w:sz="4" w:space="0" w:color="auto"/>
            </w:tcBorders>
            <w:vAlign w:val="center"/>
          </w:tcPr>
          <w:p w14:paraId="2A2EDC77" w14:textId="77777777" w:rsidR="00BA224D" w:rsidRPr="001534B3" w:rsidRDefault="00BA224D" w:rsidP="006229E0">
            <w:pPr>
              <w:keepNext/>
              <w:keepLines/>
              <w:widowControl w:val="0"/>
              <w:jc w:val="center"/>
              <w:rPr>
                <w:rFonts w:ascii="Arial Narrow" w:hAnsi="Arial Narrow" w:cs="Times New Roman"/>
                <w:b/>
                <w:iCs/>
                <w:sz w:val="19"/>
                <w:szCs w:val="19"/>
                <w:lang w:eastAsia="en-GB"/>
              </w:rPr>
            </w:pPr>
            <w:r w:rsidRPr="001534B3">
              <w:rPr>
                <w:rFonts w:ascii="Arial Narrow" w:hAnsi="Arial Narrow" w:cs="Times New Roman"/>
                <w:b/>
                <w:iCs/>
                <w:sz w:val="19"/>
                <w:szCs w:val="19"/>
                <w:lang w:eastAsia="en-GB"/>
              </w:rPr>
              <w:t>2029</w:t>
            </w:r>
          </w:p>
        </w:tc>
        <w:tc>
          <w:tcPr>
            <w:tcW w:w="581" w:type="pct"/>
            <w:tcBorders>
              <w:top w:val="single" w:sz="4" w:space="0" w:color="auto"/>
              <w:left w:val="single" w:sz="4" w:space="0" w:color="auto"/>
              <w:bottom w:val="single" w:sz="4" w:space="0" w:color="auto"/>
              <w:right w:val="single" w:sz="4" w:space="0" w:color="auto"/>
            </w:tcBorders>
            <w:vAlign w:val="center"/>
            <w:hideMark/>
          </w:tcPr>
          <w:p w14:paraId="62CC98BF" w14:textId="77777777" w:rsidR="00BA224D" w:rsidRPr="001534B3" w:rsidRDefault="00BA224D" w:rsidP="006229E0">
            <w:pPr>
              <w:keepNext/>
              <w:keepLines/>
              <w:widowControl w:val="0"/>
              <w:jc w:val="center"/>
              <w:rPr>
                <w:rFonts w:ascii="Arial Narrow" w:hAnsi="Arial Narrow" w:cs="Times New Roman"/>
                <w:b/>
                <w:iCs/>
                <w:sz w:val="19"/>
                <w:szCs w:val="19"/>
                <w:lang w:eastAsia="en-GB"/>
              </w:rPr>
            </w:pPr>
            <w:r w:rsidRPr="001534B3">
              <w:rPr>
                <w:rFonts w:ascii="Arial Narrow" w:hAnsi="Arial Narrow" w:cs="Times New Roman"/>
                <w:b/>
                <w:iCs/>
                <w:sz w:val="19"/>
                <w:szCs w:val="19"/>
                <w:lang w:eastAsia="en-GB"/>
              </w:rPr>
              <w:t>2030</w:t>
            </w:r>
          </w:p>
        </w:tc>
        <w:tc>
          <w:tcPr>
            <w:tcW w:w="598" w:type="pct"/>
            <w:tcBorders>
              <w:top w:val="single" w:sz="4" w:space="0" w:color="auto"/>
              <w:left w:val="single" w:sz="4" w:space="0" w:color="auto"/>
              <w:bottom w:val="single" w:sz="4" w:space="0" w:color="auto"/>
              <w:right w:val="single" w:sz="4" w:space="0" w:color="auto"/>
            </w:tcBorders>
            <w:hideMark/>
          </w:tcPr>
          <w:p w14:paraId="5E0CB738" w14:textId="77777777" w:rsidR="00BA224D" w:rsidRPr="001534B3" w:rsidRDefault="00BA224D" w:rsidP="006229E0">
            <w:pPr>
              <w:keepNext/>
              <w:keepLines/>
              <w:widowControl w:val="0"/>
              <w:jc w:val="center"/>
              <w:rPr>
                <w:rFonts w:ascii="Arial Narrow" w:hAnsi="Arial Narrow" w:cs="Times New Roman"/>
                <w:b/>
                <w:iCs/>
                <w:sz w:val="19"/>
                <w:szCs w:val="19"/>
                <w:lang w:eastAsia="en-GB"/>
              </w:rPr>
            </w:pPr>
            <w:r w:rsidRPr="001534B3">
              <w:rPr>
                <w:rFonts w:ascii="Arial Narrow" w:hAnsi="Arial Narrow" w:cs="Times New Roman"/>
                <w:b/>
                <w:iCs/>
                <w:sz w:val="19"/>
                <w:szCs w:val="19"/>
                <w:lang w:eastAsia="en-GB"/>
              </w:rPr>
              <w:t>Total</w:t>
            </w:r>
          </w:p>
        </w:tc>
      </w:tr>
      <w:tr w:rsidR="00BA224D" w:rsidRPr="001534B3" w14:paraId="698911F4" w14:textId="77777777" w:rsidTr="00997B48">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EEA9CAA" w14:textId="76E462F3" w:rsidR="00BA224D" w:rsidRPr="001534B3" w:rsidRDefault="00BA224D" w:rsidP="006229E0">
            <w:pPr>
              <w:keepNext/>
              <w:keepLines/>
              <w:widowControl w:val="0"/>
              <w:jc w:val="left"/>
              <w:rPr>
                <w:rFonts w:ascii="Arial Narrow" w:hAnsi="Arial Narrow" w:cs="Times New Roman"/>
                <w:b/>
                <w:iCs/>
                <w:sz w:val="19"/>
                <w:szCs w:val="19"/>
                <w:lang w:eastAsia="en-GB"/>
              </w:rPr>
            </w:pPr>
            <w:r w:rsidRPr="001534B3">
              <w:rPr>
                <w:rFonts w:ascii="Arial Narrow" w:hAnsi="Arial Narrow" w:cs="Times New Roman"/>
                <w:b/>
                <w:iCs/>
                <w:sz w:val="19"/>
                <w:szCs w:val="19"/>
                <w:lang w:eastAsia="en-GB"/>
              </w:rPr>
              <w:t>Estimation of number of patients (2L R/R DLBCL, ineligible for ASCT/CAR-T and 3L R/R DLBCL, after ASCT/CAR-T)</w:t>
            </w:r>
          </w:p>
        </w:tc>
      </w:tr>
      <w:tr w:rsidR="007E6C9D" w:rsidRPr="001534B3" w14:paraId="1E73AADC" w14:textId="77777777" w:rsidTr="008C7D15">
        <w:trPr>
          <w:trHeight w:val="20"/>
        </w:trPr>
        <w:tc>
          <w:tcPr>
            <w:tcW w:w="905" w:type="pct"/>
            <w:tcBorders>
              <w:top w:val="single" w:sz="4" w:space="0" w:color="auto"/>
              <w:left w:val="single" w:sz="4" w:space="0" w:color="auto"/>
              <w:bottom w:val="nil"/>
              <w:right w:val="single" w:sz="4" w:space="0" w:color="auto"/>
            </w:tcBorders>
            <w:vAlign w:val="center"/>
          </w:tcPr>
          <w:p w14:paraId="4A82A292" w14:textId="77777777" w:rsidR="00BA224D" w:rsidRPr="001534B3" w:rsidRDefault="00BA224D" w:rsidP="006229E0">
            <w:pPr>
              <w:keepNext/>
              <w:keepLines/>
              <w:widowControl w:val="0"/>
              <w:tabs>
                <w:tab w:val="right" w:pos="2058"/>
              </w:tabs>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Eligible patients</w:t>
            </w:r>
          </w:p>
        </w:tc>
        <w:tc>
          <w:tcPr>
            <w:tcW w:w="583" w:type="pct"/>
            <w:tcBorders>
              <w:top w:val="single" w:sz="4" w:space="0" w:color="auto"/>
              <w:left w:val="single" w:sz="4" w:space="0" w:color="auto"/>
              <w:bottom w:val="nil"/>
              <w:right w:val="single" w:sz="4" w:space="0" w:color="auto"/>
            </w:tcBorders>
          </w:tcPr>
          <w:p w14:paraId="10A38838" w14:textId="70F2312B"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60"/>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60"/>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581" w:type="pct"/>
            <w:tcBorders>
              <w:top w:val="single" w:sz="4" w:space="0" w:color="auto"/>
              <w:left w:val="single" w:sz="4" w:space="0" w:color="auto"/>
              <w:bottom w:val="nil"/>
              <w:right w:val="single" w:sz="4" w:space="0" w:color="auto"/>
            </w:tcBorders>
          </w:tcPr>
          <w:p w14:paraId="6CAD8344" w14:textId="40D23EF0"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9"/>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9"/>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581" w:type="pct"/>
            <w:tcBorders>
              <w:top w:val="single" w:sz="4" w:space="0" w:color="auto"/>
              <w:left w:val="single" w:sz="4" w:space="0" w:color="auto"/>
              <w:bottom w:val="nil"/>
              <w:right w:val="single" w:sz="4" w:space="0" w:color="auto"/>
            </w:tcBorders>
          </w:tcPr>
          <w:p w14:paraId="5791A703" w14:textId="1713C26A"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8"/>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8"/>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606" w:type="pct"/>
            <w:tcBorders>
              <w:top w:val="single" w:sz="4" w:space="0" w:color="auto"/>
              <w:left w:val="single" w:sz="4" w:space="0" w:color="auto"/>
              <w:bottom w:val="nil"/>
              <w:right w:val="single" w:sz="4" w:space="0" w:color="auto"/>
            </w:tcBorders>
          </w:tcPr>
          <w:p w14:paraId="09C0F9BB" w14:textId="733DC0EF"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7"/>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7"/>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565" w:type="pct"/>
            <w:tcBorders>
              <w:top w:val="single" w:sz="4" w:space="0" w:color="auto"/>
              <w:left w:val="single" w:sz="4" w:space="0" w:color="auto"/>
              <w:bottom w:val="nil"/>
              <w:right w:val="single" w:sz="4" w:space="0" w:color="auto"/>
            </w:tcBorders>
          </w:tcPr>
          <w:p w14:paraId="4B393407" w14:textId="2EE02642"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48"/>
                <w:sz w:val="19"/>
                <w:szCs w:val="19"/>
                <w:shd w:val="solid" w:color="000000" w:fill="000000"/>
                <w:fitText w:val="306" w:id="-632053756"/>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06" w:id="-632053756"/>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581" w:type="pct"/>
            <w:tcBorders>
              <w:top w:val="single" w:sz="4" w:space="0" w:color="auto"/>
              <w:left w:val="single" w:sz="4" w:space="0" w:color="auto"/>
              <w:bottom w:val="nil"/>
              <w:right w:val="single" w:sz="4" w:space="0" w:color="auto"/>
            </w:tcBorders>
          </w:tcPr>
          <w:p w14:paraId="6C8DDA1D" w14:textId="6F323966"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5"/>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5"/>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598" w:type="pct"/>
            <w:tcBorders>
              <w:top w:val="single" w:sz="4" w:space="0" w:color="auto"/>
              <w:left w:val="single" w:sz="4" w:space="0" w:color="auto"/>
              <w:bottom w:val="nil"/>
              <w:right w:val="single" w:sz="4" w:space="0" w:color="auto"/>
            </w:tcBorders>
          </w:tcPr>
          <w:p w14:paraId="18F5881E" w14:textId="13FA88EB"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1"/>
                <w:shd w:val="solid" w:color="000000" w:fill="000000"/>
                <w:fitText w:val="324" w:id="-632053754"/>
                <w14:textFill>
                  <w14:solidFill>
                    <w14:srgbClr w14:val="000000">
                      <w14:alpha w14:val="100000"/>
                    </w14:srgbClr>
                  </w14:solidFill>
                </w14:textFill>
              </w:rPr>
              <w:t>|||</w:t>
            </w:r>
            <w:r w:rsidRPr="00BD6E95">
              <w:rPr>
                <w:iCs/>
                <w:color w:val="000000"/>
                <w:spacing w:val="1"/>
                <w:shd w:val="solid" w:color="000000" w:fill="000000"/>
                <w:fitText w:val="324" w:id="-632053754"/>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r>
      <w:tr w:rsidR="007E6C9D" w:rsidRPr="001534B3" w14:paraId="3983D808" w14:textId="77777777" w:rsidTr="008C7D15">
        <w:trPr>
          <w:trHeight w:val="20"/>
        </w:trPr>
        <w:tc>
          <w:tcPr>
            <w:tcW w:w="905" w:type="pct"/>
            <w:tcBorders>
              <w:top w:val="nil"/>
              <w:left w:val="single" w:sz="4" w:space="0" w:color="auto"/>
              <w:bottom w:val="nil"/>
              <w:right w:val="single" w:sz="4" w:space="0" w:color="auto"/>
            </w:tcBorders>
            <w:vAlign w:val="center"/>
          </w:tcPr>
          <w:p w14:paraId="566E8A18" w14:textId="77777777" w:rsidR="00BA224D" w:rsidRPr="001534B3" w:rsidRDefault="00BA224D" w:rsidP="006229E0">
            <w:pPr>
              <w:keepNext/>
              <w:keepLines/>
              <w:widowControl w:val="0"/>
              <w:tabs>
                <w:tab w:val="right" w:pos="2058"/>
              </w:tabs>
              <w:ind w:left="112"/>
              <w:jc w:val="left"/>
              <w:rPr>
                <w:rFonts w:ascii="Arial Narrow" w:hAnsi="Arial Narrow" w:cs="Times New Roman"/>
                <w:iCs/>
                <w:sz w:val="19"/>
                <w:szCs w:val="19"/>
                <w:lang w:eastAsia="en-GB"/>
              </w:rPr>
            </w:pPr>
            <w:r w:rsidRPr="001534B3">
              <w:rPr>
                <w:rFonts w:ascii="Arial Narrow" w:hAnsi="Arial Narrow" w:cs="Times New Roman"/>
                <w:bCs/>
                <w:iCs/>
                <w:sz w:val="19"/>
                <w:szCs w:val="19"/>
                <w:lang w:eastAsia="en-GB"/>
              </w:rPr>
              <w:t>Second-line</w:t>
            </w:r>
          </w:p>
        </w:tc>
        <w:tc>
          <w:tcPr>
            <w:tcW w:w="583" w:type="pct"/>
            <w:tcBorders>
              <w:top w:val="nil"/>
              <w:left w:val="single" w:sz="4" w:space="0" w:color="auto"/>
              <w:bottom w:val="nil"/>
              <w:right w:val="single" w:sz="4" w:space="0" w:color="auto"/>
            </w:tcBorders>
            <w:vAlign w:val="center"/>
          </w:tcPr>
          <w:p w14:paraId="69B4A231" w14:textId="7DE982E1"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3"/>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3"/>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nil"/>
              <w:right w:val="single" w:sz="4" w:space="0" w:color="auto"/>
            </w:tcBorders>
            <w:vAlign w:val="center"/>
          </w:tcPr>
          <w:p w14:paraId="51BF2C15" w14:textId="4469E991"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2"/>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2"/>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nil"/>
              <w:right w:val="single" w:sz="4" w:space="0" w:color="auto"/>
            </w:tcBorders>
            <w:vAlign w:val="center"/>
          </w:tcPr>
          <w:p w14:paraId="2E0B0C41" w14:textId="19E015F8"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1"/>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1"/>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606" w:type="pct"/>
            <w:tcBorders>
              <w:top w:val="nil"/>
              <w:left w:val="single" w:sz="4" w:space="0" w:color="auto"/>
              <w:bottom w:val="nil"/>
              <w:right w:val="single" w:sz="4" w:space="0" w:color="auto"/>
            </w:tcBorders>
            <w:vAlign w:val="center"/>
          </w:tcPr>
          <w:p w14:paraId="78E1DF4B" w14:textId="21A96818"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0"/>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0"/>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65" w:type="pct"/>
            <w:tcBorders>
              <w:top w:val="nil"/>
              <w:left w:val="single" w:sz="4" w:space="0" w:color="auto"/>
              <w:bottom w:val="nil"/>
              <w:right w:val="single" w:sz="4" w:space="0" w:color="auto"/>
            </w:tcBorders>
            <w:vAlign w:val="center"/>
          </w:tcPr>
          <w:p w14:paraId="0C403D9B" w14:textId="39983E2E"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48"/>
                <w:sz w:val="19"/>
                <w:szCs w:val="19"/>
                <w:shd w:val="solid" w:color="000000" w:fill="000000"/>
                <w:fitText w:val="306" w:id="-632053749"/>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06" w:id="-632053749"/>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nil"/>
              <w:right w:val="single" w:sz="4" w:space="0" w:color="auto"/>
            </w:tcBorders>
            <w:vAlign w:val="center"/>
          </w:tcPr>
          <w:p w14:paraId="17881271" w14:textId="7F40B4C8"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48"/>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48"/>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98" w:type="pct"/>
            <w:tcBorders>
              <w:top w:val="nil"/>
              <w:left w:val="single" w:sz="4" w:space="0" w:color="auto"/>
              <w:bottom w:val="nil"/>
              <w:right w:val="single" w:sz="4" w:space="0" w:color="auto"/>
            </w:tcBorders>
          </w:tcPr>
          <w:p w14:paraId="5A383631" w14:textId="79E450A9" w:rsidR="00BA224D" w:rsidRPr="0067147A" w:rsidRDefault="00BD6E95" w:rsidP="006229E0">
            <w:pPr>
              <w:pStyle w:val="TableText0"/>
              <w:keepLines/>
              <w:jc w:val="center"/>
              <w:rPr>
                <w:iCs/>
                <w:highlight w:val="darkGray"/>
              </w:rPr>
            </w:pPr>
            <w:r w:rsidRPr="00BD6E95">
              <w:rPr>
                <w:iCs/>
                <w:color w:val="000000"/>
                <w:spacing w:val="51"/>
                <w:shd w:val="solid" w:color="000000" w:fill="000000"/>
                <w:fitText w:val="324" w:id="-632053747"/>
                <w14:textFill>
                  <w14:solidFill>
                    <w14:srgbClr w14:val="000000">
                      <w14:alpha w14:val="100000"/>
                    </w14:srgbClr>
                  </w14:solidFill>
                </w14:textFill>
              </w:rPr>
              <w:t>|||</w:t>
            </w:r>
            <w:r w:rsidRPr="00BD6E95">
              <w:rPr>
                <w:iCs/>
                <w:color w:val="000000"/>
                <w:spacing w:val="1"/>
                <w:shd w:val="solid" w:color="000000" w:fill="000000"/>
                <w:fitText w:val="324" w:id="-632053747"/>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r>
      <w:tr w:rsidR="007E6C9D" w:rsidRPr="001534B3" w14:paraId="61F98D00" w14:textId="77777777" w:rsidTr="008C7D15">
        <w:trPr>
          <w:trHeight w:val="20"/>
        </w:trPr>
        <w:tc>
          <w:tcPr>
            <w:tcW w:w="905" w:type="pct"/>
            <w:tcBorders>
              <w:top w:val="nil"/>
              <w:left w:val="single" w:sz="4" w:space="0" w:color="auto"/>
              <w:bottom w:val="single" w:sz="4" w:space="0" w:color="auto"/>
              <w:right w:val="single" w:sz="4" w:space="0" w:color="auto"/>
            </w:tcBorders>
            <w:vAlign w:val="center"/>
          </w:tcPr>
          <w:p w14:paraId="120389C5" w14:textId="77777777" w:rsidR="00BA224D" w:rsidRPr="001534B3" w:rsidRDefault="00BA224D" w:rsidP="006229E0">
            <w:pPr>
              <w:keepNext/>
              <w:keepLines/>
              <w:widowControl w:val="0"/>
              <w:tabs>
                <w:tab w:val="right" w:pos="2058"/>
              </w:tabs>
              <w:ind w:left="112"/>
              <w:jc w:val="left"/>
              <w:rPr>
                <w:rFonts w:ascii="Arial Narrow" w:hAnsi="Arial Narrow" w:cs="Times New Roman"/>
                <w:iCs/>
                <w:sz w:val="19"/>
                <w:szCs w:val="19"/>
                <w:lang w:eastAsia="en-GB"/>
              </w:rPr>
            </w:pPr>
            <w:r w:rsidRPr="001534B3">
              <w:rPr>
                <w:rFonts w:ascii="Arial Narrow" w:hAnsi="Arial Narrow" w:cs="Times New Roman"/>
                <w:bCs/>
                <w:iCs/>
                <w:sz w:val="19"/>
                <w:szCs w:val="19"/>
                <w:lang w:eastAsia="en-GB"/>
              </w:rPr>
              <w:t>Third-line</w:t>
            </w:r>
          </w:p>
        </w:tc>
        <w:tc>
          <w:tcPr>
            <w:tcW w:w="583" w:type="pct"/>
            <w:tcBorders>
              <w:top w:val="nil"/>
              <w:left w:val="single" w:sz="4" w:space="0" w:color="auto"/>
              <w:bottom w:val="single" w:sz="4" w:space="0" w:color="auto"/>
              <w:right w:val="single" w:sz="4" w:space="0" w:color="auto"/>
            </w:tcBorders>
          </w:tcPr>
          <w:p w14:paraId="2CC8FC65" w14:textId="627F4677"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46"/>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46"/>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single" w:sz="4" w:space="0" w:color="auto"/>
              <w:right w:val="single" w:sz="4" w:space="0" w:color="auto"/>
            </w:tcBorders>
          </w:tcPr>
          <w:p w14:paraId="35878084" w14:textId="5991F62C"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45"/>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45"/>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single" w:sz="4" w:space="0" w:color="auto"/>
              <w:right w:val="single" w:sz="4" w:space="0" w:color="auto"/>
            </w:tcBorders>
          </w:tcPr>
          <w:p w14:paraId="2A5A08EB" w14:textId="305B3737"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44"/>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44"/>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606" w:type="pct"/>
            <w:tcBorders>
              <w:top w:val="nil"/>
              <w:left w:val="single" w:sz="4" w:space="0" w:color="auto"/>
              <w:bottom w:val="single" w:sz="4" w:space="0" w:color="auto"/>
              <w:right w:val="single" w:sz="4" w:space="0" w:color="auto"/>
            </w:tcBorders>
          </w:tcPr>
          <w:p w14:paraId="5B14E55A" w14:textId="441148BD"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60"/>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60"/>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65" w:type="pct"/>
            <w:tcBorders>
              <w:top w:val="nil"/>
              <w:left w:val="single" w:sz="4" w:space="0" w:color="auto"/>
              <w:bottom w:val="single" w:sz="4" w:space="0" w:color="auto"/>
              <w:right w:val="single" w:sz="4" w:space="0" w:color="auto"/>
            </w:tcBorders>
          </w:tcPr>
          <w:p w14:paraId="4BAFA08F" w14:textId="58E37D3F"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48"/>
                <w:sz w:val="19"/>
                <w:szCs w:val="19"/>
                <w:shd w:val="solid" w:color="000000" w:fill="000000"/>
                <w:fitText w:val="306" w:id="-632053759"/>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06" w:id="-632053759"/>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single" w:sz="4" w:space="0" w:color="auto"/>
              <w:right w:val="single" w:sz="4" w:space="0" w:color="auto"/>
            </w:tcBorders>
          </w:tcPr>
          <w:p w14:paraId="2BAF7940" w14:textId="1AB18792"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8"/>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8"/>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98" w:type="pct"/>
            <w:tcBorders>
              <w:top w:val="nil"/>
              <w:left w:val="single" w:sz="4" w:space="0" w:color="auto"/>
              <w:bottom w:val="single" w:sz="4" w:space="0" w:color="auto"/>
              <w:right w:val="single" w:sz="4" w:space="0" w:color="auto"/>
            </w:tcBorders>
          </w:tcPr>
          <w:p w14:paraId="05CB43ED" w14:textId="7A494B8D" w:rsidR="00BA224D" w:rsidRPr="0067147A" w:rsidRDefault="00BD6E95" w:rsidP="006229E0">
            <w:pPr>
              <w:pStyle w:val="TableText0"/>
              <w:keepLines/>
              <w:jc w:val="center"/>
              <w:rPr>
                <w:iCs/>
                <w:highlight w:val="darkGray"/>
              </w:rPr>
            </w:pPr>
            <w:r w:rsidRPr="00BD6E95">
              <w:rPr>
                <w:iCs/>
                <w:color w:val="000000"/>
                <w:spacing w:val="51"/>
                <w:shd w:val="solid" w:color="000000" w:fill="000000"/>
                <w:fitText w:val="324" w:id="-632053757"/>
                <w14:textFill>
                  <w14:solidFill>
                    <w14:srgbClr w14:val="000000">
                      <w14:alpha w14:val="100000"/>
                    </w14:srgbClr>
                  </w14:solidFill>
                </w14:textFill>
              </w:rPr>
              <w:t>|||</w:t>
            </w:r>
            <w:r w:rsidRPr="00BD6E95">
              <w:rPr>
                <w:iCs/>
                <w:color w:val="000000"/>
                <w:spacing w:val="1"/>
                <w:shd w:val="solid" w:color="000000" w:fill="000000"/>
                <w:fitText w:val="324" w:id="-632053757"/>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r>
      <w:tr w:rsidR="007E6C9D" w:rsidRPr="001534B3" w14:paraId="0A297479" w14:textId="77777777" w:rsidTr="008C7D15">
        <w:trPr>
          <w:trHeight w:val="20"/>
        </w:trPr>
        <w:tc>
          <w:tcPr>
            <w:tcW w:w="905" w:type="pct"/>
            <w:tcBorders>
              <w:top w:val="single" w:sz="4" w:space="0" w:color="auto"/>
              <w:left w:val="single" w:sz="4" w:space="0" w:color="auto"/>
              <w:bottom w:val="nil"/>
              <w:right w:val="single" w:sz="4" w:space="0" w:color="auto"/>
            </w:tcBorders>
            <w:vAlign w:val="center"/>
          </w:tcPr>
          <w:p w14:paraId="3DA311CA" w14:textId="77777777" w:rsidR="00BA224D" w:rsidRPr="001534B3" w:rsidRDefault="00BA224D" w:rsidP="006229E0">
            <w:pPr>
              <w:keepNext/>
              <w:keepLines/>
              <w:widowControl w:val="0"/>
              <w:tabs>
                <w:tab w:val="right" w:pos="2058"/>
              </w:tabs>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 xml:space="preserve">Treated patients </w:t>
            </w:r>
          </w:p>
        </w:tc>
        <w:tc>
          <w:tcPr>
            <w:tcW w:w="583" w:type="pct"/>
            <w:tcBorders>
              <w:top w:val="single" w:sz="4" w:space="0" w:color="auto"/>
              <w:left w:val="single" w:sz="4" w:space="0" w:color="auto"/>
              <w:bottom w:val="nil"/>
              <w:right w:val="single" w:sz="4" w:space="0" w:color="auto"/>
            </w:tcBorders>
          </w:tcPr>
          <w:p w14:paraId="33EE5597" w14:textId="6E385DCE"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6"/>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6"/>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single" w:sz="4" w:space="0" w:color="auto"/>
              <w:left w:val="single" w:sz="4" w:space="0" w:color="auto"/>
              <w:bottom w:val="nil"/>
              <w:right w:val="single" w:sz="4" w:space="0" w:color="auto"/>
            </w:tcBorders>
          </w:tcPr>
          <w:p w14:paraId="59564836" w14:textId="233CFE4B"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5"/>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5"/>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581" w:type="pct"/>
            <w:tcBorders>
              <w:top w:val="single" w:sz="4" w:space="0" w:color="auto"/>
              <w:left w:val="single" w:sz="4" w:space="0" w:color="auto"/>
              <w:bottom w:val="nil"/>
              <w:right w:val="single" w:sz="4" w:space="0" w:color="auto"/>
            </w:tcBorders>
          </w:tcPr>
          <w:p w14:paraId="5E1D2EF6" w14:textId="32E54C96"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4"/>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4"/>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606" w:type="pct"/>
            <w:tcBorders>
              <w:top w:val="single" w:sz="4" w:space="0" w:color="auto"/>
              <w:left w:val="single" w:sz="4" w:space="0" w:color="auto"/>
              <w:bottom w:val="nil"/>
              <w:right w:val="single" w:sz="4" w:space="0" w:color="auto"/>
            </w:tcBorders>
          </w:tcPr>
          <w:p w14:paraId="209F6A10" w14:textId="5C7857BC"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3"/>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3"/>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565" w:type="pct"/>
            <w:tcBorders>
              <w:top w:val="single" w:sz="4" w:space="0" w:color="auto"/>
              <w:left w:val="single" w:sz="4" w:space="0" w:color="auto"/>
              <w:bottom w:val="nil"/>
              <w:right w:val="single" w:sz="4" w:space="0" w:color="auto"/>
            </w:tcBorders>
          </w:tcPr>
          <w:p w14:paraId="1EB4A15C" w14:textId="066755BB"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48"/>
                <w:sz w:val="19"/>
                <w:szCs w:val="19"/>
                <w:shd w:val="solid" w:color="000000" w:fill="000000"/>
                <w:fitText w:val="306" w:id="-632053752"/>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06" w:id="-632053752"/>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581" w:type="pct"/>
            <w:tcBorders>
              <w:top w:val="single" w:sz="4" w:space="0" w:color="auto"/>
              <w:left w:val="single" w:sz="4" w:space="0" w:color="auto"/>
              <w:bottom w:val="nil"/>
              <w:right w:val="single" w:sz="4" w:space="0" w:color="auto"/>
            </w:tcBorders>
          </w:tcPr>
          <w:p w14:paraId="129F0D15" w14:textId="092395BB"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1"/>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1"/>
                <w:lang w:eastAsia="en-GB"/>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c>
          <w:tcPr>
            <w:tcW w:w="598" w:type="pct"/>
            <w:tcBorders>
              <w:top w:val="single" w:sz="4" w:space="0" w:color="auto"/>
              <w:left w:val="single" w:sz="4" w:space="0" w:color="auto"/>
              <w:bottom w:val="nil"/>
              <w:right w:val="single" w:sz="4" w:space="0" w:color="auto"/>
            </w:tcBorders>
          </w:tcPr>
          <w:p w14:paraId="7AC59D1E" w14:textId="1CF6B880" w:rsidR="00BA224D" w:rsidRPr="001534B3" w:rsidRDefault="00BD6E95" w:rsidP="006229E0">
            <w:pPr>
              <w:pStyle w:val="TableText0"/>
              <w:keepLines/>
              <w:jc w:val="center"/>
              <w:rPr>
                <w:rFonts w:eastAsia="Calibri" w:cs="Times New Roman"/>
                <w:bCs w:val="0"/>
                <w:iCs/>
                <w:sz w:val="19"/>
                <w:szCs w:val="19"/>
                <w:lang w:eastAsia="en-GB"/>
              </w:rPr>
            </w:pPr>
            <w:r w:rsidRPr="00BD6E95">
              <w:rPr>
                <w:iCs/>
                <w:color w:val="000000"/>
                <w:spacing w:val="53"/>
                <w:shd w:val="solid" w:color="000000" w:fill="000000"/>
                <w:fitText w:val="330" w:id="-632053750"/>
                <w14:textFill>
                  <w14:solidFill>
                    <w14:srgbClr w14:val="000000">
                      <w14:alpha w14:val="100000"/>
                    </w14:srgbClr>
                  </w14:solidFill>
                </w14:textFill>
              </w:rPr>
              <w:t>|||</w:t>
            </w:r>
            <w:r w:rsidRPr="00BD6E95">
              <w:rPr>
                <w:iCs/>
                <w:color w:val="000000"/>
                <w:spacing w:val="1"/>
                <w:shd w:val="solid" w:color="000000" w:fill="000000"/>
                <w:fitText w:val="330" w:id="-632053750"/>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r w:rsidR="00BA224D" w:rsidRPr="001534B3">
              <w:rPr>
                <w:iCs/>
              </w:rPr>
              <w:t xml:space="preserve"> + </w:t>
            </w:r>
            <w:r w:rsidRPr="00BD6E95">
              <w:rPr>
                <w:iCs/>
                <w:color w:val="000000"/>
                <w:spacing w:val="51"/>
                <w:shd w:val="solid" w:color="000000" w:fill="000000"/>
                <w:fitText w:val="324" w:id="-632053749"/>
                <w14:textFill>
                  <w14:solidFill>
                    <w14:srgbClr w14:val="000000">
                      <w14:alpha w14:val="100000"/>
                    </w14:srgbClr>
                  </w14:solidFill>
                </w14:textFill>
              </w:rPr>
              <w:t>|||</w:t>
            </w:r>
            <w:r w:rsidRPr="00BD6E95">
              <w:rPr>
                <w:iCs/>
                <w:color w:val="000000"/>
                <w:spacing w:val="1"/>
                <w:shd w:val="solid" w:color="000000" w:fill="000000"/>
                <w:fitText w:val="324" w:id="-632053749"/>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r>
      <w:tr w:rsidR="007E6C9D" w:rsidRPr="001534B3" w14:paraId="767E8959" w14:textId="77777777" w:rsidTr="008C7D15">
        <w:trPr>
          <w:trHeight w:val="20"/>
        </w:trPr>
        <w:tc>
          <w:tcPr>
            <w:tcW w:w="905" w:type="pct"/>
            <w:tcBorders>
              <w:top w:val="nil"/>
              <w:left w:val="single" w:sz="4" w:space="0" w:color="auto"/>
              <w:bottom w:val="nil"/>
              <w:right w:val="single" w:sz="4" w:space="0" w:color="auto"/>
            </w:tcBorders>
            <w:vAlign w:val="center"/>
          </w:tcPr>
          <w:p w14:paraId="73660113" w14:textId="77777777" w:rsidR="00BA224D" w:rsidRPr="001534B3" w:rsidRDefault="00BA224D" w:rsidP="006229E0">
            <w:pPr>
              <w:keepNext/>
              <w:keepLines/>
              <w:widowControl w:val="0"/>
              <w:tabs>
                <w:tab w:val="right" w:pos="2058"/>
              </w:tabs>
              <w:ind w:left="112"/>
              <w:jc w:val="left"/>
              <w:rPr>
                <w:rFonts w:ascii="Arial Narrow" w:hAnsi="Arial Narrow" w:cs="Times New Roman"/>
                <w:iCs/>
                <w:sz w:val="19"/>
                <w:szCs w:val="19"/>
                <w:lang w:eastAsia="en-GB"/>
              </w:rPr>
            </w:pPr>
            <w:r w:rsidRPr="001534B3">
              <w:rPr>
                <w:rFonts w:ascii="Arial Narrow" w:hAnsi="Arial Narrow" w:cs="Times New Roman"/>
                <w:bCs/>
                <w:iCs/>
                <w:sz w:val="19"/>
                <w:szCs w:val="19"/>
                <w:lang w:eastAsia="en-GB"/>
              </w:rPr>
              <w:t>Second-line</w:t>
            </w:r>
          </w:p>
        </w:tc>
        <w:tc>
          <w:tcPr>
            <w:tcW w:w="583" w:type="pct"/>
            <w:tcBorders>
              <w:top w:val="nil"/>
              <w:left w:val="single" w:sz="4" w:space="0" w:color="auto"/>
              <w:bottom w:val="nil"/>
              <w:right w:val="single" w:sz="4" w:space="0" w:color="auto"/>
            </w:tcBorders>
          </w:tcPr>
          <w:p w14:paraId="2B441BCE" w14:textId="36067026"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48"/>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48"/>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nil"/>
              <w:right w:val="single" w:sz="4" w:space="0" w:color="auto"/>
            </w:tcBorders>
          </w:tcPr>
          <w:p w14:paraId="6EEB88DF" w14:textId="4E647D21"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47"/>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47"/>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nil"/>
              <w:right w:val="single" w:sz="4" w:space="0" w:color="auto"/>
            </w:tcBorders>
          </w:tcPr>
          <w:p w14:paraId="5CEEC773" w14:textId="53E93C0A"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46"/>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46"/>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606" w:type="pct"/>
            <w:tcBorders>
              <w:top w:val="nil"/>
              <w:left w:val="single" w:sz="4" w:space="0" w:color="auto"/>
              <w:bottom w:val="nil"/>
              <w:right w:val="single" w:sz="4" w:space="0" w:color="auto"/>
            </w:tcBorders>
          </w:tcPr>
          <w:p w14:paraId="4F666B1B" w14:textId="62B2B360"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45"/>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45"/>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65" w:type="pct"/>
            <w:tcBorders>
              <w:top w:val="nil"/>
              <w:left w:val="single" w:sz="4" w:space="0" w:color="auto"/>
              <w:bottom w:val="nil"/>
              <w:right w:val="single" w:sz="4" w:space="0" w:color="auto"/>
            </w:tcBorders>
          </w:tcPr>
          <w:p w14:paraId="2727CCF7" w14:textId="272A1CF1"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48"/>
                <w:sz w:val="19"/>
                <w:szCs w:val="19"/>
                <w:shd w:val="solid" w:color="000000" w:fill="000000"/>
                <w:fitText w:val="306" w:id="-632053744"/>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06" w:id="-632053744"/>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nil"/>
              <w:right w:val="single" w:sz="4" w:space="0" w:color="auto"/>
            </w:tcBorders>
          </w:tcPr>
          <w:p w14:paraId="3CEEF79F" w14:textId="754A0905"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60"/>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60"/>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98" w:type="pct"/>
            <w:tcBorders>
              <w:top w:val="nil"/>
              <w:left w:val="single" w:sz="4" w:space="0" w:color="auto"/>
              <w:bottom w:val="nil"/>
              <w:right w:val="single" w:sz="4" w:space="0" w:color="auto"/>
            </w:tcBorders>
          </w:tcPr>
          <w:p w14:paraId="369E6B13" w14:textId="6194A140" w:rsidR="00BA224D" w:rsidRPr="0067147A" w:rsidRDefault="00BD6E95" w:rsidP="006229E0">
            <w:pPr>
              <w:pStyle w:val="TableText0"/>
              <w:keepLines/>
              <w:jc w:val="center"/>
              <w:rPr>
                <w:iCs/>
                <w:highlight w:val="darkGray"/>
              </w:rPr>
            </w:pPr>
            <w:r w:rsidRPr="00BD6E95">
              <w:rPr>
                <w:iCs/>
                <w:color w:val="000000"/>
                <w:spacing w:val="51"/>
                <w:shd w:val="solid" w:color="000000" w:fill="000000"/>
                <w:fitText w:val="324" w:id="-632053759"/>
                <w14:textFill>
                  <w14:solidFill>
                    <w14:srgbClr w14:val="000000">
                      <w14:alpha w14:val="100000"/>
                    </w14:srgbClr>
                  </w14:solidFill>
                </w14:textFill>
              </w:rPr>
              <w:t>|||</w:t>
            </w:r>
            <w:r w:rsidRPr="00BD6E95">
              <w:rPr>
                <w:iCs/>
                <w:color w:val="000000"/>
                <w:spacing w:val="1"/>
                <w:shd w:val="solid" w:color="000000" w:fill="000000"/>
                <w:fitText w:val="324" w:id="-632053759"/>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r>
      <w:tr w:rsidR="007E6C9D" w:rsidRPr="001534B3" w14:paraId="712BD312" w14:textId="77777777" w:rsidTr="008C7D15">
        <w:trPr>
          <w:trHeight w:val="20"/>
        </w:trPr>
        <w:tc>
          <w:tcPr>
            <w:tcW w:w="905" w:type="pct"/>
            <w:tcBorders>
              <w:top w:val="nil"/>
              <w:left w:val="single" w:sz="4" w:space="0" w:color="auto"/>
              <w:bottom w:val="nil"/>
              <w:right w:val="single" w:sz="4" w:space="0" w:color="auto"/>
            </w:tcBorders>
            <w:vAlign w:val="center"/>
          </w:tcPr>
          <w:p w14:paraId="6F68062D" w14:textId="77777777" w:rsidR="00BA224D" w:rsidRPr="001534B3" w:rsidRDefault="00BA224D" w:rsidP="006229E0">
            <w:pPr>
              <w:keepNext/>
              <w:keepLines/>
              <w:widowControl w:val="0"/>
              <w:tabs>
                <w:tab w:val="right" w:pos="2058"/>
              </w:tabs>
              <w:ind w:left="112"/>
              <w:jc w:val="left"/>
              <w:rPr>
                <w:rFonts w:ascii="Arial Narrow" w:hAnsi="Arial Narrow" w:cs="Times New Roman"/>
                <w:iCs/>
                <w:sz w:val="19"/>
                <w:szCs w:val="19"/>
                <w:lang w:eastAsia="en-GB"/>
              </w:rPr>
            </w:pPr>
            <w:r w:rsidRPr="001534B3">
              <w:rPr>
                <w:rFonts w:ascii="Arial Narrow" w:hAnsi="Arial Narrow" w:cs="Times New Roman"/>
                <w:bCs/>
                <w:iCs/>
                <w:sz w:val="19"/>
                <w:szCs w:val="19"/>
                <w:lang w:eastAsia="en-GB"/>
              </w:rPr>
              <w:t>Third-line</w:t>
            </w:r>
          </w:p>
        </w:tc>
        <w:tc>
          <w:tcPr>
            <w:tcW w:w="583" w:type="pct"/>
            <w:tcBorders>
              <w:top w:val="nil"/>
              <w:left w:val="single" w:sz="4" w:space="0" w:color="auto"/>
              <w:bottom w:val="nil"/>
              <w:right w:val="single" w:sz="4" w:space="0" w:color="auto"/>
            </w:tcBorders>
          </w:tcPr>
          <w:p w14:paraId="04C1ED74" w14:textId="45EE8057"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3"/>
                <w:shd w:val="solid" w:color="000000" w:fill="000000"/>
                <w:fitText w:val="330" w:id="-632053758"/>
                <w14:textFill>
                  <w14:solidFill>
                    <w14:srgbClr w14:val="000000">
                      <w14:alpha w14:val="100000"/>
                    </w14:srgbClr>
                  </w14:solidFill>
                </w14:textFill>
              </w:rPr>
              <w:t>|||</w:t>
            </w:r>
            <w:r w:rsidRPr="00BD6E95">
              <w:rPr>
                <w:iCs/>
                <w:color w:val="000000"/>
                <w:spacing w:val="1"/>
                <w:shd w:val="solid" w:color="000000" w:fill="000000"/>
                <w:fitText w:val="330" w:id="-632053758"/>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nil"/>
              <w:right w:val="single" w:sz="4" w:space="0" w:color="auto"/>
            </w:tcBorders>
          </w:tcPr>
          <w:p w14:paraId="1EBF2D6B" w14:textId="4566B9FF"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3"/>
                <w:shd w:val="solid" w:color="000000" w:fill="000000"/>
                <w:fitText w:val="330" w:id="-632053757"/>
                <w14:textFill>
                  <w14:solidFill>
                    <w14:srgbClr w14:val="000000">
                      <w14:alpha w14:val="100000"/>
                    </w14:srgbClr>
                  </w14:solidFill>
                </w14:textFill>
              </w:rPr>
              <w:t>|||</w:t>
            </w:r>
            <w:r w:rsidRPr="00BD6E95">
              <w:rPr>
                <w:iCs/>
                <w:color w:val="000000"/>
                <w:spacing w:val="1"/>
                <w:shd w:val="solid" w:color="000000" w:fill="000000"/>
                <w:fitText w:val="330" w:id="-632053757"/>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nil"/>
              <w:right w:val="single" w:sz="4" w:space="0" w:color="auto"/>
            </w:tcBorders>
          </w:tcPr>
          <w:p w14:paraId="273E3724" w14:textId="0103564B"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3"/>
                <w:shd w:val="solid" w:color="000000" w:fill="000000"/>
                <w:fitText w:val="330" w:id="-632053756"/>
                <w14:textFill>
                  <w14:solidFill>
                    <w14:srgbClr w14:val="000000">
                      <w14:alpha w14:val="100000"/>
                    </w14:srgbClr>
                  </w14:solidFill>
                </w14:textFill>
              </w:rPr>
              <w:t>|||</w:t>
            </w:r>
            <w:r w:rsidRPr="00BD6E95">
              <w:rPr>
                <w:iCs/>
                <w:color w:val="000000"/>
                <w:spacing w:val="1"/>
                <w:shd w:val="solid" w:color="000000" w:fill="000000"/>
                <w:fitText w:val="330" w:id="-632053756"/>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606" w:type="pct"/>
            <w:tcBorders>
              <w:top w:val="nil"/>
              <w:left w:val="single" w:sz="4" w:space="0" w:color="auto"/>
              <w:bottom w:val="nil"/>
              <w:right w:val="single" w:sz="4" w:space="0" w:color="auto"/>
            </w:tcBorders>
          </w:tcPr>
          <w:p w14:paraId="18D62EAE" w14:textId="2923145F"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3"/>
                <w:shd w:val="solid" w:color="000000" w:fill="000000"/>
                <w:fitText w:val="330" w:id="-632053755"/>
                <w14:textFill>
                  <w14:solidFill>
                    <w14:srgbClr w14:val="000000">
                      <w14:alpha w14:val="100000"/>
                    </w14:srgbClr>
                  </w14:solidFill>
                </w14:textFill>
              </w:rPr>
              <w:t>|||</w:t>
            </w:r>
            <w:r w:rsidRPr="00BD6E95">
              <w:rPr>
                <w:iCs/>
                <w:color w:val="000000"/>
                <w:spacing w:val="1"/>
                <w:shd w:val="solid" w:color="000000" w:fill="000000"/>
                <w:fitText w:val="330" w:id="-632053755"/>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65" w:type="pct"/>
            <w:tcBorders>
              <w:top w:val="nil"/>
              <w:left w:val="single" w:sz="4" w:space="0" w:color="auto"/>
              <w:bottom w:val="nil"/>
              <w:right w:val="single" w:sz="4" w:space="0" w:color="auto"/>
            </w:tcBorders>
          </w:tcPr>
          <w:p w14:paraId="6BC99171" w14:textId="2D4C896B"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1"/>
                <w:shd w:val="solid" w:color="000000" w:fill="000000"/>
                <w:fitText w:val="324" w:id="-632053754"/>
                <w14:textFill>
                  <w14:solidFill>
                    <w14:srgbClr w14:val="000000">
                      <w14:alpha w14:val="100000"/>
                    </w14:srgbClr>
                  </w14:solidFill>
                </w14:textFill>
              </w:rPr>
              <w:t>|||</w:t>
            </w:r>
            <w:r w:rsidRPr="00BD6E95">
              <w:rPr>
                <w:iCs/>
                <w:color w:val="000000"/>
                <w:spacing w:val="1"/>
                <w:shd w:val="solid" w:color="000000" w:fill="000000"/>
                <w:fitText w:val="324" w:id="-632053754"/>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nil"/>
              <w:right w:val="single" w:sz="4" w:space="0" w:color="auto"/>
            </w:tcBorders>
          </w:tcPr>
          <w:p w14:paraId="2EDD79CA" w14:textId="6C4C4C44"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3"/>
                <w:shd w:val="solid" w:color="000000" w:fill="000000"/>
                <w:fitText w:val="330" w:id="-632053753"/>
                <w14:textFill>
                  <w14:solidFill>
                    <w14:srgbClr w14:val="000000">
                      <w14:alpha w14:val="100000"/>
                    </w14:srgbClr>
                  </w14:solidFill>
                </w14:textFill>
              </w:rPr>
              <w:t>|||</w:t>
            </w:r>
            <w:r w:rsidRPr="00BD6E95">
              <w:rPr>
                <w:iCs/>
                <w:color w:val="000000"/>
                <w:spacing w:val="1"/>
                <w:shd w:val="solid" w:color="000000" w:fill="000000"/>
                <w:fitText w:val="330" w:id="-632053753"/>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98" w:type="pct"/>
            <w:tcBorders>
              <w:top w:val="nil"/>
              <w:left w:val="single" w:sz="4" w:space="0" w:color="auto"/>
              <w:bottom w:val="nil"/>
              <w:right w:val="single" w:sz="4" w:space="0" w:color="auto"/>
            </w:tcBorders>
          </w:tcPr>
          <w:p w14:paraId="0195F6DB" w14:textId="5F444217" w:rsidR="00BA224D" w:rsidRPr="0067147A" w:rsidRDefault="00BD6E95" w:rsidP="006229E0">
            <w:pPr>
              <w:pStyle w:val="TableText0"/>
              <w:keepLines/>
              <w:jc w:val="center"/>
              <w:rPr>
                <w:iCs/>
                <w:highlight w:val="darkGray"/>
              </w:rPr>
            </w:pPr>
            <w:r w:rsidRPr="00BD6E95">
              <w:rPr>
                <w:iCs/>
                <w:color w:val="000000"/>
                <w:spacing w:val="51"/>
                <w:shd w:val="solid" w:color="000000" w:fill="000000"/>
                <w:fitText w:val="324" w:id="-632053752"/>
                <w14:textFill>
                  <w14:solidFill>
                    <w14:srgbClr w14:val="000000">
                      <w14:alpha w14:val="100000"/>
                    </w14:srgbClr>
                  </w14:solidFill>
                </w14:textFill>
              </w:rPr>
              <w:t>|||</w:t>
            </w:r>
            <w:r w:rsidRPr="00BD6E95">
              <w:rPr>
                <w:iCs/>
                <w:color w:val="000000"/>
                <w:spacing w:val="1"/>
                <w:shd w:val="solid" w:color="000000" w:fill="000000"/>
                <w:fitText w:val="324" w:id="-632053752"/>
                <w14:textFill>
                  <w14:solidFill>
                    <w14:srgbClr w14:val="000000">
                      <w14:alpha w14:val="100000"/>
                    </w14:srgbClr>
                  </w14:solidFill>
                </w14:textFill>
              </w:rPr>
              <w:t>|</w:t>
            </w:r>
            <w:r w:rsidR="00D4075B" w:rsidRPr="00D4075B">
              <w:rPr>
                <w:rFonts w:eastAsia="Calibri" w:cs="Times New Roman"/>
                <w:bCs w:val="0"/>
                <w:iCs/>
                <w:sz w:val="19"/>
                <w:szCs w:val="19"/>
                <w:vertAlign w:val="superscript"/>
                <w:lang w:eastAsia="en-GB"/>
              </w:rPr>
              <w:t>1</w:t>
            </w:r>
          </w:p>
        </w:tc>
      </w:tr>
      <w:tr w:rsidR="007E6C9D" w:rsidRPr="001534B3" w14:paraId="251919E4" w14:textId="77777777" w:rsidTr="008C7D15">
        <w:trPr>
          <w:trHeight w:val="20"/>
        </w:trPr>
        <w:tc>
          <w:tcPr>
            <w:tcW w:w="905" w:type="pct"/>
            <w:tcBorders>
              <w:top w:val="nil"/>
              <w:left w:val="single" w:sz="4" w:space="0" w:color="auto"/>
              <w:bottom w:val="single" w:sz="4" w:space="0" w:color="auto"/>
              <w:right w:val="single" w:sz="4" w:space="0" w:color="auto"/>
            </w:tcBorders>
            <w:vAlign w:val="center"/>
          </w:tcPr>
          <w:p w14:paraId="394D5D7D" w14:textId="6D5DF58B" w:rsidR="00BA224D" w:rsidRPr="001534B3" w:rsidRDefault="00BA224D" w:rsidP="006229E0">
            <w:pPr>
              <w:keepNext/>
              <w:keepLines/>
              <w:widowControl w:val="0"/>
              <w:ind w:left="112"/>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GF (patient-year)</w:t>
            </w:r>
          </w:p>
        </w:tc>
        <w:tc>
          <w:tcPr>
            <w:tcW w:w="583" w:type="pct"/>
            <w:tcBorders>
              <w:top w:val="nil"/>
              <w:left w:val="single" w:sz="4" w:space="0" w:color="auto"/>
              <w:bottom w:val="single" w:sz="4" w:space="0" w:color="auto"/>
              <w:right w:val="single" w:sz="4" w:space="0" w:color="auto"/>
            </w:tcBorders>
          </w:tcPr>
          <w:p w14:paraId="680864D7" w14:textId="550BB496"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1"/>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1"/>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single" w:sz="4" w:space="0" w:color="auto"/>
              <w:right w:val="single" w:sz="4" w:space="0" w:color="auto"/>
            </w:tcBorders>
          </w:tcPr>
          <w:p w14:paraId="2511838B" w14:textId="1ED4A018"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50"/>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50"/>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single" w:sz="4" w:space="0" w:color="auto"/>
              <w:right w:val="single" w:sz="4" w:space="0" w:color="auto"/>
            </w:tcBorders>
          </w:tcPr>
          <w:p w14:paraId="2BF03381" w14:textId="16F85162"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49"/>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49"/>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606" w:type="pct"/>
            <w:tcBorders>
              <w:top w:val="nil"/>
              <w:left w:val="single" w:sz="4" w:space="0" w:color="auto"/>
              <w:bottom w:val="single" w:sz="4" w:space="0" w:color="auto"/>
              <w:right w:val="single" w:sz="4" w:space="0" w:color="auto"/>
            </w:tcBorders>
          </w:tcPr>
          <w:p w14:paraId="38F4A4B2" w14:textId="7D68585F"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748"/>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748"/>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65" w:type="pct"/>
            <w:tcBorders>
              <w:top w:val="nil"/>
              <w:left w:val="single" w:sz="4" w:space="0" w:color="auto"/>
              <w:bottom w:val="single" w:sz="4" w:space="0" w:color="auto"/>
              <w:right w:val="single" w:sz="4" w:space="0" w:color="auto"/>
            </w:tcBorders>
          </w:tcPr>
          <w:p w14:paraId="1C5F096C" w14:textId="239A4351"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48"/>
                <w:sz w:val="19"/>
                <w:szCs w:val="19"/>
                <w:shd w:val="solid" w:color="000000" w:fill="000000"/>
                <w:fitText w:val="306" w:id="-632053747"/>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06" w:id="-632053747"/>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single" w:sz="4" w:space="0" w:color="auto"/>
              <w:right w:val="single" w:sz="4" w:space="0" w:color="auto"/>
            </w:tcBorders>
          </w:tcPr>
          <w:p w14:paraId="04F93606" w14:textId="723D8A78"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504"/>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4"/>
                <w:lang w:eastAsia="en-GB"/>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c>
          <w:tcPr>
            <w:tcW w:w="598" w:type="pct"/>
            <w:tcBorders>
              <w:top w:val="nil"/>
              <w:left w:val="single" w:sz="4" w:space="0" w:color="auto"/>
              <w:bottom w:val="single" w:sz="4" w:space="0" w:color="auto"/>
              <w:right w:val="single" w:sz="4" w:space="0" w:color="auto"/>
            </w:tcBorders>
          </w:tcPr>
          <w:p w14:paraId="679A4A16" w14:textId="31AE2FCC" w:rsidR="00BA224D" w:rsidRPr="0067147A"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1"/>
                <w:shd w:val="solid" w:color="000000" w:fill="000000"/>
                <w:fitText w:val="324" w:id="-632053503"/>
                <w14:textFill>
                  <w14:solidFill>
                    <w14:srgbClr w14:val="000000">
                      <w14:alpha w14:val="100000"/>
                    </w14:srgbClr>
                  </w14:solidFill>
                </w14:textFill>
              </w:rPr>
              <w:t>|||</w:t>
            </w:r>
            <w:r w:rsidRPr="00BD6E95">
              <w:rPr>
                <w:iCs/>
                <w:color w:val="000000"/>
                <w:spacing w:val="1"/>
                <w:shd w:val="solid" w:color="000000" w:fill="000000"/>
                <w:fitText w:val="324" w:id="-632053503"/>
                <w14:textFill>
                  <w14:solidFill>
                    <w14:srgbClr w14:val="000000">
                      <w14:alpha w14:val="100000"/>
                    </w14:srgbClr>
                  </w14:solidFill>
                </w14:textFill>
              </w:rPr>
              <w:t>|</w:t>
            </w:r>
            <w:r w:rsidR="00A37B36" w:rsidRPr="00A37B36">
              <w:rPr>
                <w:rFonts w:eastAsia="Calibri" w:cs="Times New Roman"/>
                <w:bCs w:val="0"/>
                <w:iCs/>
                <w:sz w:val="19"/>
                <w:szCs w:val="19"/>
                <w:vertAlign w:val="superscript"/>
                <w:lang w:eastAsia="en-GB"/>
              </w:rPr>
              <w:t>2</w:t>
            </w:r>
          </w:p>
        </w:tc>
      </w:tr>
      <w:tr w:rsidR="00BA224D" w:rsidRPr="001534B3" w14:paraId="4278A3C3" w14:textId="77777777" w:rsidTr="00997B48">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F0308E2" w14:textId="187F7953" w:rsidR="00BA224D" w:rsidRPr="001534B3" w:rsidRDefault="00BA224D" w:rsidP="006229E0">
            <w:pPr>
              <w:pStyle w:val="TableText0"/>
              <w:keepLines/>
              <w:rPr>
                <w:rFonts w:eastAsia="Calibri" w:cs="Times New Roman"/>
                <w:bCs w:val="0"/>
                <w:iCs/>
                <w:sz w:val="19"/>
                <w:szCs w:val="19"/>
                <w:lang w:eastAsia="en-GB"/>
              </w:rPr>
            </w:pPr>
            <w:r w:rsidRPr="001534B3">
              <w:rPr>
                <w:rFonts w:cs="Times New Roman"/>
                <w:b/>
                <w:iCs/>
                <w:sz w:val="19"/>
                <w:szCs w:val="19"/>
                <w:lang w:eastAsia="en-GB"/>
              </w:rPr>
              <w:t xml:space="preserve">Total </w:t>
            </w:r>
            <w:r w:rsidR="006747DA" w:rsidRPr="001534B3">
              <w:rPr>
                <w:rFonts w:cs="Times New Roman"/>
                <w:b/>
                <w:iCs/>
                <w:sz w:val="19"/>
                <w:szCs w:val="19"/>
                <w:lang w:eastAsia="en-GB"/>
              </w:rPr>
              <w:t>scripts dispensed</w:t>
            </w:r>
          </w:p>
        </w:tc>
      </w:tr>
      <w:tr w:rsidR="007E6C9D" w:rsidRPr="001534B3" w14:paraId="63E04198" w14:textId="77777777" w:rsidTr="008C7D15">
        <w:trPr>
          <w:trHeight w:val="20"/>
        </w:trPr>
        <w:tc>
          <w:tcPr>
            <w:tcW w:w="905" w:type="pct"/>
            <w:tcBorders>
              <w:top w:val="single" w:sz="4" w:space="0" w:color="auto"/>
              <w:left w:val="single" w:sz="4" w:space="0" w:color="auto"/>
              <w:bottom w:val="nil"/>
              <w:right w:val="single" w:sz="4" w:space="0" w:color="auto"/>
            </w:tcBorders>
            <w:vAlign w:val="center"/>
          </w:tcPr>
          <w:p w14:paraId="292F4BA1" w14:textId="4B3C3CE1" w:rsidR="00BA224D" w:rsidRPr="001534B3" w:rsidRDefault="00BA224D" w:rsidP="006229E0">
            <w:pPr>
              <w:keepNext/>
              <w:keepLines/>
              <w:widowControl w:val="0"/>
              <w:jc w:val="left"/>
              <w:rPr>
                <w:rFonts w:ascii="Arial Narrow" w:hAnsi="Arial Narrow" w:cs="Times New Roman"/>
                <w:bCs/>
                <w:iCs/>
                <w:sz w:val="19"/>
                <w:szCs w:val="19"/>
                <w:lang w:eastAsia="en-GB"/>
              </w:rPr>
            </w:pPr>
            <w:r w:rsidRPr="001534B3">
              <w:rPr>
                <w:rFonts w:ascii="Arial Narrow" w:hAnsi="Arial Narrow" w:cs="Times New Roman"/>
                <w:bCs/>
                <w:iCs/>
                <w:sz w:val="19"/>
                <w:szCs w:val="19"/>
                <w:lang w:eastAsia="en-GB"/>
              </w:rPr>
              <w:t xml:space="preserve">Glofitamab, </w:t>
            </w:r>
            <w:r w:rsidR="00FC5BF2" w:rsidRPr="001534B3">
              <w:rPr>
                <w:rFonts w:ascii="Arial Narrow" w:hAnsi="Arial Narrow" w:cs="Times New Roman"/>
                <w:bCs/>
                <w:iCs/>
                <w:sz w:val="19"/>
                <w:szCs w:val="19"/>
                <w:lang w:eastAsia="en-GB"/>
              </w:rPr>
              <w:t xml:space="preserve">PBS/RPBS </w:t>
            </w:r>
            <w:r w:rsidRPr="001534B3">
              <w:rPr>
                <w:rFonts w:ascii="Arial Narrow" w:hAnsi="Arial Narrow" w:cs="Times New Roman"/>
                <w:bCs/>
                <w:iCs/>
                <w:sz w:val="19"/>
                <w:szCs w:val="19"/>
                <w:lang w:eastAsia="en-GB"/>
              </w:rPr>
              <w:t>scripts</w:t>
            </w:r>
          </w:p>
        </w:tc>
        <w:tc>
          <w:tcPr>
            <w:tcW w:w="583" w:type="pct"/>
            <w:tcBorders>
              <w:top w:val="single" w:sz="4" w:space="0" w:color="auto"/>
              <w:left w:val="single" w:sz="4" w:space="0" w:color="auto"/>
              <w:bottom w:val="nil"/>
              <w:right w:val="single" w:sz="4" w:space="0" w:color="auto"/>
            </w:tcBorders>
          </w:tcPr>
          <w:p w14:paraId="16752686" w14:textId="3D0D2A8C"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502"/>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2"/>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581" w:type="pct"/>
            <w:tcBorders>
              <w:top w:val="single" w:sz="4" w:space="0" w:color="auto"/>
              <w:left w:val="single" w:sz="4" w:space="0" w:color="auto"/>
              <w:bottom w:val="nil"/>
              <w:right w:val="single" w:sz="4" w:space="0" w:color="auto"/>
            </w:tcBorders>
          </w:tcPr>
          <w:p w14:paraId="27539DA6" w14:textId="57AFA857"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501"/>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1"/>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581" w:type="pct"/>
            <w:tcBorders>
              <w:top w:val="single" w:sz="4" w:space="0" w:color="auto"/>
              <w:left w:val="single" w:sz="4" w:space="0" w:color="auto"/>
              <w:bottom w:val="nil"/>
              <w:right w:val="single" w:sz="4" w:space="0" w:color="auto"/>
            </w:tcBorders>
          </w:tcPr>
          <w:p w14:paraId="4DD3C145" w14:textId="4112F0F8"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500"/>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0"/>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606" w:type="pct"/>
            <w:tcBorders>
              <w:top w:val="single" w:sz="4" w:space="0" w:color="auto"/>
              <w:left w:val="single" w:sz="4" w:space="0" w:color="auto"/>
              <w:bottom w:val="nil"/>
              <w:right w:val="single" w:sz="4" w:space="0" w:color="auto"/>
            </w:tcBorders>
          </w:tcPr>
          <w:p w14:paraId="4FAA5759" w14:textId="23351BA0"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499"/>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9"/>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565" w:type="pct"/>
            <w:tcBorders>
              <w:top w:val="single" w:sz="4" w:space="0" w:color="auto"/>
              <w:left w:val="single" w:sz="4" w:space="0" w:color="auto"/>
              <w:bottom w:val="nil"/>
              <w:right w:val="single" w:sz="4" w:space="0" w:color="auto"/>
            </w:tcBorders>
          </w:tcPr>
          <w:p w14:paraId="54E5BEA8" w14:textId="074B1C38"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48"/>
                <w:sz w:val="19"/>
                <w:szCs w:val="19"/>
                <w:shd w:val="solid" w:color="000000" w:fill="000000"/>
                <w:fitText w:val="306" w:id="-632053498"/>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06" w:id="-632053498"/>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581" w:type="pct"/>
            <w:tcBorders>
              <w:top w:val="single" w:sz="4" w:space="0" w:color="auto"/>
              <w:left w:val="single" w:sz="4" w:space="0" w:color="auto"/>
              <w:bottom w:val="nil"/>
              <w:right w:val="single" w:sz="4" w:space="0" w:color="auto"/>
            </w:tcBorders>
          </w:tcPr>
          <w:p w14:paraId="0CD01E42" w14:textId="67DC215F"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497"/>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7"/>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598" w:type="pct"/>
            <w:tcBorders>
              <w:top w:val="single" w:sz="4" w:space="0" w:color="auto"/>
              <w:left w:val="single" w:sz="4" w:space="0" w:color="auto"/>
              <w:bottom w:val="nil"/>
              <w:right w:val="single" w:sz="4" w:space="0" w:color="auto"/>
            </w:tcBorders>
            <w:vAlign w:val="center"/>
          </w:tcPr>
          <w:p w14:paraId="27257AAF" w14:textId="5591F5BF"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cs="Arial"/>
                <w:iCs/>
                <w:color w:val="000000"/>
                <w:spacing w:val="50"/>
                <w:sz w:val="19"/>
                <w:szCs w:val="19"/>
                <w:shd w:val="solid" w:color="000000" w:fill="000000"/>
                <w:fitText w:val="312" w:id="-632053496"/>
                <w14:textFill>
                  <w14:solidFill>
                    <w14:srgbClr w14:val="000000">
                      <w14:alpha w14:val="100000"/>
                    </w14:srgbClr>
                  </w14:solidFill>
                </w14:textFill>
              </w:rPr>
              <w:t>|||</w:t>
            </w:r>
            <w:r w:rsidRPr="00BD6E95">
              <w:rPr>
                <w:rFonts w:cs="Arial"/>
                <w:iCs/>
                <w:color w:val="000000"/>
                <w:spacing w:val="1"/>
                <w:sz w:val="19"/>
                <w:szCs w:val="19"/>
                <w:shd w:val="solid" w:color="000000" w:fill="000000"/>
                <w:fitText w:val="312" w:id="-632053496"/>
                <w14:textFill>
                  <w14:solidFill>
                    <w14:srgbClr w14:val="000000">
                      <w14:alpha w14:val="100000"/>
                    </w14:srgbClr>
                  </w14:solidFill>
                </w14:textFill>
              </w:rPr>
              <w:t>|</w:t>
            </w:r>
            <w:r w:rsidR="00DF4175" w:rsidRPr="00DF4175">
              <w:rPr>
                <w:rFonts w:cs="Arial"/>
                <w:iCs/>
                <w:color w:val="000000"/>
                <w:sz w:val="19"/>
                <w:szCs w:val="19"/>
                <w:vertAlign w:val="superscript"/>
              </w:rPr>
              <w:t>4</w:t>
            </w:r>
          </w:p>
        </w:tc>
      </w:tr>
      <w:tr w:rsidR="007E6C9D" w:rsidRPr="001534B3" w14:paraId="462DD58E" w14:textId="77777777" w:rsidTr="008C7D15">
        <w:trPr>
          <w:trHeight w:val="20"/>
        </w:trPr>
        <w:tc>
          <w:tcPr>
            <w:tcW w:w="905" w:type="pct"/>
            <w:tcBorders>
              <w:top w:val="nil"/>
              <w:left w:val="single" w:sz="4" w:space="0" w:color="auto"/>
              <w:bottom w:val="nil"/>
              <w:right w:val="single" w:sz="4" w:space="0" w:color="auto"/>
            </w:tcBorders>
            <w:vAlign w:val="center"/>
          </w:tcPr>
          <w:p w14:paraId="2D416300" w14:textId="77777777" w:rsidR="00BA224D" w:rsidRPr="001534B3" w:rsidRDefault="00BA224D" w:rsidP="006229E0">
            <w:pPr>
              <w:keepNext/>
              <w:keepLines/>
              <w:widowControl w:val="0"/>
              <w:ind w:left="112"/>
              <w:jc w:val="left"/>
              <w:rPr>
                <w:rFonts w:ascii="Arial Narrow" w:hAnsi="Arial Narrow" w:cs="Times New Roman"/>
                <w:bCs/>
                <w:iCs/>
                <w:sz w:val="19"/>
                <w:szCs w:val="19"/>
                <w:lang w:eastAsia="en-GB"/>
              </w:rPr>
            </w:pPr>
            <w:r w:rsidRPr="001534B3">
              <w:rPr>
                <w:rFonts w:ascii="Arial Narrow" w:hAnsi="Arial Narrow" w:cs="Times New Roman"/>
                <w:bCs/>
                <w:iCs/>
                <w:sz w:val="19"/>
                <w:szCs w:val="19"/>
                <w:lang w:eastAsia="en-GB"/>
              </w:rPr>
              <w:t>PBS</w:t>
            </w:r>
          </w:p>
        </w:tc>
        <w:tc>
          <w:tcPr>
            <w:tcW w:w="583" w:type="pct"/>
            <w:tcBorders>
              <w:top w:val="nil"/>
              <w:left w:val="single" w:sz="4" w:space="0" w:color="auto"/>
              <w:bottom w:val="nil"/>
              <w:right w:val="single" w:sz="4" w:space="0" w:color="auto"/>
            </w:tcBorders>
            <w:vAlign w:val="center"/>
          </w:tcPr>
          <w:p w14:paraId="407FB75D" w14:textId="6454DF6C"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495"/>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5"/>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581" w:type="pct"/>
            <w:tcBorders>
              <w:top w:val="nil"/>
              <w:left w:val="single" w:sz="4" w:space="0" w:color="auto"/>
              <w:bottom w:val="nil"/>
              <w:right w:val="single" w:sz="4" w:space="0" w:color="auto"/>
            </w:tcBorders>
            <w:vAlign w:val="center"/>
          </w:tcPr>
          <w:p w14:paraId="7EAA45BF" w14:textId="22490231"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494"/>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4"/>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581" w:type="pct"/>
            <w:tcBorders>
              <w:top w:val="nil"/>
              <w:left w:val="single" w:sz="4" w:space="0" w:color="auto"/>
              <w:bottom w:val="nil"/>
              <w:right w:val="single" w:sz="4" w:space="0" w:color="auto"/>
            </w:tcBorders>
            <w:vAlign w:val="center"/>
          </w:tcPr>
          <w:p w14:paraId="65429DDB" w14:textId="308E4EDB"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493"/>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3"/>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606" w:type="pct"/>
            <w:tcBorders>
              <w:top w:val="nil"/>
              <w:left w:val="single" w:sz="4" w:space="0" w:color="auto"/>
              <w:bottom w:val="nil"/>
              <w:right w:val="single" w:sz="4" w:space="0" w:color="auto"/>
            </w:tcBorders>
            <w:vAlign w:val="center"/>
          </w:tcPr>
          <w:p w14:paraId="47AEC2EF" w14:textId="0249656A"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492"/>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2"/>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565" w:type="pct"/>
            <w:tcBorders>
              <w:top w:val="nil"/>
              <w:left w:val="single" w:sz="4" w:space="0" w:color="auto"/>
              <w:bottom w:val="nil"/>
              <w:right w:val="single" w:sz="4" w:space="0" w:color="auto"/>
            </w:tcBorders>
            <w:vAlign w:val="center"/>
          </w:tcPr>
          <w:p w14:paraId="167925A4" w14:textId="755112E3"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48"/>
                <w:sz w:val="19"/>
                <w:szCs w:val="19"/>
                <w:shd w:val="solid" w:color="000000" w:fill="000000"/>
                <w:fitText w:val="306" w:id="-632053491"/>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06" w:id="-632053491"/>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581" w:type="pct"/>
            <w:tcBorders>
              <w:top w:val="nil"/>
              <w:left w:val="single" w:sz="4" w:space="0" w:color="auto"/>
              <w:bottom w:val="nil"/>
              <w:right w:val="single" w:sz="4" w:space="0" w:color="auto"/>
            </w:tcBorders>
            <w:vAlign w:val="center"/>
          </w:tcPr>
          <w:p w14:paraId="40A5BDC0" w14:textId="541ACEC8"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490"/>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0"/>
                <w:lang w:eastAsia="en-GB"/>
                <w14:textFill>
                  <w14:solidFill>
                    <w14:srgbClr w14:val="000000">
                      <w14:alpha w14:val="100000"/>
                    </w14:srgbClr>
                  </w14:solidFill>
                </w14:textFill>
              </w:rPr>
              <w:t>|</w:t>
            </w:r>
            <w:r w:rsidR="009346C6" w:rsidRPr="009346C6">
              <w:rPr>
                <w:rFonts w:eastAsia="Calibri" w:cs="Times New Roman"/>
                <w:bCs w:val="0"/>
                <w:iCs/>
                <w:sz w:val="19"/>
                <w:szCs w:val="19"/>
                <w:vertAlign w:val="superscript"/>
                <w:lang w:eastAsia="en-GB"/>
              </w:rPr>
              <w:t>3</w:t>
            </w:r>
          </w:p>
        </w:tc>
        <w:tc>
          <w:tcPr>
            <w:tcW w:w="598" w:type="pct"/>
            <w:tcBorders>
              <w:top w:val="nil"/>
              <w:left w:val="single" w:sz="4" w:space="0" w:color="auto"/>
              <w:bottom w:val="nil"/>
              <w:right w:val="single" w:sz="4" w:space="0" w:color="auto"/>
            </w:tcBorders>
            <w:vAlign w:val="center"/>
          </w:tcPr>
          <w:p w14:paraId="316D38EE" w14:textId="71CB2D7B" w:rsidR="00BA224D" w:rsidRPr="00247839" w:rsidRDefault="00BD6E95" w:rsidP="006229E0">
            <w:pPr>
              <w:pStyle w:val="TableText0"/>
              <w:keepLines/>
              <w:jc w:val="center"/>
              <w:rPr>
                <w:rFonts w:cs="Arial"/>
                <w:iCs/>
                <w:color w:val="000000"/>
                <w:sz w:val="19"/>
                <w:szCs w:val="19"/>
                <w:highlight w:val="darkGray"/>
              </w:rPr>
            </w:pPr>
            <w:r w:rsidRPr="00BD6E95">
              <w:rPr>
                <w:rFonts w:cs="Arial"/>
                <w:iCs/>
                <w:color w:val="000000"/>
                <w:spacing w:val="50"/>
                <w:sz w:val="19"/>
                <w:szCs w:val="19"/>
                <w:shd w:val="solid" w:color="000000" w:fill="000000"/>
                <w:fitText w:val="312" w:id="-632053489"/>
                <w14:textFill>
                  <w14:solidFill>
                    <w14:srgbClr w14:val="000000">
                      <w14:alpha w14:val="100000"/>
                    </w14:srgbClr>
                  </w14:solidFill>
                </w14:textFill>
              </w:rPr>
              <w:t>|||</w:t>
            </w:r>
            <w:r w:rsidRPr="00BD6E95">
              <w:rPr>
                <w:rFonts w:cs="Arial"/>
                <w:iCs/>
                <w:color w:val="000000"/>
                <w:spacing w:val="1"/>
                <w:sz w:val="19"/>
                <w:szCs w:val="19"/>
                <w:shd w:val="solid" w:color="000000" w:fill="000000"/>
                <w:fitText w:val="312" w:id="-632053489"/>
                <w14:textFill>
                  <w14:solidFill>
                    <w14:srgbClr w14:val="000000">
                      <w14:alpha w14:val="100000"/>
                    </w14:srgbClr>
                  </w14:solidFill>
                </w14:textFill>
              </w:rPr>
              <w:t>|</w:t>
            </w:r>
            <w:r w:rsidR="00DF4175" w:rsidRPr="00DF4175">
              <w:rPr>
                <w:rFonts w:cs="Arial"/>
                <w:iCs/>
                <w:color w:val="000000"/>
                <w:sz w:val="19"/>
                <w:szCs w:val="19"/>
                <w:vertAlign w:val="superscript"/>
              </w:rPr>
              <w:t>4</w:t>
            </w:r>
          </w:p>
        </w:tc>
      </w:tr>
      <w:tr w:rsidR="007E6C9D" w:rsidRPr="001534B3" w14:paraId="6819BB7C" w14:textId="77777777" w:rsidTr="004939E9">
        <w:trPr>
          <w:trHeight w:val="20"/>
        </w:trPr>
        <w:tc>
          <w:tcPr>
            <w:tcW w:w="905" w:type="pct"/>
            <w:tcBorders>
              <w:top w:val="nil"/>
              <w:left w:val="single" w:sz="4" w:space="0" w:color="auto"/>
              <w:bottom w:val="single" w:sz="4" w:space="0" w:color="auto"/>
              <w:right w:val="single" w:sz="4" w:space="0" w:color="auto"/>
            </w:tcBorders>
            <w:vAlign w:val="center"/>
          </w:tcPr>
          <w:p w14:paraId="67669348" w14:textId="77777777" w:rsidR="00BA224D" w:rsidRPr="001534B3" w:rsidRDefault="00BA224D" w:rsidP="006229E0">
            <w:pPr>
              <w:keepNext/>
              <w:keepLines/>
              <w:widowControl w:val="0"/>
              <w:ind w:left="112"/>
              <w:jc w:val="left"/>
              <w:rPr>
                <w:rFonts w:ascii="Arial Narrow" w:hAnsi="Arial Narrow" w:cs="Times New Roman"/>
                <w:bCs/>
                <w:iCs/>
                <w:sz w:val="19"/>
                <w:szCs w:val="19"/>
                <w:lang w:eastAsia="en-GB"/>
              </w:rPr>
            </w:pPr>
            <w:r w:rsidRPr="001534B3">
              <w:rPr>
                <w:rFonts w:ascii="Arial Narrow" w:hAnsi="Arial Narrow" w:cs="Times New Roman"/>
                <w:bCs/>
                <w:iCs/>
                <w:sz w:val="19"/>
                <w:szCs w:val="19"/>
                <w:lang w:eastAsia="en-GB"/>
              </w:rPr>
              <w:t>RPBS</w:t>
            </w:r>
          </w:p>
        </w:tc>
        <w:tc>
          <w:tcPr>
            <w:tcW w:w="583" w:type="pct"/>
            <w:tcBorders>
              <w:top w:val="nil"/>
              <w:left w:val="single" w:sz="4" w:space="0" w:color="auto"/>
              <w:bottom w:val="single" w:sz="4" w:space="0" w:color="auto"/>
              <w:right w:val="single" w:sz="4" w:space="0" w:color="auto"/>
            </w:tcBorders>
            <w:vAlign w:val="center"/>
          </w:tcPr>
          <w:p w14:paraId="652D242B" w14:textId="15D28AA0"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488"/>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88"/>
                <w:lang w:eastAsia="en-GB"/>
                <w14:textFill>
                  <w14:solidFill>
                    <w14:srgbClr w14:val="000000">
                      <w14:alpha w14:val="100000"/>
                    </w14:srgbClr>
                  </w14:solidFill>
                </w14:textFill>
              </w:rPr>
              <w:t>|</w:t>
            </w:r>
            <w:r w:rsidR="004D65AD"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single" w:sz="4" w:space="0" w:color="auto"/>
              <w:right w:val="single" w:sz="4" w:space="0" w:color="auto"/>
            </w:tcBorders>
            <w:vAlign w:val="center"/>
          </w:tcPr>
          <w:p w14:paraId="0FD17EDC" w14:textId="1D02F047"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504"/>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4"/>
                <w:lang w:eastAsia="en-GB"/>
                <w14:textFill>
                  <w14:solidFill>
                    <w14:srgbClr w14:val="000000">
                      <w14:alpha w14:val="100000"/>
                    </w14:srgbClr>
                  </w14:solidFill>
                </w14:textFill>
              </w:rPr>
              <w:t>|</w:t>
            </w:r>
            <w:r w:rsidR="004D65AD"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single" w:sz="4" w:space="0" w:color="auto"/>
              <w:right w:val="single" w:sz="4" w:space="0" w:color="auto"/>
            </w:tcBorders>
            <w:vAlign w:val="center"/>
          </w:tcPr>
          <w:p w14:paraId="72FC6D59" w14:textId="3C36ABE2"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503"/>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3"/>
                <w:lang w:eastAsia="en-GB"/>
                <w14:textFill>
                  <w14:solidFill>
                    <w14:srgbClr w14:val="000000">
                      <w14:alpha w14:val="100000"/>
                    </w14:srgbClr>
                  </w14:solidFill>
                </w14:textFill>
              </w:rPr>
              <w:t>|</w:t>
            </w:r>
            <w:r w:rsidR="004D65AD" w:rsidRPr="00A37B36">
              <w:rPr>
                <w:rFonts w:eastAsia="Calibri" w:cs="Times New Roman"/>
                <w:bCs w:val="0"/>
                <w:iCs/>
                <w:sz w:val="19"/>
                <w:szCs w:val="19"/>
                <w:vertAlign w:val="superscript"/>
                <w:lang w:eastAsia="en-GB"/>
              </w:rPr>
              <w:t>2</w:t>
            </w:r>
          </w:p>
        </w:tc>
        <w:tc>
          <w:tcPr>
            <w:tcW w:w="606" w:type="pct"/>
            <w:tcBorders>
              <w:top w:val="nil"/>
              <w:left w:val="single" w:sz="4" w:space="0" w:color="auto"/>
              <w:bottom w:val="single" w:sz="4" w:space="0" w:color="auto"/>
              <w:right w:val="single" w:sz="4" w:space="0" w:color="auto"/>
            </w:tcBorders>
            <w:vAlign w:val="center"/>
          </w:tcPr>
          <w:p w14:paraId="58FBEEB5" w14:textId="6F829C2B"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502"/>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2"/>
                <w:lang w:eastAsia="en-GB"/>
                <w14:textFill>
                  <w14:solidFill>
                    <w14:srgbClr w14:val="000000">
                      <w14:alpha w14:val="100000"/>
                    </w14:srgbClr>
                  </w14:solidFill>
                </w14:textFill>
              </w:rPr>
              <w:t>|</w:t>
            </w:r>
            <w:r w:rsidR="004D65AD" w:rsidRPr="00A37B36">
              <w:rPr>
                <w:rFonts w:eastAsia="Calibri" w:cs="Times New Roman"/>
                <w:bCs w:val="0"/>
                <w:iCs/>
                <w:sz w:val="19"/>
                <w:szCs w:val="19"/>
                <w:vertAlign w:val="superscript"/>
                <w:lang w:eastAsia="en-GB"/>
              </w:rPr>
              <w:t>2</w:t>
            </w:r>
          </w:p>
        </w:tc>
        <w:tc>
          <w:tcPr>
            <w:tcW w:w="565" w:type="pct"/>
            <w:tcBorders>
              <w:top w:val="nil"/>
              <w:left w:val="single" w:sz="4" w:space="0" w:color="auto"/>
              <w:bottom w:val="single" w:sz="4" w:space="0" w:color="auto"/>
              <w:right w:val="single" w:sz="4" w:space="0" w:color="auto"/>
            </w:tcBorders>
            <w:vAlign w:val="center"/>
          </w:tcPr>
          <w:p w14:paraId="54018DDD" w14:textId="6AC87E1E"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48"/>
                <w:sz w:val="19"/>
                <w:szCs w:val="19"/>
                <w:shd w:val="solid" w:color="000000" w:fill="000000"/>
                <w:fitText w:val="306" w:id="-632053501"/>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06" w:id="-632053501"/>
                <w:lang w:eastAsia="en-GB"/>
                <w14:textFill>
                  <w14:solidFill>
                    <w14:srgbClr w14:val="000000">
                      <w14:alpha w14:val="100000"/>
                    </w14:srgbClr>
                  </w14:solidFill>
                </w14:textFill>
              </w:rPr>
              <w:t>|</w:t>
            </w:r>
            <w:r w:rsidR="004D65AD" w:rsidRPr="00A37B36">
              <w:rPr>
                <w:rFonts w:eastAsia="Calibri" w:cs="Times New Roman"/>
                <w:bCs w:val="0"/>
                <w:iCs/>
                <w:sz w:val="19"/>
                <w:szCs w:val="19"/>
                <w:vertAlign w:val="superscript"/>
                <w:lang w:eastAsia="en-GB"/>
              </w:rPr>
              <w:t>2</w:t>
            </w:r>
          </w:p>
        </w:tc>
        <w:tc>
          <w:tcPr>
            <w:tcW w:w="581" w:type="pct"/>
            <w:tcBorders>
              <w:top w:val="nil"/>
              <w:left w:val="single" w:sz="4" w:space="0" w:color="auto"/>
              <w:bottom w:val="single" w:sz="4" w:space="0" w:color="auto"/>
              <w:right w:val="single" w:sz="4" w:space="0" w:color="auto"/>
            </w:tcBorders>
            <w:vAlign w:val="center"/>
          </w:tcPr>
          <w:p w14:paraId="5AAC37A4" w14:textId="75D61809"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rFonts w:eastAsia="Calibri" w:cs="Times New Roman"/>
                <w:bCs w:val="0"/>
                <w:iCs/>
                <w:color w:val="000000"/>
                <w:spacing w:val="50"/>
                <w:sz w:val="19"/>
                <w:szCs w:val="19"/>
                <w:shd w:val="solid" w:color="000000" w:fill="000000"/>
                <w:fitText w:val="312" w:id="-632053500"/>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0"/>
                <w:lang w:eastAsia="en-GB"/>
                <w14:textFill>
                  <w14:solidFill>
                    <w14:srgbClr w14:val="000000">
                      <w14:alpha w14:val="100000"/>
                    </w14:srgbClr>
                  </w14:solidFill>
                </w14:textFill>
              </w:rPr>
              <w:t>|</w:t>
            </w:r>
            <w:r w:rsidR="004D65AD" w:rsidRPr="00A37B36">
              <w:rPr>
                <w:rFonts w:eastAsia="Calibri" w:cs="Times New Roman"/>
                <w:bCs w:val="0"/>
                <w:iCs/>
                <w:sz w:val="19"/>
                <w:szCs w:val="19"/>
                <w:vertAlign w:val="superscript"/>
                <w:lang w:eastAsia="en-GB"/>
              </w:rPr>
              <w:t>2</w:t>
            </w:r>
          </w:p>
        </w:tc>
        <w:tc>
          <w:tcPr>
            <w:tcW w:w="598" w:type="pct"/>
            <w:tcBorders>
              <w:top w:val="nil"/>
              <w:left w:val="single" w:sz="4" w:space="0" w:color="auto"/>
              <w:bottom w:val="single" w:sz="4" w:space="0" w:color="auto"/>
              <w:right w:val="single" w:sz="4" w:space="0" w:color="auto"/>
            </w:tcBorders>
            <w:vAlign w:val="center"/>
          </w:tcPr>
          <w:p w14:paraId="1BDF7F0C" w14:textId="353F985C" w:rsidR="00BA224D" w:rsidRPr="00247839" w:rsidRDefault="00BD6E95" w:rsidP="006229E0">
            <w:pPr>
              <w:pStyle w:val="TableText0"/>
              <w:keepLines/>
              <w:jc w:val="center"/>
              <w:rPr>
                <w:rFonts w:cs="Arial"/>
                <w:iCs/>
                <w:color w:val="000000"/>
                <w:sz w:val="19"/>
                <w:szCs w:val="19"/>
                <w:highlight w:val="darkGray"/>
              </w:rPr>
            </w:pPr>
            <w:r w:rsidRPr="00BD6E95">
              <w:rPr>
                <w:rFonts w:cs="Arial"/>
                <w:iCs/>
                <w:color w:val="000000"/>
                <w:spacing w:val="50"/>
                <w:sz w:val="19"/>
                <w:szCs w:val="19"/>
                <w:shd w:val="solid" w:color="000000" w:fill="000000"/>
                <w:fitText w:val="312" w:id="-632053499"/>
                <w14:textFill>
                  <w14:solidFill>
                    <w14:srgbClr w14:val="000000">
                      <w14:alpha w14:val="100000"/>
                    </w14:srgbClr>
                  </w14:solidFill>
                </w14:textFill>
              </w:rPr>
              <w:t>|||</w:t>
            </w:r>
            <w:r w:rsidRPr="00BD6E95">
              <w:rPr>
                <w:rFonts w:cs="Arial"/>
                <w:iCs/>
                <w:color w:val="000000"/>
                <w:spacing w:val="1"/>
                <w:sz w:val="19"/>
                <w:szCs w:val="19"/>
                <w:shd w:val="solid" w:color="000000" w:fill="000000"/>
                <w:fitText w:val="312" w:id="-632053499"/>
                <w14:textFill>
                  <w14:solidFill>
                    <w14:srgbClr w14:val="000000">
                      <w14:alpha w14:val="100000"/>
                    </w14:srgbClr>
                  </w14:solidFill>
                </w14:textFill>
              </w:rPr>
              <w:t>|</w:t>
            </w:r>
            <w:r w:rsidR="00A37B36" w:rsidRPr="00D4075B">
              <w:rPr>
                <w:rFonts w:eastAsia="Calibri" w:cs="Times New Roman"/>
                <w:bCs w:val="0"/>
                <w:iCs/>
                <w:sz w:val="19"/>
                <w:szCs w:val="19"/>
                <w:vertAlign w:val="superscript"/>
                <w:lang w:eastAsia="en-GB"/>
              </w:rPr>
              <w:t>1</w:t>
            </w:r>
          </w:p>
        </w:tc>
      </w:tr>
      <w:tr w:rsidR="006747DA" w:rsidRPr="001534B3" w14:paraId="54F4203A" w14:textId="77777777" w:rsidTr="004939E9">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8A6E035" w14:textId="481C0AAD" w:rsidR="006747DA" w:rsidRPr="001534B3" w:rsidRDefault="004939E9" w:rsidP="006229E0">
            <w:pPr>
              <w:pStyle w:val="TableText0"/>
              <w:keepLines/>
              <w:rPr>
                <w:rFonts w:cs="Arial"/>
                <w:b/>
                <w:bCs w:val="0"/>
                <w:iCs/>
                <w:color w:val="000000"/>
                <w:sz w:val="19"/>
                <w:szCs w:val="19"/>
              </w:rPr>
            </w:pPr>
            <w:r w:rsidRPr="001534B3">
              <w:rPr>
                <w:rFonts w:cs="Arial"/>
                <w:b/>
                <w:bCs w:val="0"/>
                <w:iCs/>
                <w:color w:val="000000"/>
                <w:sz w:val="19"/>
                <w:szCs w:val="19"/>
              </w:rPr>
              <w:t>Glofitamab cost</w:t>
            </w:r>
            <w:r w:rsidR="006747DA" w:rsidRPr="001534B3">
              <w:rPr>
                <w:rFonts w:cs="Arial"/>
                <w:b/>
                <w:bCs w:val="0"/>
                <w:iCs/>
                <w:color w:val="000000"/>
                <w:sz w:val="19"/>
                <w:szCs w:val="19"/>
              </w:rPr>
              <w:t xml:space="preserve"> to PBS/RPBS</w:t>
            </w:r>
          </w:p>
        </w:tc>
      </w:tr>
      <w:tr w:rsidR="007E6C9D" w:rsidRPr="001534B3" w14:paraId="16808F87" w14:textId="77777777" w:rsidTr="00A94F56">
        <w:trPr>
          <w:trHeight w:val="20"/>
        </w:trPr>
        <w:tc>
          <w:tcPr>
            <w:tcW w:w="905" w:type="pct"/>
            <w:tcBorders>
              <w:top w:val="single" w:sz="4" w:space="0" w:color="auto"/>
              <w:left w:val="single" w:sz="4" w:space="0" w:color="auto"/>
              <w:bottom w:val="nil"/>
              <w:right w:val="single" w:sz="4" w:space="0" w:color="auto"/>
            </w:tcBorders>
            <w:vAlign w:val="center"/>
          </w:tcPr>
          <w:p w14:paraId="3E3A72DE" w14:textId="6D5E1567" w:rsidR="00BA224D" w:rsidRPr="001534B3" w:rsidRDefault="00BA224D" w:rsidP="006229E0">
            <w:pPr>
              <w:keepNext/>
              <w:keepLines/>
              <w:widowControl w:val="0"/>
              <w:jc w:val="left"/>
              <w:rPr>
                <w:rFonts w:ascii="Arial Narrow" w:hAnsi="Arial Narrow" w:cs="Times New Roman"/>
                <w:bCs/>
                <w:iCs/>
                <w:sz w:val="19"/>
                <w:szCs w:val="19"/>
                <w:lang w:eastAsia="en-GB"/>
              </w:rPr>
            </w:pPr>
            <w:r w:rsidRPr="001534B3">
              <w:rPr>
                <w:rFonts w:ascii="Arial Narrow" w:hAnsi="Arial Narrow" w:cs="Times New Roman"/>
                <w:bCs/>
                <w:iCs/>
                <w:sz w:val="19"/>
                <w:szCs w:val="19"/>
                <w:lang w:eastAsia="en-GB"/>
              </w:rPr>
              <w:t xml:space="preserve">Glofitamab, cost </w:t>
            </w:r>
            <w:r w:rsidR="00FC5BF2" w:rsidRPr="001534B3">
              <w:rPr>
                <w:rFonts w:ascii="Arial Narrow" w:hAnsi="Arial Narrow" w:cs="Times New Roman"/>
                <w:bCs/>
                <w:iCs/>
                <w:sz w:val="19"/>
                <w:szCs w:val="19"/>
                <w:lang w:eastAsia="en-GB"/>
              </w:rPr>
              <w:t xml:space="preserve">to </w:t>
            </w:r>
            <w:r w:rsidRPr="001534B3">
              <w:rPr>
                <w:rFonts w:ascii="Arial Narrow" w:hAnsi="Arial Narrow" w:cs="Times New Roman"/>
                <w:bCs/>
                <w:iCs/>
                <w:sz w:val="19"/>
                <w:szCs w:val="19"/>
                <w:lang w:eastAsia="en-GB"/>
              </w:rPr>
              <w:t>PBS/RPBS</w:t>
            </w:r>
          </w:p>
        </w:tc>
        <w:tc>
          <w:tcPr>
            <w:tcW w:w="583" w:type="pct"/>
            <w:tcBorders>
              <w:top w:val="single" w:sz="4" w:space="0" w:color="auto"/>
              <w:left w:val="single" w:sz="4" w:space="0" w:color="auto"/>
              <w:bottom w:val="nil"/>
              <w:right w:val="single" w:sz="4" w:space="0" w:color="auto"/>
            </w:tcBorders>
            <w:vAlign w:val="center"/>
          </w:tcPr>
          <w:p w14:paraId="63557AEC" w14:textId="6DCF119C"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3"/>
                <w:shd w:val="solid" w:color="000000" w:fill="000000"/>
                <w:fitText w:val="330" w:id="-632053498"/>
                <w14:textFill>
                  <w14:solidFill>
                    <w14:srgbClr w14:val="000000">
                      <w14:alpha w14:val="100000"/>
                    </w14:srgbClr>
                  </w14:solidFill>
                </w14:textFill>
              </w:rPr>
              <w:t>|||</w:t>
            </w:r>
            <w:r w:rsidRPr="00BD6E95">
              <w:rPr>
                <w:iCs/>
                <w:color w:val="000000"/>
                <w:spacing w:val="1"/>
                <w:shd w:val="solid" w:color="000000" w:fill="000000"/>
                <w:fitText w:val="330" w:id="-632053498"/>
                <w14:textFill>
                  <w14:solidFill>
                    <w14:srgbClr w14:val="000000">
                      <w14:alpha w14:val="100000"/>
                    </w14:srgbClr>
                  </w14:solidFill>
                </w14:textFill>
              </w:rPr>
              <w:t>|</w:t>
            </w:r>
            <w:r w:rsidR="00A00EC7" w:rsidRPr="00A00EC7">
              <w:rPr>
                <w:iCs/>
                <w:vertAlign w:val="superscript"/>
              </w:rPr>
              <w:t>5</w:t>
            </w:r>
          </w:p>
        </w:tc>
        <w:tc>
          <w:tcPr>
            <w:tcW w:w="581" w:type="pct"/>
            <w:tcBorders>
              <w:top w:val="single" w:sz="4" w:space="0" w:color="auto"/>
              <w:left w:val="single" w:sz="4" w:space="0" w:color="auto"/>
              <w:bottom w:val="nil"/>
              <w:right w:val="single" w:sz="4" w:space="0" w:color="auto"/>
            </w:tcBorders>
            <w:vAlign w:val="center"/>
          </w:tcPr>
          <w:p w14:paraId="6159AC7D" w14:textId="1B40281A"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1"/>
                <w:shd w:val="solid" w:color="000000" w:fill="000000"/>
                <w:fitText w:val="324" w:id="-632053497"/>
                <w14:textFill>
                  <w14:solidFill>
                    <w14:srgbClr w14:val="000000">
                      <w14:alpha w14:val="100000"/>
                    </w14:srgbClr>
                  </w14:solidFill>
                </w14:textFill>
              </w:rPr>
              <w:t>|||</w:t>
            </w:r>
            <w:r w:rsidRPr="00BD6E95">
              <w:rPr>
                <w:iCs/>
                <w:color w:val="000000"/>
                <w:spacing w:val="1"/>
                <w:shd w:val="solid" w:color="000000" w:fill="000000"/>
                <w:fitText w:val="324" w:id="-632053497"/>
                <w14:textFill>
                  <w14:solidFill>
                    <w14:srgbClr w14:val="000000">
                      <w14:alpha w14:val="100000"/>
                    </w14:srgbClr>
                  </w14:solidFill>
                </w14:textFill>
              </w:rPr>
              <w:t>|</w:t>
            </w:r>
            <w:r w:rsidR="008F356A" w:rsidRPr="00A00EC7">
              <w:rPr>
                <w:iCs/>
                <w:vertAlign w:val="superscript"/>
              </w:rPr>
              <w:t>5</w:t>
            </w:r>
          </w:p>
        </w:tc>
        <w:tc>
          <w:tcPr>
            <w:tcW w:w="581" w:type="pct"/>
            <w:tcBorders>
              <w:top w:val="single" w:sz="4" w:space="0" w:color="auto"/>
              <w:left w:val="single" w:sz="4" w:space="0" w:color="auto"/>
              <w:bottom w:val="nil"/>
              <w:right w:val="single" w:sz="4" w:space="0" w:color="auto"/>
            </w:tcBorders>
            <w:vAlign w:val="center"/>
          </w:tcPr>
          <w:p w14:paraId="483B21CF" w14:textId="7A048C03"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1"/>
                <w:shd w:val="solid" w:color="000000" w:fill="000000"/>
                <w:fitText w:val="324" w:id="-632053496"/>
                <w14:textFill>
                  <w14:solidFill>
                    <w14:srgbClr w14:val="000000">
                      <w14:alpha w14:val="100000"/>
                    </w14:srgbClr>
                  </w14:solidFill>
                </w14:textFill>
              </w:rPr>
              <w:t>|||</w:t>
            </w:r>
            <w:r w:rsidRPr="00BD6E95">
              <w:rPr>
                <w:iCs/>
                <w:color w:val="000000"/>
                <w:spacing w:val="1"/>
                <w:shd w:val="solid" w:color="000000" w:fill="000000"/>
                <w:fitText w:val="324" w:id="-632053496"/>
                <w14:textFill>
                  <w14:solidFill>
                    <w14:srgbClr w14:val="000000">
                      <w14:alpha w14:val="100000"/>
                    </w14:srgbClr>
                  </w14:solidFill>
                </w14:textFill>
              </w:rPr>
              <w:t>|</w:t>
            </w:r>
            <w:r w:rsidR="008F356A" w:rsidRPr="00A00EC7">
              <w:rPr>
                <w:iCs/>
                <w:vertAlign w:val="superscript"/>
              </w:rPr>
              <w:t>5</w:t>
            </w:r>
          </w:p>
        </w:tc>
        <w:tc>
          <w:tcPr>
            <w:tcW w:w="606" w:type="pct"/>
            <w:tcBorders>
              <w:top w:val="single" w:sz="4" w:space="0" w:color="auto"/>
              <w:left w:val="single" w:sz="4" w:space="0" w:color="auto"/>
              <w:bottom w:val="nil"/>
              <w:right w:val="single" w:sz="4" w:space="0" w:color="auto"/>
            </w:tcBorders>
            <w:vAlign w:val="center"/>
          </w:tcPr>
          <w:p w14:paraId="1F8CD958" w14:textId="71F68366"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1"/>
                <w:shd w:val="solid" w:color="000000" w:fill="000000"/>
                <w:fitText w:val="324" w:id="-632053495"/>
                <w14:textFill>
                  <w14:solidFill>
                    <w14:srgbClr w14:val="000000">
                      <w14:alpha w14:val="100000"/>
                    </w14:srgbClr>
                  </w14:solidFill>
                </w14:textFill>
              </w:rPr>
              <w:t>|||</w:t>
            </w:r>
            <w:r w:rsidRPr="00BD6E95">
              <w:rPr>
                <w:iCs/>
                <w:color w:val="000000"/>
                <w:spacing w:val="1"/>
                <w:shd w:val="solid" w:color="000000" w:fill="000000"/>
                <w:fitText w:val="324" w:id="-632053495"/>
                <w14:textFill>
                  <w14:solidFill>
                    <w14:srgbClr w14:val="000000">
                      <w14:alpha w14:val="100000"/>
                    </w14:srgbClr>
                  </w14:solidFill>
                </w14:textFill>
              </w:rPr>
              <w:t>|</w:t>
            </w:r>
            <w:r w:rsidR="00B9354B" w:rsidRPr="00B9354B">
              <w:rPr>
                <w:iCs/>
                <w:vertAlign w:val="superscript"/>
              </w:rPr>
              <w:t>6</w:t>
            </w:r>
          </w:p>
        </w:tc>
        <w:tc>
          <w:tcPr>
            <w:tcW w:w="565" w:type="pct"/>
            <w:tcBorders>
              <w:top w:val="single" w:sz="4" w:space="0" w:color="auto"/>
              <w:left w:val="single" w:sz="4" w:space="0" w:color="auto"/>
              <w:bottom w:val="nil"/>
              <w:right w:val="single" w:sz="4" w:space="0" w:color="auto"/>
            </w:tcBorders>
            <w:vAlign w:val="center"/>
          </w:tcPr>
          <w:p w14:paraId="797AC1F5" w14:textId="0EF6A472"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3"/>
                <w:shd w:val="solid" w:color="000000" w:fill="000000"/>
                <w:fitText w:val="330" w:id="-632053494"/>
                <w14:textFill>
                  <w14:solidFill>
                    <w14:srgbClr w14:val="000000">
                      <w14:alpha w14:val="100000"/>
                    </w14:srgbClr>
                  </w14:solidFill>
                </w14:textFill>
              </w:rPr>
              <w:t>|||</w:t>
            </w:r>
            <w:r w:rsidRPr="00BD6E95">
              <w:rPr>
                <w:iCs/>
                <w:color w:val="000000"/>
                <w:spacing w:val="1"/>
                <w:shd w:val="solid" w:color="000000" w:fill="000000"/>
                <w:fitText w:val="330" w:id="-632053494"/>
                <w14:textFill>
                  <w14:solidFill>
                    <w14:srgbClr w14:val="000000">
                      <w14:alpha w14:val="100000"/>
                    </w14:srgbClr>
                  </w14:solidFill>
                </w14:textFill>
              </w:rPr>
              <w:t>|</w:t>
            </w:r>
            <w:r w:rsidR="00D00857" w:rsidRPr="00B9354B">
              <w:rPr>
                <w:iCs/>
                <w:vertAlign w:val="superscript"/>
              </w:rPr>
              <w:t>6</w:t>
            </w:r>
          </w:p>
        </w:tc>
        <w:tc>
          <w:tcPr>
            <w:tcW w:w="581" w:type="pct"/>
            <w:tcBorders>
              <w:top w:val="single" w:sz="4" w:space="0" w:color="auto"/>
              <w:left w:val="single" w:sz="4" w:space="0" w:color="auto"/>
              <w:bottom w:val="nil"/>
              <w:right w:val="single" w:sz="4" w:space="0" w:color="auto"/>
            </w:tcBorders>
            <w:vAlign w:val="center"/>
          </w:tcPr>
          <w:p w14:paraId="756FCEA9" w14:textId="6D6938A9" w:rsidR="00BA224D" w:rsidRPr="00247839" w:rsidRDefault="00BD6E95" w:rsidP="006229E0">
            <w:pPr>
              <w:pStyle w:val="TableText0"/>
              <w:keepLines/>
              <w:jc w:val="center"/>
              <w:rPr>
                <w:rFonts w:eastAsia="Calibri" w:cs="Times New Roman"/>
                <w:bCs w:val="0"/>
                <w:iCs/>
                <w:sz w:val="19"/>
                <w:szCs w:val="19"/>
                <w:highlight w:val="darkGray"/>
                <w:lang w:eastAsia="en-GB"/>
              </w:rPr>
            </w:pPr>
            <w:r w:rsidRPr="00BD6E95">
              <w:rPr>
                <w:iCs/>
                <w:color w:val="000000"/>
                <w:spacing w:val="51"/>
                <w:shd w:val="solid" w:color="000000" w:fill="000000"/>
                <w:fitText w:val="324" w:id="-632053493"/>
                <w14:textFill>
                  <w14:solidFill>
                    <w14:srgbClr w14:val="000000">
                      <w14:alpha w14:val="100000"/>
                    </w14:srgbClr>
                  </w14:solidFill>
                </w14:textFill>
              </w:rPr>
              <w:t>|||</w:t>
            </w:r>
            <w:r w:rsidRPr="00BD6E95">
              <w:rPr>
                <w:iCs/>
                <w:color w:val="000000"/>
                <w:spacing w:val="1"/>
                <w:shd w:val="solid" w:color="000000" w:fill="000000"/>
                <w:fitText w:val="324" w:id="-632053493"/>
                <w14:textFill>
                  <w14:solidFill>
                    <w14:srgbClr w14:val="000000">
                      <w14:alpha w14:val="100000"/>
                    </w14:srgbClr>
                  </w14:solidFill>
                </w14:textFill>
              </w:rPr>
              <w:t>|</w:t>
            </w:r>
            <w:r w:rsidR="00D00857" w:rsidRPr="00B9354B">
              <w:rPr>
                <w:iCs/>
                <w:vertAlign w:val="superscript"/>
              </w:rPr>
              <w:t>6</w:t>
            </w:r>
          </w:p>
        </w:tc>
        <w:tc>
          <w:tcPr>
            <w:tcW w:w="598" w:type="pct"/>
            <w:tcBorders>
              <w:top w:val="single" w:sz="4" w:space="0" w:color="auto"/>
              <w:left w:val="single" w:sz="4" w:space="0" w:color="auto"/>
              <w:bottom w:val="nil"/>
              <w:right w:val="single" w:sz="4" w:space="0" w:color="auto"/>
            </w:tcBorders>
            <w:vAlign w:val="center"/>
          </w:tcPr>
          <w:p w14:paraId="5D581092" w14:textId="65F5BA1A" w:rsidR="00BA224D" w:rsidRPr="00154961" w:rsidRDefault="00BD6E95" w:rsidP="006229E0">
            <w:pPr>
              <w:pStyle w:val="TableText0"/>
              <w:keepLines/>
              <w:jc w:val="center"/>
              <w:rPr>
                <w:rFonts w:eastAsia="Calibri" w:cs="Times New Roman"/>
                <w:iCs/>
                <w:sz w:val="19"/>
                <w:szCs w:val="19"/>
                <w:highlight w:val="darkGray"/>
                <w:vertAlign w:val="superscript"/>
                <w:lang w:eastAsia="en-GB"/>
              </w:rPr>
            </w:pPr>
            <w:r w:rsidRPr="00BD6E95">
              <w:rPr>
                <w:rFonts w:cs="Arial"/>
                <w:iCs/>
                <w:color w:val="000000"/>
                <w:spacing w:val="50"/>
                <w:sz w:val="19"/>
                <w:szCs w:val="19"/>
                <w:shd w:val="solid" w:color="000000" w:fill="000000"/>
                <w:fitText w:val="312" w:id="-632053492"/>
                <w14:textFill>
                  <w14:solidFill>
                    <w14:srgbClr w14:val="000000">
                      <w14:alpha w14:val="100000"/>
                    </w14:srgbClr>
                  </w14:solidFill>
                </w14:textFill>
              </w:rPr>
              <w:t>|||</w:t>
            </w:r>
            <w:r w:rsidRPr="00BD6E95">
              <w:rPr>
                <w:rFonts w:cs="Arial"/>
                <w:iCs/>
                <w:color w:val="000000"/>
                <w:spacing w:val="1"/>
                <w:sz w:val="19"/>
                <w:szCs w:val="19"/>
                <w:shd w:val="solid" w:color="000000" w:fill="000000"/>
                <w:fitText w:val="312" w:id="-632053492"/>
                <w14:textFill>
                  <w14:solidFill>
                    <w14:srgbClr w14:val="000000">
                      <w14:alpha w14:val="100000"/>
                    </w14:srgbClr>
                  </w14:solidFill>
                </w14:textFill>
              </w:rPr>
              <w:t>|</w:t>
            </w:r>
            <w:r w:rsidR="00154961" w:rsidRPr="007E5566">
              <w:rPr>
                <w:rFonts w:cs="Arial"/>
                <w:iCs/>
                <w:color w:val="000000"/>
                <w:sz w:val="19"/>
                <w:szCs w:val="19"/>
                <w:vertAlign w:val="superscript"/>
              </w:rPr>
              <w:t>7</w:t>
            </w:r>
          </w:p>
        </w:tc>
      </w:tr>
      <w:tr w:rsidR="007E6C9D" w:rsidRPr="001534B3" w14:paraId="5A827043" w14:textId="77777777" w:rsidTr="00A94F56">
        <w:trPr>
          <w:trHeight w:val="20"/>
        </w:trPr>
        <w:tc>
          <w:tcPr>
            <w:tcW w:w="905" w:type="pct"/>
            <w:tcBorders>
              <w:top w:val="nil"/>
              <w:left w:val="single" w:sz="4" w:space="0" w:color="auto"/>
              <w:bottom w:val="nil"/>
              <w:right w:val="single" w:sz="4" w:space="0" w:color="auto"/>
            </w:tcBorders>
            <w:vAlign w:val="center"/>
          </w:tcPr>
          <w:p w14:paraId="5D0EE364" w14:textId="77777777" w:rsidR="00BA224D" w:rsidRPr="001534B3" w:rsidDel="00E73C7C" w:rsidRDefault="00BA224D" w:rsidP="006229E0">
            <w:pPr>
              <w:keepNext/>
              <w:keepLines/>
              <w:widowControl w:val="0"/>
              <w:ind w:left="112"/>
              <w:jc w:val="left"/>
              <w:rPr>
                <w:rFonts w:ascii="Arial Narrow" w:hAnsi="Arial Narrow" w:cs="Times New Roman"/>
                <w:b/>
                <w:iCs/>
                <w:sz w:val="19"/>
                <w:szCs w:val="19"/>
                <w:lang w:eastAsia="en-GB"/>
              </w:rPr>
            </w:pPr>
            <w:r w:rsidRPr="001534B3">
              <w:rPr>
                <w:rFonts w:ascii="Arial Narrow" w:hAnsi="Arial Narrow" w:cs="Times New Roman"/>
                <w:bCs/>
                <w:iCs/>
                <w:sz w:val="19"/>
                <w:szCs w:val="19"/>
                <w:lang w:eastAsia="en-GB"/>
              </w:rPr>
              <w:t xml:space="preserve">PBS </w:t>
            </w:r>
          </w:p>
        </w:tc>
        <w:tc>
          <w:tcPr>
            <w:tcW w:w="583" w:type="pct"/>
            <w:tcBorders>
              <w:top w:val="nil"/>
              <w:left w:val="single" w:sz="4" w:space="0" w:color="auto"/>
              <w:bottom w:val="nil"/>
              <w:right w:val="single" w:sz="4" w:space="0" w:color="auto"/>
            </w:tcBorders>
            <w:vAlign w:val="center"/>
          </w:tcPr>
          <w:p w14:paraId="1F3659C2" w14:textId="240C5F03"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491"/>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1"/>
                <w:lang w:eastAsia="en-GB"/>
                <w14:textFill>
                  <w14:solidFill>
                    <w14:srgbClr w14:val="000000">
                      <w14:alpha w14:val="100000"/>
                    </w14:srgbClr>
                  </w14:solidFill>
                </w14:textFill>
              </w:rPr>
              <w:t>|</w:t>
            </w:r>
            <w:r w:rsidR="008F356A" w:rsidRPr="00A00EC7">
              <w:rPr>
                <w:iCs/>
                <w:vertAlign w:val="superscript"/>
              </w:rPr>
              <w:t>5</w:t>
            </w:r>
          </w:p>
        </w:tc>
        <w:tc>
          <w:tcPr>
            <w:tcW w:w="581" w:type="pct"/>
            <w:tcBorders>
              <w:top w:val="nil"/>
              <w:left w:val="single" w:sz="4" w:space="0" w:color="auto"/>
              <w:bottom w:val="nil"/>
              <w:right w:val="single" w:sz="4" w:space="0" w:color="auto"/>
            </w:tcBorders>
            <w:vAlign w:val="center"/>
          </w:tcPr>
          <w:p w14:paraId="031E2692" w14:textId="592C8B1B"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490"/>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0"/>
                <w:lang w:eastAsia="en-GB"/>
                <w14:textFill>
                  <w14:solidFill>
                    <w14:srgbClr w14:val="000000">
                      <w14:alpha w14:val="100000"/>
                    </w14:srgbClr>
                  </w14:solidFill>
                </w14:textFill>
              </w:rPr>
              <w:t>|</w:t>
            </w:r>
            <w:r w:rsidR="008F356A" w:rsidRPr="00A00EC7">
              <w:rPr>
                <w:iCs/>
                <w:vertAlign w:val="superscript"/>
              </w:rPr>
              <w:t>5</w:t>
            </w:r>
          </w:p>
        </w:tc>
        <w:tc>
          <w:tcPr>
            <w:tcW w:w="581" w:type="pct"/>
            <w:tcBorders>
              <w:top w:val="nil"/>
              <w:left w:val="single" w:sz="4" w:space="0" w:color="auto"/>
              <w:bottom w:val="nil"/>
              <w:right w:val="single" w:sz="4" w:space="0" w:color="auto"/>
            </w:tcBorders>
            <w:vAlign w:val="center"/>
          </w:tcPr>
          <w:p w14:paraId="36BA6045" w14:textId="21878D6B"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489"/>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89"/>
                <w:lang w:eastAsia="en-GB"/>
                <w14:textFill>
                  <w14:solidFill>
                    <w14:srgbClr w14:val="000000">
                      <w14:alpha w14:val="100000"/>
                    </w14:srgbClr>
                  </w14:solidFill>
                </w14:textFill>
              </w:rPr>
              <w:t>|</w:t>
            </w:r>
            <w:r w:rsidR="008F356A" w:rsidRPr="00A00EC7">
              <w:rPr>
                <w:iCs/>
                <w:vertAlign w:val="superscript"/>
              </w:rPr>
              <w:t>5</w:t>
            </w:r>
          </w:p>
        </w:tc>
        <w:tc>
          <w:tcPr>
            <w:tcW w:w="606" w:type="pct"/>
            <w:tcBorders>
              <w:top w:val="nil"/>
              <w:left w:val="single" w:sz="4" w:space="0" w:color="auto"/>
              <w:bottom w:val="nil"/>
              <w:right w:val="single" w:sz="4" w:space="0" w:color="auto"/>
            </w:tcBorders>
            <w:vAlign w:val="center"/>
          </w:tcPr>
          <w:p w14:paraId="270BF782" w14:textId="3DA5599A"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488"/>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88"/>
                <w:lang w:eastAsia="en-GB"/>
                <w14:textFill>
                  <w14:solidFill>
                    <w14:srgbClr w14:val="000000">
                      <w14:alpha w14:val="100000"/>
                    </w14:srgbClr>
                  </w14:solidFill>
                </w14:textFill>
              </w:rPr>
              <w:t>|</w:t>
            </w:r>
            <w:r w:rsidR="008F356A" w:rsidRPr="00A00EC7">
              <w:rPr>
                <w:iCs/>
                <w:vertAlign w:val="superscript"/>
              </w:rPr>
              <w:t>5</w:t>
            </w:r>
          </w:p>
        </w:tc>
        <w:tc>
          <w:tcPr>
            <w:tcW w:w="565" w:type="pct"/>
            <w:tcBorders>
              <w:top w:val="nil"/>
              <w:left w:val="single" w:sz="4" w:space="0" w:color="auto"/>
              <w:bottom w:val="nil"/>
              <w:right w:val="single" w:sz="4" w:space="0" w:color="auto"/>
            </w:tcBorders>
            <w:vAlign w:val="center"/>
          </w:tcPr>
          <w:p w14:paraId="112308CD" w14:textId="0071974B"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504"/>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4"/>
                <w:lang w:eastAsia="en-GB"/>
                <w14:textFill>
                  <w14:solidFill>
                    <w14:srgbClr w14:val="000000">
                      <w14:alpha w14:val="100000"/>
                    </w14:srgbClr>
                  </w14:solidFill>
                </w14:textFill>
              </w:rPr>
              <w:t>|</w:t>
            </w:r>
            <w:r w:rsidR="00317203" w:rsidRPr="00B9354B">
              <w:rPr>
                <w:iCs/>
                <w:vertAlign w:val="superscript"/>
              </w:rPr>
              <w:t>6</w:t>
            </w:r>
          </w:p>
        </w:tc>
        <w:tc>
          <w:tcPr>
            <w:tcW w:w="581" w:type="pct"/>
            <w:tcBorders>
              <w:top w:val="nil"/>
              <w:left w:val="single" w:sz="4" w:space="0" w:color="auto"/>
              <w:bottom w:val="nil"/>
              <w:right w:val="single" w:sz="4" w:space="0" w:color="auto"/>
            </w:tcBorders>
            <w:vAlign w:val="center"/>
          </w:tcPr>
          <w:p w14:paraId="08155A65" w14:textId="48117F81"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503"/>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3"/>
                <w:lang w:eastAsia="en-GB"/>
                <w14:textFill>
                  <w14:solidFill>
                    <w14:srgbClr w14:val="000000">
                      <w14:alpha w14:val="100000"/>
                    </w14:srgbClr>
                  </w14:solidFill>
                </w14:textFill>
              </w:rPr>
              <w:t>|</w:t>
            </w:r>
            <w:r w:rsidR="00317203" w:rsidRPr="00B9354B">
              <w:rPr>
                <w:iCs/>
                <w:vertAlign w:val="superscript"/>
              </w:rPr>
              <w:t>6</w:t>
            </w:r>
          </w:p>
        </w:tc>
        <w:tc>
          <w:tcPr>
            <w:tcW w:w="598" w:type="pct"/>
            <w:tcBorders>
              <w:top w:val="nil"/>
              <w:left w:val="single" w:sz="4" w:space="0" w:color="auto"/>
              <w:bottom w:val="nil"/>
              <w:right w:val="single" w:sz="4" w:space="0" w:color="auto"/>
            </w:tcBorders>
            <w:vAlign w:val="center"/>
          </w:tcPr>
          <w:p w14:paraId="363997D4" w14:textId="6DBCC9AB" w:rsidR="00BA224D" w:rsidRPr="00247839" w:rsidRDefault="00BD6E95" w:rsidP="006229E0">
            <w:pPr>
              <w:pStyle w:val="TableText0"/>
              <w:keepLines/>
              <w:jc w:val="center"/>
              <w:rPr>
                <w:rFonts w:cs="Arial"/>
                <w:iCs/>
                <w:color w:val="000000"/>
                <w:sz w:val="19"/>
                <w:szCs w:val="19"/>
                <w:highlight w:val="darkGray"/>
              </w:rPr>
            </w:pPr>
            <w:r w:rsidRPr="00BD6E95">
              <w:rPr>
                <w:rFonts w:cs="Arial"/>
                <w:iCs/>
                <w:color w:val="000000"/>
                <w:spacing w:val="50"/>
                <w:sz w:val="19"/>
                <w:szCs w:val="19"/>
                <w:shd w:val="solid" w:color="000000" w:fill="000000"/>
                <w:fitText w:val="312" w:id="-632053502"/>
                <w14:textFill>
                  <w14:solidFill>
                    <w14:srgbClr w14:val="000000">
                      <w14:alpha w14:val="100000"/>
                    </w14:srgbClr>
                  </w14:solidFill>
                </w14:textFill>
              </w:rPr>
              <w:t>|||</w:t>
            </w:r>
            <w:r w:rsidRPr="00BD6E95">
              <w:rPr>
                <w:rFonts w:cs="Arial"/>
                <w:iCs/>
                <w:color w:val="000000"/>
                <w:spacing w:val="1"/>
                <w:sz w:val="19"/>
                <w:szCs w:val="19"/>
                <w:shd w:val="solid" w:color="000000" w:fill="000000"/>
                <w:fitText w:val="312" w:id="-632053502"/>
                <w14:textFill>
                  <w14:solidFill>
                    <w14:srgbClr w14:val="000000">
                      <w14:alpha w14:val="100000"/>
                    </w14:srgbClr>
                  </w14:solidFill>
                </w14:textFill>
              </w:rPr>
              <w:t>|</w:t>
            </w:r>
            <w:r w:rsidR="00921CC3" w:rsidRPr="007E5566">
              <w:rPr>
                <w:rFonts w:cs="Arial"/>
                <w:iCs/>
                <w:color w:val="000000"/>
                <w:sz w:val="19"/>
                <w:szCs w:val="19"/>
                <w:vertAlign w:val="superscript"/>
              </w:rPr>
              <w:t>7</w:t>
            </w:r>
          </w:p>
        </w:tc>
      </w:tr>
      <w:tr w:rsidR="007E6C9D" w:rsidRPr="001534B3" w14:paraId="4DF09FC2" w14:textId="77777777" w:rsidTr="00A94F56">
        <w:trPr>
          <w:trHeight w:val="20"/>
        </w:trPr>
        <w:tc>
          <w:tcPr>
            <w:tcW w:w="905" w:type="pct"/>
            <w:tcBorders>
              <w:top w:val="nil"/>
              <w:left w:val="single" w:sz="4" w:space="0" w:color="auto"/>
              <w:bottom w:val="single" w:sz="4" w:space="0" w:color="auto"/>
              <w:right w:val="single" w:sz="4" w:space="0" w:color="auto"/>
            </w:tcBorders>
            <w:vAlign w:val="center"/>
          </w:tcPr>
          <w:p w14:paraId="5919A8C8" w14:textId="77777777" w:rsidR="00BA224D" w:rsidRPr="001534B3" w:rsidDel="00E73C7C" w:rsidRDefault="00BA224D" w:rsidP="006229E0">
            <w:pPr>
              <w:keepNext/>
              <w:keepLines/>
              <w:widowControl w:val="0"/>
              <w:ind w:left="112"/>
              <w:jc w:val="left"/>
              <w:rPr>
                <w:rFonts w:ascii="Arial Narrow" w:hAnsi="Arial Narrow" w:cs="Times New Roman"/>
                <w:b/>
                <w:iCs/>
                <w:sz w:val="19"/>
                <w:szCs w:val="19"/>
                <w:lang w:eastAsia="en-GB"/>
              </w:rPr>
            </w:pPr>
            <w:r w:rsidRPr="001534B3">
              <w:rPr>
                <w:rFonts w:ascii="Arial Narrow" w:hAnsi="Arial Narrow" w:cs="Times New Roman"/>
                <w:bCs/>
                <w:iCs/>
                <w:sz w:val="19"/>
                <w:szCs w:val="19"/>
                <w:lang w:eastAsia="en-GB"/>
              </w:rPr>
              <w:t>RPBS</w:t>
            </w:r>
          </w:p>
        </w:tc>
        <w:tc>
          <w:tcPr>
            <w:tcW w:w="583" w:type="pct"/>
            <w:tcBorders>
              <w:top w:val="nil"/>
              <w:left w:val="single" w:sz="4" w:space="0" w:color="auto"/>
              <w:bottom w:val="single" w:sz="4" w:space="0" w:color="auto"/>
              <w:right w:val="single" w:sz="4" w:space="0" w:color="auto"/>
            </w:tcBorders>
            <w:vAlign w:val="center"/>
          </w:tcPr>
          <w:p w14:paraId="486CF6D1" w14:textId="42D9279A"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501"/>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1"/>
                <w:lang w:eastAsia="en-GB"/>
                <w14:textFill>
                  <w14:solidFill>
                    <w14:srgbClr w14:val="000000">
                      <w14:alpha w14:val="100000"/>
                    </w14:srgbClr>
                  </w14:solidFill>
                </w14:textFill>
              </w:rPr>
              <w:t>|</w:t>
            </w:r>
            <w:r w:rsidR="00921CC3"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single" w:sz="4" w:space="0" w:color="auto"/>
              <w:right w:val="single" w:sz="4" w:space="0" w:color="auto"/>
            </w:tcBorders>
            <w:vAlign w:val="center"/>
          </w:tcPr>
          <w:p w14:paraId="17459AED" w14:textId="44DD6B5E"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500"/>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500"/>
                <w:lang w:eastAsia="en-GB"/>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single" w:sz="4" w:space="0" w:color="auto"/>
              <w:right w:val="single" w:sz="4" w:space="0" w:color="auto"/>
            </w:tcBorders>
            <w:vAlign w:val="center"/>
          </w:tcPr>
          <w:p w14:paraId="64553842" w14:textId="4F2720B4"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499"/>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9"/>
                <w:lang w:eastAsia="en-GB"/>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606" w:type="pct"/>
            <w:tcBorders>
              <w:top w:val="nil"/>
              <w:left w:val="single" w:sz="4" w:space="0" w:color="auto"/>
              <w:bottom w:val="single" w:sz="4" w:space="0" w:color="auto"/>
              <w:right w:val="single" w:sz="4" w:space="0" w:color="auto"/>
            </w:tcBorders>
            <w:vAlign w:val="center"/>
          </w:tcPr>
          <w:p w14:paraId="345C24BA" w14:textId="73EA19BC"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498"/>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8"/>
                <w:lang w:eastAsia="en-GB"/>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65" w:type="pct"/>
            <w:tcBorders>
              <w:top w:val="nil"/>
              <w:left w:val="single" w:sz="4" w:space="0" w:color="auto"/>
              <w:bottom w:val="single" w:sz="4" w:space="0" w:color="auto"/>
              <w:right w:val="single" w:sz="4" w:space="0" w:color="auto"/>
            </w:tcBorders>
            <w:vAlign w:val="center"/>
          </w:tcPr>
          <w:p w14:paraId="4DF9CADC" w14:textId="2F672F57"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48"/>
                <w:sz w:val="19"/>
                <w:szCs w:val="19"/>
                <w:shd w:val="solid" w:color="000000" w:fill="000000"/>
                <w:fitText w:val="306" w:id="-632053497"/>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06" w:id="-632053497"/>
                <w:lang w:eastAsia="en-GB"/>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single" w:sz="4" w:space="0" w:color="auto"/>
              <w:right w:val="single" w:sz="4" w:space="0" w:color="auto"/>
            </w:tcBorders>
            <w:vAlign w:val="center"/>
          </w:tcPr>
          <w:p w14:paraId="02E84B38" w14:textId="527AACAB" w:rsidR="00BA224D" w:rsidRPr="00247839" w:rsidRDefault="00BD6E95" w:rsidP="006229E0">
            <w:pPr>
              <w:pStyle w:val="TableText0"/>
              <w:keepLines/>
              <w:jc w:val="center"/>
              <w:rPr>
                <w:iCs/>
                <w:highlight w:val="darkGray"/>
              </w:rPr>
            </w:pPr>
            <w:r w:rsidRPr="00BD6E95">
              <w:rPr>
                <w:rFonts w:eastAsia="Calibri" w:cs="Times New Roman"/>
                <w:bCs w:val="0"/>
                <w:iCs/>
                <w:color w:val="000000"/>
                <w:spacing w:val="50"/>
                <w:sz w:val="19"/>
                <w:szCs w:val="19"/>
                <w:shd w:val="solid" w:color="000000" w:fill="000000"/>
                <w:fitText w:val="312" w:id="-632053496"/>
                <w:lang w:eastAsia="en-GB"/>
                <w14:textFill>
                  <w14:solidFill>
                    <w14:srgbClr w14:val="000000">
                      <w14:alpha w14:val="100000"/>
                    </w14:srgbClr>
                  </w14:solidFill>
                </w14:textFill>
              </w:rPr>
              <w:t>|||</w:t>
            </w:r>
            <w:r w:rsidRPr="00BD6E95">
              <w:rPr>
                <w:rFonts w:eastAsia="Calibri" w:cs="Times New Roman"/>
                <w:bCs w:val="0"/>
                <w:iCs/>
                <w:color w:val="000000"/>
                <w:spacing w:val="1"/>
                <w:sz w:val="19"/>
                <w:szCs w:val="19"/>
                <w:shd w:val="solid" w:color="000000" w:fill="000000"/>
                <w:fitText w:val="312" w:id="-632053496"/>
                <w:lang w:eastAsia="en-GB"/>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98" w:type="pct"/>
            <w:tcBorders>
              <w:top w:val="nil"/>
              <w:left w:val="single" w:sz="4" w:space="0" w:color="auto"/>
              <w:bottom w:val="single" w:sz="4" w:space="0" w:color="auto"/>
              <w:right w:val="single" w:sz="4" w:space="0" w:color="auto"/>
            </w:tcBorders>
            <w:vAlign w:val="center"/>
          </w:tcPr>
          <w:p w14:paraId="249A4909" w14:textId="70BFFFAA" w:rsidR="00BA224D" w:rsidRPr="00247839" w:rsidRDefault="00BD6E95" w:rsidP="006229E0">
            <w:pPr>
              <w:pStyle w:val="TableText0"/>
              <w:keepLines/>
              <w:jc w:val="center"/>
              <w:rPr>
                <w:rFonts w:cs="Arial"/>
                <w:iCs/>
                <w:color w:val="000000"/>
                <w:sz w:val="19"/>
                <w:szCs w:val="19"/>
                <w:highlight w:val="darkGray"/>
              </w:rPr>
            </w:pPr>
            <w:r w:rsidRPr="00BD6E95">
              <w:rPr>
                <w:rFonts w:cs="Arial"/>
                <w:iCs/>
                <w:color w:val="000000"/>
                <w:spacing w:val="50"/>
                <w:sz w:val="19"/>
                <w:szCs w:val="19"/>
                <w:shd w:val="solid" w:color="000000" w:fill="000000"/>
                <w:fitText w:val="312" w:id="-632053495"/>
                <w14:textFill>
                  <w14:solidFill>
                    <w14:srgbClr w14:val="000000">
                      <w14:alpha w14:val="100000"/>
                    </w14:srgbClr>
                  </w14:solidFill>
                </w14:textFill>
              </w:rPr>
              <w:t>|||</w:t>
            </w:r>
            <w:r w:rsidRPr="00BD6E95">
              <w:rPr>
                <w:rFonts w:cs="Arial"/>
                <w:iCs/>
                <w:color w:val="000000"/>
                <w:spacing w:val="1"/>
                <w:sz w:val="19"/>
                <w:szCs w:val="19"/>
                <w:shd w:val="solid" w:color="000000" w:fill="000000"/>
                <w:fitText w:val="312" w:id="-632053495"/>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r>
      <w:tr w:rsidR="00BA224D" w:rsidRPr="001534B3" w14:paraId="2CB3D0B1" w14:textId="77777777" w:rsidTr="006747DA">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32DBCE1" w14:textId="2DACC88D" w:rsidR="00BA224D" w:rsidRPr="001534B3" w:rsidRDefault="00BA224D" w:rsidP="006229E0">
            <w:pPr>
              <w:keepNext/>
              <w:keepLines/>
              <w:widowControl w:val="0"/>
              <w:jc w:val="left"/>
              <w:rPr>
                <w:rFonts w:ascii="Arial Narrow" w:hAnsi="Arial Narrow" w:cs="Times New Roman"/>
                <w:b/>
                <w:iCs/>
                <w:sz w:val="19"/>
                <w:szCs w:val="19"/>
                <w:lang w:eastAsia="en-GB"/>
              </w:rPr>
            </w:pPr>
            <w:r w:rsidRPr="001534B3">
              <w:rPr>
                <w:rFonts w:ascii="Arial Narrow" w:hAnsi="Arial Narrow" w:cs="Times New Roman"/>
                <w:b/>
                <w:iCs/>
                <w:sz w:val="19"/>
                <w:szCs w:val="19"/>
                <w:lang w:eastAsia="en-GB"/>
              </w:rPr>
              <w:t xml:space="preserve">Estimation </w:t>
            </w:r>
            <w:r w:rsidR="00FC5BF2" w:rsidRPr="001534B3">
              <w:rPr>
                <w:rFonts w:ascii="Arial Narrow" w:hAnsi="Arial Narrow" w:cs="Times New Roman"/>
                <w:b/>
                <w:iCs/>
                <w:sz w:val="19"/>
                <w:szCs w:val="19"/>
                <w:lang w:eastAsia="en-GB"/>
              </w:rPr>
              <w:t xml:space="preserve">of </w:t>
            </w:r>
            <w:r w:rsidRPr="001534B3">
              <w:rPr>
                <w:rFonts w:ascii="Arial Narrow" w:hAnsi="Arial Narrow" w:cs="Times New Roman"/>
                <w:b/>
                <w:iCs/>
                <w:sz w:val="19"/>
                <w:szCs w:val="19"/>
                <w:lang w:eastAsia="en-GB"/>
              </w:rPr>
              <w:t>changes in use and financial impact of currently listed treatments (PBS/RPBS)</w:t>
            </w:r>
          </w:p>
        </w:tc>
      </w:tr>
      <w:tr w:rsidR="007E6C9D" w:rsidRPr="001534B3" w14:paraId="5E30042B" w14:textId="77777777" w:rsidTr="00FC5BF2">
        <w:trPr>
          <w:trHeight w:val="20"/>
        </w:trPr>
        <w:tc>
          <w:tcPr>
            <w:tcW w:w="905" w:type="pct"/>
            <w:tcBorders>
              <w:top w:val="single" w:sz="4" w:space="0" w:color="auto"/>
              <w:left w:val="single" w:sz="4" w:space="0" w:color="auto"/>
              <w:bottom w:val="nil"/>
              <w:right w:val="single" w:sz="4" w:space="0" w:color="auto"/>
            </w:tcBorders>
            <w:vAlign w:val="center"/>
            <w:hideMark/>
          </w:tcPr>
          <w:p w14:paraId="0959DEAF" w14:textId="4D680FB8" w:rsidR="00BA224D" w:rsidRPr="001534B3" w:rsidRDefault="00BA224D" w:rsidP="006229E0">
            <w:pPr>
              <w:keepNext/>
              <w:keepLines/>
              <w:widowControl w:val="0"/>
              <w:ind w:left="-38"/>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 xml:space="preserve">Other meds, cost </w:t>
            </w:r>
            <w:r w:rsidR="00FC5BF2" w:rsidRPr="001534B3">
              <w:rPr>
                <w:rFonts w:ascii="Arial Narrow" w:hAnsi="Arial Narrow" w:cs="Times New Roman"/>
                <w:iCs/>
                <w:sz w:val="19"/>
                <w:szCs w:val="19"/>
                <w:lang w:eastAsia="en-GB"/>
              </w:rPr>
              <w:t xml:space="preserve">to </w:t>
            </w:r>
            <w:r w:rsidRPr="001534B3">
              <w:rPr>
                <w:rFonts w:ascii="Arial Narrow" w:hAnsi="Arial Narrow" w:cs="Times New Roman"/>
                <w:iCs/>
                <w:sz w:val="19"/>
                <w:szCs w:val="19"/>
                <w:lang w:eastAsia="en-GB"/>
              </w:rPr>
              <w:t>PBS/RPBS</w:t>
            </w:r>
          </w:p>
        </w:tc>
        <w:tc>
          <w:tcPr>
            <w:tcW w:w="583" w:type="pct"/>
            <w:tcBorders>
              <w:top w:val="single" w:sz="4" w:space="0" w:color="auto"/>
              <w:left w:val="single" w:sz="4" w:space="0" w:color="auto"/>
              <w:bottom w:val="nil"/>
              <w:right w:val="single" w:sz="4" w:space="0" w:color="auto"/>
            </w:tcBorders>
            <w:vAlign w:val="center"/>
          </w:tcPr>
          <w:p w14:paraId="57C0A4E2" w14:textId="34651027" w:rsidR="00BA224D" w:rsidRPr="0043334D" w:rsidRDefault="00BD6E95" w:rsidP="006229E0">
            <w:pPr>
              <w:pStyle w:val="TableText0"/>
              <w:keepLines/>
              <w:jc w:val="center"/>
              <w:rPr>
                <w:rFonts w:cs="Times New Roman"/>
                <w:iCs/>
                <w:szCs w:val="20"/>
                <w:highlight w:val="darkGray"/>
                <w:lang w:eastAsia="en-GB"/>
              </w:rPr>
            </w:pPr>
            <w:r w:rsidRPr="00BD6E95">
              <w:rPr>
                <w:rFonts w:cs="Times New Roman"/>
                <w:iCs/>
                <w:color w:val="000000"/>
                <w:spacing w:val="53"/>
                <w:szCs w:val="20"/>
                <w:shd w:val="solid" w:color="000000" w:fill="000000"/>
                <w:fitText w:val="330" w:id="-632053494"/>
                <w:lang w:eastAsia="en-GB"/>
                <w14:textFill>
                  <w14:solidFill>
                    <w14:srgbClr w14:val="000000">
                      <w14:alpha w14:val="100000"/>
                    </w14:srgbClr>
                  </w14:solidFill>
                </w14:textFill>
              </w:rPr>
              <w:t>|||</w:t>
            </w:r>
            <w:r w:rsidRPr="00BD6E95">
              <w:rPr>
                <w:rFonts w:cs="Times New Roman"/>
                <w:iCs/>
                <w:color w:val="000000"/>
                <w:spacing w:val="1"/>
                <w:szCs w:val="20"/>
                <w:shd w:val="solid" w:color="000000" w:fill="000000"/>
                <w:fitText w:val="330" w:id="-632053494"/>
                <w:lang w:eastAsia="en-GB"/>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81" w:type="pct"/>
            <w:tcBorders>
              <w:top w:val="single" w:sz="4" w:space="0" w:color="auto"/>
              <w:left w:val="single" w:sz="4" w:space="0" w:color="auto"/>
              <w:bottom w:val="nil"/>
              <w:right w:val="single" w:sz="4" w:space="0" w:color="auto"/>
            </w:tcBorders>
            <w:vAlign w:val="center"/>
          </w:tcPr>
          <w:p w14:paraId="14824C9E" w14:textId="1004F832" w:rsidR="00BA224D" w:rsidRPr="0043334D" w:rsidRDefault="00BD6E95" w:rsidP="006229E0">
            <w:pPr>
              <w:pStyle w:val="TableText0"/>
              <w:keepLines/>
              <w:jc w:val="center"/>
              <w:rPr>
                <w:rFonts w:cs="Times New Roman"/>
                <w:iCs/>
                <w:szCs w:val="20"/>
                <w:highlight w:val="darkGray"/>
                <w:lang w:eastAsia="en-GB"/>
              </w:rPr>
            </w:pPr>
            <w:r w:rsidRPr="00BD6E95">
              <w:rPr>
                <w:rFonts w:cs="Times New Roman"/>
                <w:iCs/>
                <w:color w:val="000000"/>
                <w:spacing w:val="51"/>
                <w:szCs w:val="20"/>
                <w:shd w:val="solid" w:color="000000" w:fill="000000"/>
                <w:fitText w:val="324" w:id="-632053493"/>
                <w:lang w:eastAsia="en-GB"/>
                <w14:textFill>
                  <w14:solidFill>
                    <w14:srgbClr w14:val="000000">
                      <w14:alpha w14:val="100000"/>
                    </w14:srgbClr>
                  </w14:solidFill>
                </w14:textFill>
              </w:rPr>
              <w:t>|||</w:t>
            </w:r>
            <w:r w:rsidRPr="00BD6E95">
              <w:rPr>
                <w:rFonts w:cs="Times New Roman"/>
                <w:iCs/>
                <w:color w:val="000000"/>
                <w:spacing w:val="1"/>
                <w:szCs w:val="20"/>
                <w:shd w:val="solid" w:color="000000" w:fill="000000"/>
                <w:fitText w:val="324" w:id="-632053493"/>
                <w:lang w:eastAsia="en-GB"/>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81" w:type="pct"/>
            <w:tcBorders>
              <w:top w:val="single" w:sz="4" w:space="0" w:color="auto"/>
              <w:left w:val="single" w:sz="4" w:space="0" w:color="auto"/>
              <w:bottom w:val="nil"/>
              <w:right w:val="single" w:sz="4" w:space="0" w:color="auto"/>
            </w:tcBorders>
            <w:vAlign w:val="center"/>
          </w:tcPr>
          <w:p w14:paraId="65C20D0F" w14:textId="52205778" w:rsidR="00BA224D" w:rsidRPr="0043334D" w:rsidRDefault="00BD6E95" w:rsidP="006229E0">
            <w:pPr>
              <w:pStyle w:val="TableText0"/>
              <w:keepLines/>
              <w:jc w:val="center"/>
              <w:rPr>
                <w:rFonts w:cs="Times New Roman"/>
                <w:iCs/>
                <w:szCs w:val="20"/>
                <w:highlight w:val="darkGray"/>
                <w:lang w:eastAsia="en-GB"/>
              </w:rPr>
            </w:pPr>
            <w:r w:rsidRPr="00BD6E95">
              <w:rPr>
                <w:rFonts w:cs="Times New Roman"/>
                <w:iCs/>
                <w:color w:val="000000"/>
                <w:spacing w:val="51"/>
                <w:szCs w:val="20"/>
                <w:shd w:val="solid" w:color="000000" w:fill="000000"/>
                <w:fitText w:val="324" w:id="-632053492"/>
                <w:lang w:eastAsia="en-GB"/>
                <w14:textFill>
                  <w14:solidFill>
                    <w14:srgbClr w14:val="000000">
                      <w14:alpha w14:val="100000"/>
                    </w14:srgbClr>
                  </w14:solidFill>
                </w14:textFill>
              </w:rPr>
              <w:t>|||</w:t>
            </w:r>
            <w:r w:rsidRPr="00BD6E95">
              <w:rPr>
                <w:rFonts w:cs="Times New Roman"/>
                <w:iCs/>
                <w:color w:val="000000"/>
                <w:spacing w:val="1"/>
                <w:szCs w:val="20"/>
                <w:shd w:val="solid" w:color="000000" w:fill="000000"/>
                <w:fitText w:val="324" w:id="-632053492"/>
                <w:lang w:eastAsia="en-GB"/>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606" w:type="pct"/>
            <w:tcBorders>
              <w:top w:val="single" w:sz="4" w:space="0" w:color="auto"/>
              <w:left w:val="single" w:sz="4" w:space="0" w:color="auto"/>
              <w:bottom w:val="nil"/>
              <w:right w:val="single" w:sz="4" w:space="0" w:color="auto"/>
            </w:tcBorders>
            <w:vAlign w:val="center"/>
          </w:tcPr>
          <w:p w14:paraId="607BD31C" w14:textId="53FEFDA1" w:rsidR="00BA224D" w:rsidRPr="0043334D" w:rsidRDefault="00BD6E95" w:rsidP="006229E0">
            <w:pPr>
              <w:pStyle w:val="TableText0"/>
              <w:keepLines/>
              <w:jc w:val="center"/>
              <w:rPr>
                <w:rFonts w:cs="Times New Roman"/>
                <w:iCs/>
                <w:szCs w:val="20"/>
                <w:highlight w:val="darkGray"/>
                <w:lang w:eastAsia="en-GB"/>
              </w:rPr>
            </w:pPr>
            <w:r w:rsidRPr="00BD6E95">
              <w:rPr>
                <w:rFonts w:cs="Times New Roman"/>
                <w:iCs/>
                <w:color w:val="000000"/>
                <w:spacing w:val="51"/>
                <w:szCs w:val="20"/>
                <w:shd w:val="solid" w:color="000000" w:fill="000000"/>
                <w:fitText w:val="324" w:id="-632053491"/>
                <w:lang w:eastAsia="en-GB"/>
                <w14:textFill>
                  <w14:solidFill>
                    <w14:srgbClr w14:val="000000">
                      <w14:alpha w14:val="100000"/>
                    </w14:srgbClr>
                  </w14:solidFill>
                </w14:textFill>
              </w:rPr>
              <w:t>|||</w:t>
            </w:r>
            <w:r w:rsidRPr="00BD6E95">
              <w:rPr>
                <w:rFonts w:cs="Times New Roman"/>
                <w:iCs/>
                <w:color w:val="000000"/>
                <w:spacing w:val="1"/>
                <w:szCs w:val="20"/>
                <w:shd w:val="solid" w:color="000000" w:fill="000000"/>
                <w:fitText w:val="324" w:id="-632053491"/>
                <w:lang w:eastAsia="en-GB"/>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65" w:type="pct"/>
            <w:tcBorders>
              <w:top w:val="single" w:sz="4" w:space="0" w:color="auto"/>
              <w:left w:val="single" w:sz="4" w:space="0" w:color="auto"/>
              <w:bottom w:val="nil"/>
              <w:right w:val="single" w:sz="4" w:space="0" w:color="auto"/>
            </w:tcBorders>
            <w:vAlign w:val="center"/>
          </w:tcPr>
          <w:p w14:paraId="095ED123" w14:textId="4BDD3465" w:rsidR="00BA224D" w:rsidRPr="0043334D" w:rsidRDefault="00BD6E95" w:rsidP="006229E0">
            <w:pPr>
              <w:pStyle w:val="TableText0"/>
              <w:keepLines/>
              <w:jc w:val="center"/>
              <w:rPr>
                <w:rFonts w:cs="Times New Roman"/>
                <w:iCs/>
                <w:szCs w:val="20"/>
                <w:highlight w:val="darkGray"/>
                <w:lang w:eastAsia="en-GB"/>
              </w:rPr>
            </w:pPr>
            <w:r w:rsidRPr="00BD6E95">
              <w:rPr>
                <w:rFonts w:cs="Times New Roman"/>
                <w:iCs/>
                <w:color w:val="000000"/>
                <w:spacing w:val="53"/>
                <w:szCs w:val="20"/>
                <w:shd w:val="solid" w:color="000000" w:fill="000000"/>
                <w:fitText w:val="330" w:id="-632053490"/>
                <w:lang w:eastAsia="en-GB"/>
                <w14:textFill>
                  <w14:solidFill>
                    <w14:srgbClr w14:val="000000">
                      <w14:alpha w14:val="100000"/>
                    </w14:srgbClr>
                  </w14:solidFill>
                </w14:textFill>
              </w:rPr>
              <w:t>|||</w:t>
            </w:r>
            <w:r w:rsidRPr="00BD6E95">
              <w:rPr>
                <w:rFonts w:cs="Times New Roman"/>
                <w:iCs/>
                <w:color w:val="000000"/>
                <w:spacing w:val="1"/>
                <w:szCs w:val="20"/>
                <w:shd w:val="solid" w:color="000000" w:fill="000000"/>
                <w:fitText w:val="330" w:id="-632053490"/>
                <w:lang w:eastAsia="en-GB"/>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81" w:type="pct"/>
            <w:tcBorders>
              <w:top w:val="single" w:sz="4" w:space="0" w:color="auto"/>
              <w:left w:val="single" w:sz="4" w:space="0" w:color="auto"/>
              <w:bottom w:val="nil"/>
              <w:right w:val="single" w:sz="4" w:space="0" w:color="auto"/>
            </w:tcBorders>
            <w:vAlign w:val="center"/>
          </w:tcPr>
          <w:p w14:paraId="1589D7C7" w14:textId="6D54FA92" w:rsidR="00BA224D" w:rsidRPr="0043334D" w:rsidRDefault="00BD6E95" w:rsidP="006229E0">
            <w:pPr>
              <w:pStyle w:val="TableText0"/>
              <w:keepLines/>
              <w:jc w:val="center"/>
              <w:rPr>
                <w:rFonts w:cs="Times New Roman"/>
                <w:iCs/>
                <w:szCs w:val="20"/>
                <w:highlight w:val="darkGray"/>
                <w:lang w:eastAsia="en-GB"/>
              </w:rPr>
            </w:pPr>
            <w:r w:rsidRPr="00BD6E95">
              <w:rPr>
                <w:rFonts w:cs="Times New Roman"/>
                <w:iCs/>
                <w:color w:val="000000"/>
                <w:spacing w:val="51"/>
                <w:szCs w:val="20"/>
                <w:shd w:val="solid" w:color="000000" w:fill="000000"/>
                <w:fitText w:val="324" w:id="-632053489"/>
                <w:lang w:eastAsia="en-GB"/>
                <w14:textFill>
                  <w14:solidFill>
                    <w14:srgbClr w14:val="000000">
                      <w14:alpha w14:val="100000"/>
                    </w14:srgbClr>
                  </w14:solidFill>
                </w14:textFill>
              </w:rPr>
              <w:t>|||</w:t>
            </w:r>
            <w:r w:rsidRPr="00BD6E95">
              <w:rPr>
                <w:rFonts w:cs="Times New Roman"/>
                <w:iCs/>
                <w:color w:val="000000"/>
                <w:spacing w:val="1"/>
                <w:szCs w:val="20"/>
                <w:shd w:val="solid" w:color="000000" w:fill="000000"/>
                <w:fitText w:val="324" w:id="-632053489"/>
                <w:lang w:eastAsia="en-GB"/>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98" w:type="pct"/>
            <w:tcBorders>
              <w:top w:val="single" w:sz="4" w:space="0" w:color="auto"/>
              <w:left w:val="single" w:sz="4" w:space="0" w:color="auto"/>
              <w:bottom w:val="nil"/>
              <w:right w:val="single" w:sz="4" w:space="0" w:color="auto"/>
            </w:tcBorders>
            <w:vAlign w:val="center"/>
          </w:tcPr>
          <w:p w14:paraId="64279946" w14:textId="322277CC" w:rsidR="00BA224D" w:rsidRPr="0043334D" w:rsidRDefault="00BD6E95" w:rsidP="006229E0">
            <w:pPr>
              <w:pStyle w:val="TableText0"/>
              <w:keepLines/>
              <w:jc w:val="center"/>
              <w:rPr>
                <w:rFonts w:cs="Arial"/>
                <w:iCs/>
                <w:color w:val="000000"/>
                <w:szCs w:val="20"/>
                <w:highlight w:val="darkGray"/>
              </w:rPr>
            </w:pPr>
            <w:r w:rsidRPr="00BD6E95">
              <w:rPr>
                <w:rFonts w:cs="Arial"/>
                <w:iCs/>
                <w:color w:val="000000"/>
                <w:spacing w:val="53"/>
                <w:szCs w:val="20"/>
                <w:shd w:val="solid" w:color="000000" w:fill="000000"/>
                <w:fitText w:val="330" w:id="-632053488"/>
                <w14:textFill>
                  <w14:solidFill>
                    <w14:srgbClr w14:val="000000">
                      <w14:alpha w14:val="100000"/>
                    </w14:srgbClr>
                  </w14:solidFill>
                </w14:textFill>
              </w:rPr>
              <w:t>|||</w:t>
            </w:r>
            <w:r w:rsidRPr="00BD6E95">
              <w:rPr>
                <w:rFonts w:cs="Arial"/>
                <w:iCs/>
                <w:color w:val="000000"/>
                <w:spacing w:val="1"/>
                <w:szCs w:val="20"/>
                <w:shd w:val="solid" w:color="000000" w:fill="000000"/>
                <w:fitText w:val="330" w:id="-632053488"/>
                <w14:textFill>
                  <w14:solidFill>
                    <w14:srgbClr w14:val="000000">
                      <w14:alpha w14:val="100000"/>
                    </w14:srgbClr>
                  </w14:solidFill>
                </w14:textFill>
              </w:rPr>
              <w:t>|</w:t>
            </w:r>
            <w:r w:rsidR="00A97F96" w:rsidRPr="00DB0162">
              <w:rPr>
                <w:rFonts w:cs="Times New Roman"/>
                <w:iCs/>
                <w:szCs w:val="20"/>
                <w:vertAlign w:val="superscript"/>
                <w:lang w:eastAsia="en-GB"/>
              </w:rPr>
              <w:t>9</w:t>
            </w:r>
          </w:p>
        </w:tc>
      </w:tr>
      <w:tr w:rsidR="007E6C9D" w:rsidRPr="001534B3" w14:paraId="06687607" w14:textId="77777777" w:rsidTr="008C7D15">
        <w:trPr>
          <w:trHeight w:val="20"/>
        </w:trPr>
        <w:tc>
          <w:tcPr>
            <w:tcW w:w="905" w:type="pct"/>
            <w:tcBorders>
              <w:top w:val="nil"/>
              <w:left w:val="single" w:sz="4" w:space="0" w:color="auto"/>
              <w:bottom w:val="nil"/>
              <w:right w:val="single" w:sz="4" w:space="0" w:color="auto"/>
            </w:tcBorders>
            <w:vAlign w:val="center"/>
          </w:tcPr>
          <w:p w14:paraId="731CDB7B" w14:textId="77777777" w:rsidR="00BA224D" w:rsidRPr="001534B3" w:rsidRDefault="00BA224D" w:rsidP="006229E0">
            <w:pPr>
              <w:keepNext/>
              <w:keepLines/>
              <w:widowControl w:val="0"/>
              <w:ind w:left="112"/>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Obinutuzumab</w:t>
            </w:r>
          </w:p>
        </w:tc>
        <w:tc>
          <w:tcPr>
            <w:tcW w:w="583" w:type="pct"/>
            <w:tcBorders>
              <w:top w:val="nil"/>
              <w:left w:val="single" w:sz="4" w:space="0" w:color="auto"/>
              <w:bottom w:val="nil"/>
              <w:right w:val="single" w:sz="4" w:space="0" w:color="auto"/>
            </w:tcBorders>
          </w:tcPr>
          <w:p w14:paraId="351CF32C" w14:textId="70BE5178"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3"/>
                <w:shd w:val="solid" w:color="000000" w:fill="000000"/>
                <w:fitText w:val="330" w:id="-632053504"/>
                <w14:textFill>
                  <w14:solidFill>
                    <w14:srgbClr w14:val="000000">
                      <w14:alpha w14:val="100000"/>
                    </w14:srgbClr>
                  </w14:solidFill>
                </w14:textFill>
              </w:rPr>
              <w:t>|||</w:t>
            </w:r>
            <w:r w:rsidRPr="00BD6E95">
              <w:rPr>
                <w:iCs/>
                <w:color w:val="000000"/>
                <w:spacing w:val="1"/>
                <w:shd w:val="solid" w:color="000000" w:fill="000000"/>
                <w:fitText w:val="330" w:id="-632053504"/>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nil"/>
              <w:right w:val="single" w:sz="4" w:space="0" w:color="auto"/>
            </w:tcBorders>
          </w:tcPr>
          <w:p w14:paraId="32A9B1A2" w14:textId="5660FA06"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3"/>
                <w:shd w:val="solid" w:color="000000" w:fill="000000"/>
                <w:fitText w:val="330" w:id="-632053503"/>
                <w14:textFill>
                  <w14:solidFill>
                    <w14:srgbClr w14:val="000000">
                      <w14:alpha w14:val="100000"/>
                    </w14:srgbClr>
                  </w14:solidFill>
                </w14:textFill>
              </w:rPr>
              <w:t>|||</w:t>
            </w:r>
            <w:r w:rsidRPr="00BD6E95">
              <w:rPr>
                <w:iCs/>
                <w:color w:val="000000"/>
                <w:spacing w:val="1"/>
                <w:shd w:val="solid" w:color="000000" w:fill="000000"/>
                <w:fitText w:val="330" w:id="-632053503"/>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nil"/>
              <w:right w:val="single" w:sz="4" w:space="0" w:color="auto"/>
            </w:tcBorders>
          </w:tcPr>
          <w:p w14:paraId="331054BE" w14:textId="26159085"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3"/>
                <w:shd w:val="solid" w:color="000000" w:fill="000000"/>
                <w:fitText w:val="330" w:id="-632053502"/>
                <w14:textFill>
                  <w14:solidFill>
                    <w14:srgbClr w14:val="000000">
                      <w14:alpha w14:val="100000"/>
                    </w14:srgbClr>
                  </w14:solidFill>
                </w14:textFill>
              </w:rPr>
              <w:t>|||</w:t>
            </w:r>
            <w:r w:rsidRPr="00BD6E95">
              <w:rPr>
                <w:iCs/>
                <w:color w:val="000000"/>
                <w:spacing w:val="1"/>
                <w:shd w:val="solid" w:color="000000" w:fill="000000"/>
                <w:fitText w:val="330" w:id="-632053502"/>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606" w:type="pct"/>
            <w:tcBorders>
              <w:top w:val="nil"/>
              <w:left w:val="single" w:sz="4" w:space="0" w:color="auto"/>
              <w:bottom w:val="nil"/>
              <w:right w:val="single" w:sz="4" w:space="0" w:color="auto"/>
            </w:tcBorders>
          </w:tcPr>
          <w:p w14:paraId="148FBC0B" w14:textId="18F05895"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3"/>
                <w:shd w:val="solid" w:color="000000" w:fill="000000"/>
                <w:fitText w:val="330" w:id="-632053501"/>
                <w14:textFill>
                  <w14:solidFill>
                    <w14:srgbClr w14:val="000000">
                      <w14:alpha w14:val="100000"/>
                    </w14:srgbClr>
                  </w14:solidFill>
                </w14:textFill>
              </w:rPr>
              <w:t>|||</w:t>
            </w:r>
            <w:r w:rsidRPr="00BD6E95">
              <w:rPr>
                <w:iCs/>
                <w:color w:val="000000"/>
                <w:spacing w:val="1"/>
                <w:shd w:val="solid" w:color="000000" w:fill="000000"/>
                <w:fitText w:val="330" w:id="-632053501"/>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65" w:type="pct"/>
            <w:tcBorders>
              <w:top w:val="nil"/>
              <w:left w:val="single" w:sz="4" w:space="0" w:color="auto"/>
              <w:bottom w:val="nil"/>
              <w:right w:val="single" w:sz="4" w:space="0" w:color="auto"/>
            </w:tcBorders>
          </w:tcPr>
          <w:p w14:paraId="692D9C41" w14:textId="75BCD184"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1"/>
                <w:shd w:val="solid" w:color="000000" w:fill="000000"/>
                <w:fitText w:val="324" w:id="-632053500"/>
                <w14:textFill>
                  <w14:solidFill>
                    <w14:srgbClr w14:val="000000">
                      <w14:alpha w14:val="100000"/>
                    </w14:srgbClr>
                  </w14:solidFill>
                </w14:textFill>
              </w:rPr>
              <w:t>|||</w:t>
            </w:r>
            <w:r w:rsidRPr="00BD6E95">
              <w:rPr>
                <w:iCs/>
                <w:color w:val="000000"/>
                <w:spacing w:val="1"/>
                <w:shd w:val="solid" w:color="000000" w:fill="000000"/>
                <w:fitText w:val="324" w:id="-632053500"/>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nil"/>
              <w:right w:val="single" w:sz="4" w:space="0" w:color="auto"/>
            </w:tcBorders>
          </w:tcPr>
          <w:p w14:paraId="15D0548A" w14:textId="02899192"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3"/>
                <w:shd w:val="solid" w:color="000000" w:fill="000000"/>
                <w:fitText w:val="330" w:id="-632053499"/>
                <w14:textFill>
                  <w14:solidFill>
                    <w14:srgbClr w14:val="000000">
                      <w14:alpha w14:val="100000"/>
                    </w14:srgbClr>
                  </w14:solidFill>
                </w14:textFill>
              </w:rPr>
              <w:t>|||</w:t>
            </w:r>
            <w:r w:rsidRPr="00BD6E95">
              <w:rPr>
                <w:iCs/>
                <w:color w:val="000000"/>
                <w:spacing w:val="1"/>
                <w:shd w:val="solid" w:color="000000" w:fill="000000"/>
                <w:fitText w:val="330" w:id="-632053499"/>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98" w:type="pct"/>
            <w:tcBorders>
              <w:top w:val="nil"/>
              <w:left w:val="single" w:sz="4" w:space="0" w:color="auto"/>
              <w:bottom w:val="nil"/>
              <w:right w:val="single" w:sz="4" w:space="0" w:color="auto"/>
            </w:tcBorders>
          </w:tcPr>
          <w:p w14:paraId="7447ED53" w14:textId="513544CA"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hd w:val="solid" w:color="000000" w:fill="000000"/>
                <w:fitText w:val="330" w:id="-632053498"/>
                <w14:textFill>
                  <w14:solidFill>
                    <w14:srgbClr w14:val="000000">
                      <w14:alpha w14:val="100000"/>
                    </w14:srgbClr>
                  </w14:solidFill>
                </w14:textFill>
              </w:rPr>
              <w:t>|||</w:t>
            </w:r>
            <w:r w:rsidRPr="00BD6E95">
              <w:rPr>
                <w:iCs/>
                <w:color w:val="000000"/>
                <w:spacing w:val="1"/>
                <w:shd w:val="solid" w:color="000000" w:fill="000000"/>
                <w:fitText w:val="330" w:id="-632053498"/>
                <w14:textFill>
                  <w14:solidFill>
                    <w14:srgbClr w14:val="000000">
                      <w14:alpha w14:val="100000"/>
                    </w14:srgbClr>
                  </w14:solidFill>
                </w14:textFill>
              </w:rPr>
              <w:t>|</w:t>
            </w:r>
            <w:r w:rsidR="00831EED" w:rsidRPr="00831EED">
              <w:rPr>
                <w:iCs/>
                <w:vertAlign w:val="superscript"/>
              </w:rPr>
              <w:t>10</w:t>
            </w:r>
          </w:p>
        </w:tc>
      </w:tr>
      <w:tr w:rsidR="007E6C9D" w:rsidRPr="001534B3" w14:paraId="03B94141" w14:textId="77777777" w:rsidTr="008C7D15">
        <w:trPr>
          <w:trHeight w:val="20"/>
        </w:trPr>
        <w:tc>
          <w:tcPr>
            <w:tcW w:w="905" w:type="pct"/>
            <w:tcBorders>
              <w:top w:val="nil"/>
              <w:left w:val="single" w:sz="4" w:space="0" w:color="auto"/>
              <w:bottom w:val="nil"/>
              <w:right w:val="single" w:sz="4" w:space="0" w:color="auto"/>
            </w:tcBorders>
            <w:vAlign w:val="center"/>
          </w:tcPr>
          <w:p w14:paraId="70849B2B" w14:textId="77777777" w:rsidR="00BA224D" w:rsidRPr="001534B3" w:rsidRDefault="00BA224D" w:rsidP="006229E0">
            <w:pPr>
              <w:keepNext/>
              <w:keepLines/>
              <w:widowControl w:val="0"/>
              <w:ind w:left="112"/>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Rituximab</w:t>
            </w:r>
          </w:p>
        </w:tc>
        <w:tc>
          <w:tcPr>
            <w:tcW w:w="583" w:type="pct"/>
            <w:tcBorders>
              <w:top w:val="nil"/>
              <w:left w:val="single" w:sz="4" w:space="0" w:color="auto"/>
              <w:bottom w:val="nil"/>
              <w:right w:val="single" w:sz="4" w:space="0" w:color="auto"/>
            </w:tcBorders>
          </w:tcPr>
          <w:p w14:paraId="2A41BC67" w14:textId="761E7A7B"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3"/>
                <w:shd w:val="solid" w:color="000000" w:fill="000000"/>
                <w:fitText w:val="330" w:id="-632053497"/>
                <w14:textFill>
                  <w14:solidFill>
                    <w14:srgbClr w14:val="000000">
                      <w14:alpha w14:val="100000"/>
                    </w14:srgbClr>
                  </w14:solidFill>
                </w14:textFill>
              </w:rPr>
              <w:t>|||</w:t>
            </w:r>
            <w:r w:rsidRPr="00BD6E95">
              <w:rPr>
                <w:iCs/>
                <w:color w:val="000000"/>
                <w:spacing w:val="1"/>
                <w:shd w:val="solid" w:color="000000" w:fill="000000"/>
                <w:fitText w:val="330" w:id="-632053497"/>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81" w:type="pct"/>
            <w:tcBorders>
              <w:top w:val="nil"/>
              <w:left w:val="single" w:sz="4" w:space="0" w:color="auto"/>
              <w:bottom w:val="nil"/>
              <w:right w:val="single" w:sz="4" w:space="0" w:color="auto"/>
            </w:tcBorders>
          </w:tcPr>
          <w:p w14:paraId="36E597F5" w14:textId="36A8F059"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1"/>
                <w:shd w:val="solid" w:color="000000" w:fill="000000"/>
                <w:fitText w:val="324" w:id="-632053496"/>
                <w14:textFill>
                  <w14:solidFill>
                    <w14:srgbClr w14:val="000000">
                      <w14:alpha w14:val="100000"/>
                    </w14:srgbClr>
                  </w14:solidFill>
                </w14:textFill>
              </w:rPr>
              <w:t>|||</w:t>
            </w:r>
            <w:r w:rsidRPr="00BD6E95">
              <w:rPr>
                <w:iCs/>
                <w:color w:val="000000"/>
                <w:spacing w:val="1"/>
                <w:shd w:val="solid" w:color="000000" w:fill="000000"/>
                <w:fitText w:val="324" w:id="-632053496"/>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81" w:type="pct"/>
            <w:tcBorders>
              <w:top w:val="nil"/>
              <w:left w:val="single" w:sz="4" w:space="0" w:color="auto"/>
              <w:bottom w:val="nil"/>
              <w:right w:val="single" w:sz="4" w:space="0" w:color="auto"/>
            </w:tcBorders>
          </w:tcPr>
          <w:p w14:paraId="210351FF" w14:textId="7E230A99"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1"/>
                <w:shd w:val="solid" w:color="000000" w:fill="000000"/>
                <w:fitText w:val="324" w:id="-632053495"/>
                <w14:textFill>
                  <w14:solidFill>
                    <w14:srgbClr w14:val="000000">
                      <w14:alpha w14:val="100000"/>
                    </w14:srgbClr>
                  </w14:solidFill>
                </w14:textFill>
              </w:rPr>
              <w:t>|||</w:t>
            </w:r>
            <w:r w:rsidRPr="00BD6E95">
              <w:rPr>
                <w:iCs/>
                <w:color w:val="000000"/>
                <w:spacing w:val="1"/>
                <w:shd w:val="solid" w:color="000000" w:fill="000000"/>
                <w:fitText w:val="324" w:id="-632053495"/>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606" w:type="pct"/>
            <w:tcBorders>
              <w:top w:val="nil"/>
              <w:left w:val="single" w:sz="4" w:space="0" w:color="auto"/>
              <w:bottom w:val="nil"/>
              <w:right w:val="single" w:sz="4" w:space="0" w:color="auto"/>
            </w:tcBorders>
          </w:tcPr>
          <w:p w14:paraId="176D5BC3" w14:textId="372AA050"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1"/>
                <w:shd w:val="solid" w:color="000000" w:fill="000000"/>
                <w:fitText w:val="324" w:id="-632053494"/>
                <w14:textFill>
                  <w14:solidFill>
                    <w14:srgbClr w14:val="000000">
                      <w14:alpha w14:val="100000"/>
                    </w14:srgbClr>
                  </w14:solidFill>
                </w14:textFill>
              </w:rPr>
              <w:t>|||</w:t>
            </w:r>
            <w:r w:rsidRPr="00BD6E95">
              <w:rPr>
                <w:iCs/>
                <w:color w:val="000000"/>
                <w:spacing w:val="1"/>
                <w:shd w:val="solid" w:color="000000" w:fill="000000"/>
                <w:fitText w:val="324" w:id="-632053494"/>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65" w:type="pct"/>
            <w:tcBorders>
              <w:top w:val="nil"/>
              <w:left w:val="single" w:sz="4" w:space="0" w:color="auto"/>
              <w:bottom w:val="nil"/>
              <w:right w:val="single" w:sz="4" w:space="0" w:color="auto"/>
            </w:tcBorders>
          </w:tcPr>
          <w:p w14:paraId="5965FD30" w14:textId="3025AA64"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3"/>
                <w:shd w:val="solid" w:color="000000" w:fill="000000"/>
                <w:fitText w:val="330" w:id="-632053493"/>
                <w14:textFill>
                  <w14:solidFill>
                    <w14:srgbClr w14:val="000000">
                      <w14:alpha w14:val="100000"/>
                    </w14:srgbClr>
                  </w14:solidFill>
                </w14:textFill>
              </w:rPr>
              <w:t>|||</w:t>
            </w:r>
            <w:r w:rsidRPr="00BD6E95">
              <w:rPr>
                <w:iCs/>
                <w:color w:val="000000"/>
                <w:spacing w:val="1"/>
                <w:shd w:val="solid" w:color="000000" w:fill="000000"/>
                <w:fitText w:val="330" w:id="-632053493"/>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81" w:type="pct"/>
            <w:tcBorders>
              <w:top w:val="nil"/>
              <w:left w:val="single" w:sz="4" w:space="0" w:color="auto"/>
              <w:bottom w:val="nil"/>
              <w:right w:val="single" w:sz="4" w:space="0" w:color="auto"/>
            </w:tcBorders>
          </w:tcPr>
          <w:p w14:paraId="38AF00DE" w14:textId="2B9A00F5"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1"/>
                <w:shd w:val="solid" w:color="000000" w:fill="000000"/>
                <w:fitText w:val="324" w:id="-632053492"/>
                <w14:textFill>
                  <w14:solidFill>
                    <w14:srgbClr w14:val="000000">
                      <w14:alpha w14:val="100000"/>
                    </w14:srgbClr>
                  </w14:solidFill>
                </w14:textFill>
              </w:rPr>
              <w:t>|||</w:t>
            </w:r>
            <w:r w:rsidRPr="00BD6E95">
              <w:rPr>
                <w:iCs/>
                <w:color w:val="000000"/>
                <w:spacing w:val="1"/>
                <w:shd w:val="solid" w:color="000000" w:fill="000000"/>
                <w:fitText w:val="324" w:id="-632053492"/>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98" w:type="pct"/>
            <w:tcBorders>
              <w:top w:val="nil"/>
              <w:left w:val="single" w:sz="4" w:space="0" w:color="auto"/>
              <w:bottom w:val="nil"/>
              <w:right w:val="single" w:sz="4" w:space="0" w:color="auto"/>
            </w:tcBorders>
          </w:tcPr>
          <w:p w14:paraId="2CC103BD" w14:textId="1B8BC78B"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hd w:val="solid" w:color="000000" w:fill="000000"/>
                <w:fitText w:val="330" w:id="-632053491"/>
                <w14:textFill>
                  <w14:solidFill>
                    <w14:srgbClr w14:val="000000">
                      <w14:alpha w14:val="100000"/>
                    </w14:srgbClr>
                  </w14:solidFill>
                </w14:textFill>
              </w:rPr>
              <w:t>|||</w:t>
            </w:r>
            <w:r w:rsidRPr="00BD6E95">
              <w:rPr>
                <w:iCs/>
                <w:color w:val="000000"/>
                <w:spacing w:val="1"/>
                <w:shd w:val="solid" w:color="000000" w:fill="000000"/>
                <w:fitText w:val="330" w:id="-632053491"/>
                <w14:textFill>
                  <w14:solidFill>
                    <w14:srgbClr w14:val="000000">
                      <w14:alpha w14:val="100000"/>
                    </w14:srgbClr>
                  </w14:solidFill>
                </w14:textFill>
              </w:rPr>
              <w:t>|</w:t>
            </w:r>
            <w:r w:rsidR="00DB0162" w:rsidRPr="00DB0162">
              <w:rPr>
                <w:rFonts w:cs="Times New Roman"/>
                <w:iCs/>
                <w:szCs w:val="20"/>
                <w:vertAlign w:val="superscript"/>
                <w:lang w:eastAsia="en-GB"/>
              </w:rPr>
              <w:t>9</w:t>
            </w:r>
          </w:p>
        </w:tc>
      </w:tr>
      <w:tr w:rsidR="007E6C9D" w:rsidRPr="001534B3" w14:paraId="15E156FA" w14:textId="77777777" w:rsidTr="008C7D15">
        <w:trPr>
          <w:trHeight w:val="20"/>
        </w:trPr>
        <w:tc>
          <w:tcPr>
            <w:tcW w:w="905" w:type="pct"/>
            <w:tcBorders>
              <w:top w:val="nil"/>
              <w:left w:val="single" w:sz="4" w:space="0" w:color="auto"/>
              <w:bottom w:val="single" w:sz="4" w:space="0" w:color="auto"/>
              <w:right w:val="single" w:sz="4" w:space="0" w:color="auto"/>
            </w:tcBorders>
            <w:vAlign w:val="center"/>
          </w:tcPr>
          <w:p w14:paraId="75091B0C" w14:textId="77777777" w:rsidR="00BA224D" w:rsidRPr="001534B3" w:rsidRDefault="00BA224D" w:rsidP="006229E0">
            <w:pPr>
              <w:keepNext/>
              <w:keepLines/>
              <w:widowControl w:val="0"/>
              <w:ind w:left="112"/>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Epcoritamab</w:t>
            </w:r>
          </w:p>
        </w:tc>
        <w:tc>
          <w:tcPr>
            <w:tcW w:w="583" w:type="pct"/>
            <w:tcBorders>
              <w:top w:val="nil"/>
              <w:left w:val="single" w:sz="4" w:space="0" w:color="auto"/>
              <w:bottom w:val="single" w:sz="4" w:space="0" w:color="auto"/>
              <w:right w:val="single" w:sz="4" w:space="0" w:color="auto"/>
            </w:tcBorders>
          </w:tcPr>
          <w:p w14:paraId="795FA3A7" w14:textId="6201FB90"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3"/>
                <w:shd w:val="solid" w:color="000000" w:fill="000000"/>
                <w:fitText w:val="330" w:id="-632053490"/>
                <w14:textFill>
                  <w14:solidFill>
                    <w14:srgbClr w14:val="000000">
                      <w14:alpha w14:val="100000"/>
                    </w14:srgbClr>
                  </w14:solidFill>
                </w14:textFill>
              </w:rPr>
              <w:t>|||</w:t>
            </w:r>
            <w:r w:rsidRPr="00BD6E95">
              <w:rPr>
                <w:iCs/>
                <w:color w:val="000000"/>
                <w:spacing w:val="1"/>
                <w:shd w:val="solid" w:color="000000" w:fill="000000"/>
                <w:fitText w:val="330" w:id="-632053490"/>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81" w:type="pct"/>
            <w:tcBorders>
              <w:top w:val="nil"/>
              <w:left w:val="single" w:sz="4" w:space="0" w:color="auto"/>
              <w:bottom w:val="single" w:sz="4" w:space="0" w:color="auto"/>
              <w:right w:val="single" w:sz="4" w:space="0" w:color="auto"/>
            </w:tcBorders>
          </w:tcPr>
          <w:p w14:paraId="65162717" w14:textId="3DA29B6D"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1"/>
                <w:shd w:val="solid" w:color="000000" w:fill="000000"/>
                <w:fitText w:val="324" w:id="-632053489"/>
                <w14:textFill>
                  <w14:solidFill>
                    <w14:srgbClr w14:val="000000">
                      <w14:alpha w14:val="100000"/>
                    </w14:srgbClr>
                  </w14:solidFill>
                </w14:textFill>
              </w:rPr>
              <w:t>|||</w:t>
            </w:r>
            <w:r w:rsidRPr="00BD6E95">
              <w:rPr>
                <w:iCs/>
                <w:color w:val="000000"/>
                <w:spacing w:val="1"/>
                <w:shd w:val="solid" w:color="000000" w:fill="000000"/>
                <w:fitText w:val="324" w:id="-632053489"/>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81" w:type="pct"/>
            <w:tcBorders>
              <w:top w:val="nil"/>
              <w:left w:val="single" w:sz="4" w:space="0" w:color="auto"/>
              <w:bottom w:val="single" w:sz="4" w:space="0" w:color="auto"/>
              <w:right w:val="single" w:sz="4" w:space="0" w:color="auto"/>
            </w:tcBorders>
          </w:tcPr>
          <w:p w14:paraId="1DE68D13" w14:textId="26FD4E1F"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1"/>
                <w:shd w:val="solid" w:color="000000" w:fill="000000"/>
                <w:fitText w:val="324" w:id="-632053488"/>
                <w14:textFill>
                  <w14:solidFill>
                    <w14:srgbClr w14:val="000000">
                      <w14:alpha w14:val="100000"/>
                    </w14:srgbClr>
                  </w14:solidFill>
                </w14:textFill>
              </w:rPr>
              <w:t>|||</w:t>
            </w:r>
            <w:r w:rsidRPr="00BD6E95">
              <w:rPr>
                <w:iCs/>
                <w:color w:val="000000"/>
                <w:spacing w:val="1"/>
                <w:shd w:val="solid" w:color="000000" w:fill="000000"/>
                <w:fitText w:val="324" w:id="-632053488"/>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606" w:type="pct"/>
            <w:tcBorders>
              <w:top w:val="nil"/>
              <w:left w:val="single" w:sz="4" w:space="0" w:color="auto"/>
              <w:bottom w:val="single" w:sz="4" w:space="0" w:color="auto"/>
              <w:right w:val="single" w:sz="4" w:space="0" w:color="auto"/>
            </w:tcBorders>
          </w:tcPr>
          <w:p w14:paraId="30BEE513" w14:textId="106AD1F5"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1"/>
                <w:shd w:val="solid" w:color="000000" w:fill="000000"/>
                <w:fitText w:val="324" w:id="-632053504"/>
                <w14:textFill>
                  <w14:solidFill>
                    <w14:srgbClr w14:val="000000">
                      <w14:alpha w14:val="100000"/>
                    </w14:srgbClr>
                  </w14:solidFill>
                </w14:textFill>
              </w:rPr>
              <w:t>|||</w:t>
            </w:r>
            <w:r w:rsidRPr="00BD6E95">
              <w:rPr>
                <w:iCs/>
                <w:color w:val="000000"/>
                <w:spacing w:val="1"/>
                <w:shd w:val="solid" w:color="000000" w:fill="000000"/>
                <w:fitText w:val="324" w:id="-632053504"/>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65" w:type="pct"/>
            <w:tcBorders>
              <w:top w:val="nil"/>
              <w:left w:val="single" w:sz="4" w:space="0" w:color="auto"/>
              <w:bottom w:val="single" w:sz="4" w:space="0" w:color="auto"/>
              <w:right w:val="single" w:sz="4" w:space="0" w:color="auto"/>
            </w:tcBorders>
          </w:tcPr>
          <w:p w14:paraId="2666D535" w14:textId="314C8C58"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3"/>
                <w:shd w:val="solid" w:color="000000" w:fill="000000"/>
                <w:fitText w:val="330" w:id="-632053503"/>
                <w14:textFill>
                  <w14:solidFill>
                    <w14:srgbClr w14:val="000000">
                      <w14:alpha w14:val="100000"/>
                    </w14:srgbClr>
                  </w14:solidFill>
                </w14:textFill>
              </w:rPr>
              <w:t>|||</w:t>
            </w:r>
            <w:r w:rsidRPr="00BD6E95">
              <w:rPr>
                <w:iCs/>
                <w:color w:val="000000"/>
                <w:spacing w:val="1"/>
                <w:shd w:val="solid" w:color="000000" w:fill="000000"/>
                <w:fitText w:val="330" w:id="-632053503"/>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81" w:type="pct"/>
            <w:tcBorders>
              <w:top w:val="nil"/>
              <w:left w:val="single" w:sz="4" w:space="0" w:color="auto"/>
              <w:bottom w:val="single" w:sz="4" w:space="0" w:color="auto"/>
              <w:right w:val="single" w:sz="4" w:space="0" w:color="auto"/>
            </w:tcBorders>
          </w:tcPr>
          <w:p w14:paraId="520E1AC9" w14:textId="26462C11" w:rsidR="00BA224D" w:rsidRPr="0043334D" w:rsidRDefault="00BD6E95" w:rsidP="006229E0">
            <w:pPr>
              <w:pStyle w:val="TableText0"/>
              <w:keepLines/>
              <w:jc w:val="center"/>
              <w:rPr>
                <w:rFonts w:cs="Times New Roman"/>
                <w:iCs/>
                <w:szCs w:val="20"/>
                <w:highlight w:val="darkGray"/>
                <w:lang w:eastAsia="en-GB"/>
              </w:rPr>
            </w:pPr>
            <w:r w:rsidRPr="00BD6E95">
              <w:rPr>
                <w:iCs/>
                <w:color w:val="000000"/>
                <w:spacing w:val="51"/>
                <w:shd w:val="solid" w:color="000000" w:fill="000000"/>
                <w:fitText w:val="324" w:id="-632053502"/>
                <w14:textFill>
                  <w14:solidFill>
                    <w14:srgbClr w14:val="000000">
                      <w14:alpha w14:val="100000"/>
                    </w14:srgbClr>
                  </w14:solidFill>
                </w14:textFill>
              </w:rPr>
              <w:t>|||</w:t>
            </w:r>
            <w:r w:rsidRPr="00BD6E95">
              <w:rPr>
                <w:iCs/>
                <w:color w:val="000000"/>
                <w:spacing w:val="1"/>
                <w:shd w:val="solid" w:color="000000" w:fill="000000"/>
                <w:fitText w:val="324" w:id="-632053502"/>
                <w14:textFill>
                  <w14:solidFill>
                    <w14:srgbClr w14:val="000000">
                      <w14:alpha w14:val="100000"/>
                    </w14:srgbClr>
                  </w14:solidFill>
                </w14:textFill>
              </w:rPr>
              <w:t>|</w:t>
            </w:r>
            <w:r w:rsidR="00DB0162" w:rsidRPr="00DB0162">
              <w:rPr>
                <w:rFonts w:cs="Times New Roman"/>
                <w:iCs/>
                <w:szCs w:val="20"/>
                <w:vertAlign w:val="superscript"/>
                <w:lang w:eastAsia="en-GB"/>
              </w:rPr>
              <w:t>9</w:t>
            </w:r>
          </w:p>
        </w:tc>
        <w:tc>
          <w:tcPr>
            <w:tcW w:w="598" w:type="pct"/>
            <w:tcBorders>
              <w:top w:val="nil"/>
              <w:left w:val="single" w:sz="4" w:space="0" w:color="auto"/>
              <w:bottom w:val="single" w:sz="4" w:space="0" w:color="auto"/>
              <w:right w:val="single" w:sz="4" w:space="0" w:color="auto"/>
            </w:tcBorders>
          </w:tcPr>
          <w:p w14:paraId="02266445" w14:textId="7BFDC82B"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hd w:val="solid" w:color="000000" w:fill="000000"/>
                <w:fitText w:val="330" w:id="-632053501"/>
                <w14:textFill>
                  <w14:solidFill>
                    <w14:srgbClr w14:val="000000">
                      <w14:alpha w14:val="100000"/>
                    </w14:srgbClr>
                  </w14:solidFill>
                </w14:textFill>
              </w:rPr>
              <w:t>|||</w:t>
            </w:r>
            <w:r w:rsidRPr="00BD6E95">
              <w:rPr>
                <w:iCs/>
                <w:color w:val="000000"/>
                <w:spacing w:val="1"/>
                <w:shd w:val="solid" w:color="000000" w:fill="000000"/>
                <w:fitText w:val="330" w:id="-632053501"/>
                <w14:textFill>
                  <w14:solidFill>
                    <w14:srgbClr w14:val="000000">
                      <w14:alpha w14:val="100000"/>
                    </w14:srgbClr>
                  </w14:solidFill>
                </w14:textFill>
              </w:rPr>
              <w:t>|</w:t>
            </w:r>
            <w:r w:rsidR="00E26D90" w:rsidRPr="00DB0162">
              <w:rPr>
                <w:rFonts w:cs="Times New Roman"/>
                <w:iCs/>
                <w:szCs w:val="20"/>
                <w:vertAlign w:val="superscript"/>
                <w:lang w:eastAsia="en-GB"/>
              </w:rPr>
              <w:t>9</w:t>
            </w:r>
          </w:p>
        </w:tc>
      </w:tr>
      <w:tr w:rsidR="00BA224D" w:rsidRPr="001534B3" w14:paraId="2581B70F" w14:textId="77777777" w:rsidTr="00997B48">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00D2793D" w14:textId="625CC2FE" w:rsidR="00BA224D" w:rsidRPr="001534B3" w:rsidRDefault="00BA224D" w:rsidP="006229E0">
            <w:pPr>
              <w:keepNext/>
              <w:keepLines/>
              <w:widowControl w:val="0"/>
              <w:jc w:val="left"/>
              <w:rPr>
                <w:rFonts w:ascii="Arial Narrow" w:hAnsi="Arial Narrow" w:cs="Times New Roman"/>
                <w:b/>
                <w:iCs/>
                <w:sz w:val="19"/>
                <w:szCs w:val="19"/>
                <w:lang w:eastAsia="en-GB"/>
              </w:rPr>
            </w:pPr>
            <w:r w:rsidRPr="001534B3">
              <w:rPr>
                <w:rFonts w:ascii="Arial Narrow" w:hAnsi="Arial Narrow" w:cs="Times New Roman"/>
                <w:b/>
                <w:iCs/>
                <w:sz w:val="19"/>
                <w:szCs w:val="19"/>
                <w:lang w:eastAsia="en-GB"/>
              </w:rPr>
              <w:t>Estimated financial implications for the PBS/RPBS</w:t>
            </w:r>
            <w:r w:rsidR="004939E9" w:rsidRPr="001534B3">
              <w:rPr>
                <w:rFonts w:ascii="Arial Narrow" w:hAnsi="Arial Narrow" w:cs="Times New Roman"/>
                <w:b/>
                <w:iCs/>
                <w:sz w:val="19"/>
                <w:szCs w:val="19"/>
                <w:lang w:eastAsia="en-GB"/>
              </w:rPr>
              <w:t xml:space="preserve"> and the health budget</w:t>
            </w:r>
          </w:p>
        </w:tc>
      </w:tr>
      <w:tr w:rsidR="00FC5BF2" w:rsidRPr="001534B3" w14:paraId="42D40C9D" w14:textId="77777777" w:rsidTr="00D43CEF">
        <w:trPr>
          <w:trHeight w:val="20"/>
        </w:trPr>
        <w:tc>
          <w:tcPr>
            <w:tcW w:w="905" w:type="pct"/>
            <w:tcBorders>
              <w:top w:val="single" w:sz="4" w:space="0" w:color="auto"/>
              <w:left w:val="single" w:sz="4" w:space="0" w:color="auto"/>
              <w:bottom w:val="nil"/>
              <w:right w:val="single" w:sz="4" w:space="0" w:color="auto"/>
            </w:tcBorders>
            <w:vAlign w:val="center"/>
          </w:tcPr>
          <w:p w14:paraId="5EE0C78C" w14:textId="38636B12" w:rsidR="00FC5BF2" w:rsidRPr="001534B3" w:rsidRDefault="00FC5BF2" w:rsidP="006229E0">
            <w:pPr>
              <w:keepNext/>
              <w:keepLines/>
              <w:widowControl w:val="0"/>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Net cost to PBS/RPBS</w:t>
            </w:r>
          </w:p>
        </w:tc>
        <w:tc>
          <w:tcPr>
            <w:tcW w:w="583" w:type="pct"/>
            <w:tcBorders>
              <w:top w:val="single" w:sz="4" w:space="0" w:color="auto"/>
              <w:left w:val="single" w:sz="4" w:space="0" w:color="auto"/>
              <w:bottom w:val="nil"/>
              <w:right w:val="single" w:sz="4" w:space="0" w:color="auto"/>
            </w:tcBorders>
          </w:tcPr>
          <w:p w14:paraId="70542EC2" w14:textId="55960B2F" w:rsidR="00FC5BF2"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500"/>
                <w14:textFill>
                  <w14:solidFill>
                    <w14:srgbClr w14:val="000000">
                      <w14:alpha w14:val="100000"/>
                    </w14:srgbClr>
                  </w14:solidFill>
                </w14:textFill>
              </w:rPr>
              <w:t>|||</w:t>
            </w:r>
            <w:r w:rsidRPr="00BD6E95">
              <w:rPr>
                <w:iCs/>
                <w:color w:val="000000"/>
                <w:spacing w:val="1"/>
                <w:szCs w:val="20"/>
                <w:shd w:val="solid" w:color="000000" w:fill="000000"/>
                <w:fitText w:val="330" w:id="-632053500"/>
                <w14:textFill>
                  <w14:solidFill>
                    <w14:srgbClr w14:val="000000">
                      <w14:alpha w14:val="100000"/>
                    </w14:srgbClr>
                  </w14:solidFill>
                </w14:textFill>
              </w:rPr>
              <w:t>|</w:t>
            </w:r>
            <w:r w:rsidR="00786D0D" w:rsidRPr="00786D0D">
              <w:rPr>
                <w:iCs/>
                <w:szCs w:val="20"/>
                <w:vertAlign w:val="superscript"/>
              </w:rPr>
              <w:t>11</w:t>
            </w:r>
          </w:p>
        </w:tc>
        <w:tc>
          <w:tcPr>
            <w:tcW w:w="581" w:type="pct"/>
            <w:tcBorders>
              <w:top w:val="single" w:sz="4" w:space="0" w:color="auto"/>
              <w:left w:val="single" w:sz="4" w:space="0" w:color="auto"/>
              <w:bottom w:val="nil"/>
              <w:right w:val="single" w:sz="4" w:space="0" w:color="auto"/>
            </w:tcBorders>
          </w:tcPr>
          <w:p w14:paraId="6892ADB4" w14:textId="2016EBB9" w:rsidR="00FC5BF2"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499"/>
                <w14:textFill>
                  <w14:solidFill>
                    <w14:srgbClr w14:val="000000">
                      <w14:alpha w14:val="100000"/>
                    </w14:srgbClr>
                  </w14:solidFill>
                </w14:textFill>
              </w:rPr>
              <w:t>|||</w:t>
            </w:r>
            <w:r w:rsidRPr="00BD6E95">
              <w:rPr>
                <w:iCs/>
                <w:color w:val="000000"/>
                <w:spacing w:val="1"/>
                <w:szCs w:val="20"/>
                <w:shd w:val="solid" w:color="000000" w:fill="000000"/>
                <w:fitText w:val="324" w:id="-632053499"/>
                <w14:textFill>
                  <w14:solidFill>
                    <w14:srgbClr w14:val="000000">
                      <w14:alpha w14:val="100000"/>
                    </w14:srgbClr>
                  </w14:solidFill>
                </w14:textFill>
              </w:rPr>
              <w:t>|</w:t>
            </w:r>
            <w:r w:rsidR="00CF5E29" w:rsidRPr="00786D0D">
              <w:rPr>
                <w:iCs/>
                <w:szCs w:val="20"/>
                <w:vertAlign w:val="superscript"/>
              </w:rPr>
              <w:t>11</w:t>
            </w:r>
          </w:p>
        </w:tc>
        <w:tc>
          <w:tcPr>
            <w:tcW w:w="581" w:type="pct"/>
            <w:tcBorders>
              <w:top w:val="single" w:sz="4" w:space="0" w:color="auto"/>
              <w:left w:val="single" w:sz="4" w:space="0" w:color="auto"/>
              <w:bottom w:val="nil"/>
              <w:right w:val="single" w:sz="4" w:space="0" w:color="auto"/>
            </w:tcBorders>
          </w:tcPr>
          <w:p w14:paraId="5E1EBB83" w14:textId="3C25A13F" w:rsidR="00FC5BF2"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498"/>
                <w14:textFill>
                  <w14:solidFill>
                    <w14:srgbClr w14:val="000000">
                      <w14:alpha w14:val="100000"/>
                    </w14:srgbClr>
                  </w14:solidFill>
                </w14:textFill>
              </w:rPr>
              <w:t>|||</w:t>
            </w:r>
            <w:r w:rsidRPr="00BD6E95">
              <w:rPr>
                <w:iCs/>
                <w:color w:val="000000"/>
                <w:spacing w:val="1"/>
                <w:szCs w:val="20"/>
                <w:shd w:val="solid" w:color="000000" w:fill="000000"/>
                <w:fitText w:val="324" w:id="-632053498"/>
                <w14:textFill>
                  <w14:solidFill>
                    <w14:srgbClr w14:val="000000">
                      <w14:alpha w14:val="100000"/>
                    </w14:srgbClr>
                  </w14:solidFill>
                </w14:textFill>
              </w:rPr>
              <w:t>|</w:t>
            </w:r>
            <w:r w:rsidR="00CF5E29" w:rsidRPr="00786D0D">
              <w:rPr>
                <w:iCs/>
                <w:szCs w:val="20"/>
                <w:vertAlign w:val="superscript"/>
              </w:rPr>
              <w:t>11</w:t>
            </w:r>
          </w:p>
        </w:tc>
        <w:tc>
          <w:tcPr>
            <w:tcW w:w="606" w:type="pct"/>
            <w:tcBorders>
              <w:top w:val="single" w:sz="4" w:space="0" w:color="auto"/>
              <w:left w:val="single" w:sz="4" w:space="0" w:color="auto"/>
              <w:bottom w:val="nil"/>
              <w:right w:val="single" w:sz="4" w:space="0" w:color="auto"/>
            </w:tcBorders>
          </w:tcPr>
          <w:p w14:paraId="5C0C8AB9" w14:textId="5D885205" w:rsidR="00FC5BF2"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497"/>
                <w14:textFill>
                  <w14:solidFill>
                    <w14:srgbClr w14:val="000000">
                      <w14:alpha w14:val="100000"/>
                    </w14:srgbClr>
                  </w14:solidFill>
                </w14:textFill>
              </w:rPr>
              <w:t>|||</w:t>
            </w:r>
            <w:r w:rsidRPr="00BD6E95">
              <w:rPr>
                <w:iCs/>
                <w:color w:val="000000"/>
                <w:spacing w:val="1"/>
                <w:szCs w:val="20"/>
                <w:shd w:val="solid" w:color="000000" w:fill="000000"/>
                <w:fitText w:val="324" w:id="-632053497"/>
                <w14:textFill>
                  <w14:solidFill>
                    <w14:srgbClr w14:val="000000">
                      <w14:alpha w14:val="100000"/>
                    </w14:srgbClr>
                  </w14:solidFill>
                </w14:textFill>
              </w:rPr>
              <w:t>|</w:t>
            </w:r>
            <w:r w:rsidR="00EB70A7" w:rsidRPr="00EB70A7">
              <w:rPr>
                <w:iCs/>
                <w:szCs w:val="20"/>
                <w:vertAlign w:val="superscript"/>
              </w:rPr>
              <w:t>12</w:t>
            </w:r>
          </w:p>
        </w:tc>
        <w:tc>
          <w:tcPr>
            <w:tcW w:w="565" w:type="pct"/>
            <w:tcBorders>
              <w:top w:val="single" w:sz="4" w:space="0" w:color="auto"/>
              <w:left w:val="single" w:sz="4" w:space="0" w:color="auto"/>
              <w:bottom w:val="nil"/>
              <w:right w:val="single" w:sz="4" w:space="0" w:color="auto"/>
            </w:tcBorders>
          </w:tcPr>
          <w:p w14:paraId="6832B7E4" w14:textId="6E51B97A" w:rsidR="00FC5BF2"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496"/>
                <w14:textFill>
                  <w14:solidFill>
                    <w14:srgbClr w14:val="000000">
                      <w14:alpha w14:val="100000"/>
                    </w14:srgbClr>
                  </w14:solidFill>
                </w14:textFill>
              </w:rPr>
              <w:t>|||</w:t>
            </w:r>
            <w:r w:rsidRPr="00BD6E95">
              <w:rPr>
                <w:iCs/>
                <w:color w:val="000000"/>
                <w:spacing w:val="1"/>
                <w:szCs w:val="20"/>
                <w:shd w:val="solid" w:color="000000" w:fill="000000"/>
                <w:fitText w:val="330" w:id="-632053496"/>
                <w14:textFill>
                  <w14:solidFill>
                    <w14:srgbClr w14:val="000000">
                      <w14:alpha w14:val="100000"/>
                    </w14:srgbClr>
                  </w14:solidFill>
                </w14:textFill>
              </w:rPr>
              <w:t>|</w:t>
            </w:r>
            <w:r w:rsidR="00EB70A7" w:rsidRPr="00EB70A7">
              <w:rPr>
                <w:iCs/>
                <w:szCs w:val="20"/>
                <w:vertAlign w:val="superscript"/>
              </w:rPr>
              <w:t>12</w:t>
            </w:r>
          </w:p>
        </w:tc>
        <w:tc>
          <w:tcPr>
            <w:tcW w:w="581" w:type="pct"/>
            <w:tcBorders>
              <w:top w:val="single" w:sz="4" w:space="0" w:color="auto"/>
              <w:left w:val="single" w:sz="4" w:space="0" w:color="auto"/>
              <w:bottom w:val="nil"/>
              <w:right w:val="single" w:sz="4" w:space="0" w:color="auto"/>
            </w:tcBorders>
          </w:tcPr>
          <w:p w14:paraId="7CC59A1D" w14:textId="5ACD895B" w:rsidR="00FC5BF2"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495"/>
                <w14:textFill>
                  <w14:solidFill>
                    <w14:srgbClr w14:val="000000">
                      <w14:alpha w14:val="100000"/>
                    </w14:srgbClr>
                  </w14:solidFill>
                </w14:textFill>
              </w:rPr>
              <w:t>|||</w:t>
            </w:r>
            <w:r w:rsidRPr="00BD6E95">
              <w:rPr>
                <w:iCs/>
                <w:color w:val="000000"/>
                <w:spacing w:val="1"/>
                <w:szCs w:val="20"/>
                <w:shd w:val="solid" w:color="000000" w:fill="000000"/>
                <w:fitText w:val="324" w:id="-632053495"/>
                <w14:textFill>
                  <w14:solidFill>
                    <w14:srgbClr w14:val="000000">
                      <w14:alpha w14:val="100000"/>
                    </w14:srgbClr>
                  </w14:solidFill>
                </w14:textFill>
              </w:rPr>
              <w:t>|</w:t>
            </w:r>
            <w:r w:rsidR="00EB70A7" w:rsidRPr="00EB70A7">
              <w:rPr>
                <w:iCs/>
                <w:szCs w:val="20"/>
                <w:vertAlign w:val="superscript"/>
              </w:rPr>
              <w:t>12</w:t>
            </w:r>
          </w:p>
        </w:tc>
        <w:tc>
          <w:tcPr>
            <w:tcW w:w="598" w:type="pct"/>
            <w:tcBorders>
              <w:top w:val="single" w:sz="4" w:space="0" w:color="auto"/>
              <w:left w:val="single" w:sz="4" w:space="0" w:color="auto"/>
              <w:bottom w:val="nil"/>
              <w:right w:val="single" w:sz="4" w:space="0" w:color="auto"/>
            </w:tcBorders>
          </w:tcPr>
          <w:p w14:paraId="43B64724" w14:textId="0C6312AC" w:rsidR="00FC5BF2" w:rsidRPr="0043334D" w:rsidRDefault="00BD6E95" w:rsidP="006229E0">
            <w:pPr>
              <w:pStyle w:val="TableText0"/>
              <w:keepLines/>
              <w:jc w:val="center"/>
              <w:rPr>
                <w:iCs/>
                <w:highlight w:val="darkGray"/>
              </w:rPr>
            </w:pPr>
            <w:r w:rsidRPr="00BD6E95">
              <w:rPr>
                <w:iCs/>
                <w:color w:val="000000"/>
                <w:spacing w:val="53"/>
                <w:shd w:val="solid" w:color="000000" w:fill="000000"/>
                <w:fitText w:val="330" w:id="-632053494"/>
                <w14:textFill>
                  <w14:solidFill>
                    <w14:srgbClr w14:val="000000">
                      <w14:alpha w14:val="100000"/>
                    </w14:srgbClr>
                  </w14:solidFill>
                </w14:textFill>
              </w:rPr>
              <w:t>|||</w:t>
            </w:r>
            <w:r w:rsidRPr="00BD6E95">
              <w:rPr>
                <w:iCs/>
                <w:color w:val="000000"/>
                <w:spacing w:val="1"/>
                <w:shd w:val="solid" w:color="000000" w:fill="000000"/>
                <w:fitText w:val="330" w:id="-632053494"/>
                <w14:textFill>
                  <w14:solidFill>
                    <w14:srgbClr w14:val="000000">
                      <w14:alpha w14:val="100000"/>
                    </w14:srgbClr>
                  </w14:solidFill>
                </w14:textFill>
              </w:rPr>
              <w:t>|</w:t>
            </w:r>
            <w:r w:rsidR="00783B67" w:rsidRPr="00D73F50">
              <w:rPr>
                <w:iCs/>
                <w:vertAlign w:val="superscript"/>
              </w:rPr>
              <w:t>13</w:t>
            </w:r>
          </w:p>
        </w:tc>
      </w:tr>
      <w:tr w:rsidR="00FC5BF2" w:rsidRPr="001534B3" w14:paraId="41BC040E" w14:textId="77777777" w:rsidTr="00D43CEF">
        <w:trPr>
          <w:trHeight w:val="20"/>
        </w:trPr>
        <w:tc>
          <w:tcPr>
            <w:tcW w:w="905" w:type="pct"/>
            <w:tcBorders>
              <w:top w:val="nil"/>
              <w:left w:val="single" w:sz="4" w:space="0" w:color="auto"/>
              <w:bottom w:val="nil"/>
              <w:right w:val="single" w:sz="4" w:space="0" w:color="auto"/>
            </w:tcBorders>
            <w:vAlign w:val="center"/>
          </w:tcPr>
          <w:p w14:paraId="46FC9789" w14:textId="4B503A28" w:rsidR="00FC5BF2" w:rsidRPr="001534B3" w:rsidRDefault="00FC5BF2" w:rsidP="006229E0">
            <w:pPr>
              <w:keepNext/>
              <w:keepLines/>
              <w:widowControl w:val="0"/>
              <w:ind w:left="110"/>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 xml:space="preserve">PBS </w:t>
            </w:r>
          </w:p>
        </w:tc>
        <w:tc>
          <w:tcPr>
            <w:tcW w:w="583" w:type="pct"/>
            <w:tcBorders>
              <w:top w:val="nil"/>
              <w:left w:val="single" w:sz="4" w:space="0" w:color="auto"/>
              <w:bottom w:val="nil"/>
              <w:right w:val="single" w:sz="4" w:space="0" w:color="auto"/>
            </w:tcBorders>
          </w:tcPr>
          <w:p w14:paraId="634E4872" w14:textId="51608EFE" w:rsidR="00FC5BF2"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493"/>
                <w14:textFill>
                  <w14:solidFill>
                    <w14:srgbClr w14:val="000000">
                      <w14:alpha w14:val="100000"/>
                    </w14:srgbClr>
                  </w14:solidFill>
                </w14:textFill>
              </w:rPr>
              <w:t>|||</w:t>
            </w:r>
            <w:r w:rsidRPr="00BD6E95">
              <w:rPr>
                <w:iCs/>
                <w:color w:val="000000"/>
                <w:spacing w:val="1"/>
                <w:szCs w:val="20"/>
                <w:shd w:val="solid" w:color="000000" w:fill="000000"/>
                <w:fitText w:val="330" w:id="-632053493"/>
                <w14:textFill>
                  <w14:solidFill>
                    <w14:srgbClr w14:val="000000">
                      <w14:alpha w14:val="100000"/>
                    </w14:srgbClr>
                  </w14:solidFill>
                </w14:textFill>
              </w:rPr>
              <w:t>|</w:t>
            </w:r>
            <w:r w:rsidR="00CF5E29" w:rsidRPr="00786D0D">
              <w:rPr>
                <w:iCs/>
                <w:szCs w:val="20"/>
                <w:vertAlign w:val="superscript"/>
              </w:rPr>
              <w:t>11</w:t>
            </w:r>
          </w:p>
        </w:tc>
        <w:tc>
          <w:tcPr>
            <w:tcW w:w="581" w:type="pct"/>
            <w:tcBorders>
              <w:top w:val="nil"/>
              <w:left w:val="single" w:sz="4" w:space="0" w:color="auto"/>
              <w:bottom w:val="nil"/>
              <w:right w:val="single" w:sz="4" w:space="0" w:color="auto"/>
            </w:tcBorders>
          </w:tcPr>
          <w:p w14:paraId="4D3E29E9" w14:textId="0CA92643" w:rsidR="00FC5BF2"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492"/>
                <w14:textFill>
                  <w14:solidFill>
                    <w14:srgbClr w14:val="000000">
                      <w14:alpha w14:val="100000"/>
                    </w14:srgbClr>
                  </w14:solidFill>
                </w14:textFill>
              </w:rPr>
              <w:t>|||</w:t>
            </w:r>
            <w:r w:rsidRPr="00BD6E95">
              <w:rPr>
                <w:iCs/>
                <w:color w:val="000000"/>
                <w:spacing w:val="1"/>
                <w:szCs w:val="20"/>
                <w:shd w:val="solid" w:color="000000" w:fill="000000"/>
                <w:fitText w:val="324" w:id="-632053492"/>
                <w14:textFill>
                  <w14:solidFill>
                    <w14:srgbClr w14:val="000000">
                      <w14:alpha w14:val="100000"/>
                    </w14:srgbClr>
                  </w14:solidFill>
                </w14:textFill>
              </w:rPr>
              <w:t>|</w:t>
            </w:r>
            <w:r w:rsidR="00CF5E29" w:rsidRPr="00786D0D">
              <w:rPr>
                <w:iCs/>
                <w:szCs w:val="20"/>
                <w:vertAlign w:val="superscript"/>
              </w:rPr>
              <w:t>11</w:t>
            </w:r>
          </w:p>
        </w:tc>
        <w:tc>
          <w:tcPr>
            <w:tcW w:w="581" w:type="pct"/>
            <w:tcBorders>
              <w:top w:val="nil"/>
              <w:left w:val="single" w:sz="4" w:space="0" w:color="auto"/>
              <w:bottom w:val="nil"/>
              <w:right w:val="single" w:sz="4" w:space="0" w:color="auto"/>
            </w:tcBorders>
          </w:tcPr>
          <w:p w14:paraId="64DAAA15" w14:textId="114558D6" w:rsidR="00FC5BF2"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491"/>
                <w14:textFill>
                  <w14:solidFill>
                    <w14:srgbClr w14:val="000000">
                      <w14:alpha w14:val="100000"/>
                    </w14:srgbClr>
                  </w14:solidFill>
                </w14:textFill>
              </w:rPr>
              <w:t>|||</w:t>
            </w:r>
            <w:r w:rsidRPr="00BD6E95">
              <w:rPr>
                <w:iCs/>
                <w:color w:val="000000"/>
                <w:spacing w:val="1"/>
                <w:szCs w:val="20"/>
                <w:shd w:val="solid" w:color="000000" w:fill="000000"/>
                <w:fitText w:val="324" w:id="-632053491"/>
                <w14:textFill>
                  <w14:solidFill>
                    <w14:srgbClr w14:val="000000">
                      <w14:alpha w14:val="100000"/>
                    </w14:srgbClr>
                  </w14:solidFill>
                </w14:textFill>
              </w:rPr>
              <w:t>|</w:t>
            </w:r>
            <w:r w:rsidR="00CF5E29" w:rsidRPr="00786D0D">
              <w:rPr>
                <w:iCs/>
                <w:szCs w:val="20"/>
                <w:vertAlign w:val="superscript"/>
              </w:rPr>
              <w:t>11</w:t>
            </w:r>
          </w:p>
        </w:tc>
        <w:tc>
          <w:tcPr>
            <w:tcW w:w="606" w:type="pct"/>
            <w:tcBorders>
              <w:top w:val="nil"/>
              <w:left w:val="single" w:sz="4" w:space="0" w:color="auto"/>
              <w:bottom w:val="nil"/>
              <w:right w:val="single" w:sz="4" w:space="0" w:color="auto"/>
            </w:tcBorders>
          </w:tcPr>
          <w:p w14:paraId="33BBCAAF" w14:textId="0A624AA1" w:rsidR="00FC5BF2"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490"/>
                <w14:textFill>
                  <w14:solidFill>
                    <w14:srgbClr w14:val="000000">
                      <w14:alpha w14:val="100000"/>
                    </w14:srgbClr>
                  </w14:solidFill>
                </w14:textFill>
              </w:rPr>
              <w:t>|||</w:t>
            </w:r>
            <w:r w:rsidRPr="00BD6E95">
              <w:rPr>
                <w:iCs/>
                <w:color w:val="000000"/>
                <w:spacing w:val="1"/>
                <w:szCs w:val="20"/>
                <w:shd w:val="solid" w:color="000000" w:fill="000000"/>
                <w:fitText w:val="324" w:id="-632053490"/>
                <w14:textFill>
                  <w14:solidFill>
                    <w14:srgbClr w14:val="000000">
                      <w14:alpha w14:val="100000"/>
                    </w14:srgbClr>
                  </w14:solidFill>
                </w14:textFill>
              </w:rPr>
              <w:t>|</w:t>
            </w:r>
            <w:r w:rsidR="00CF5E29" w:rsidRPr="00786D0D">
              <w:rPr>
                <w:iCs/>
                <w:szCs w:val="20"/>
                <w:vertAlign w:val="superscript"/>
              </w:rPr>
              <w:t>11</w:t>
            </w:r>
          </w:p>
        </w:tc>
        <w:tc>
          <w:tcPr>
            <w:tcW w:w="565" w:type="pct"/>
            <w:tcBorders>
              <w:top w:val="nil"/>
              <w:left w:val="single" w:sz="4" w:space="0" w:color="auto"/>
              <w:bottom w:val="nil"/>
              <w:right w:val="single" w:sz="4" w:space="0" w:color="auto"/>
            </w:tcBorders>
          </w:tcPr>
          <w:p w14:paraId="465B7A5C" w14:textId="34595B9F" w:rsidR="00FC5BF2"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489"/>
                <w14:textFill>
                  <w14:solidFill>
                    <w14:srgbClr w14:val="000000">
                      <w14:alpha w14:val="100000"/>
                    </w14:srgbClr>
                  </w14:solidFill>
                </w14:textFill>
              </w:rPr>
              <w:t>|||</w:t>
            </w:r>
            <w:r w:rsidRPr="00BD6E95">
              <w:rPr>
                <w:iCs/>
                <w:color w:val="000000"/>
                <w:spacing w:val="1"/>
                <w:szCs w:val="20"/>
                <w:shd w:val="solid" w:color="000000" w:fill="000000"/>
                <w:fitText w:val="330" w:id="-632053489"/>
                <w14:textFill>
                  <w14:solidFill>
                    <w14:srgbClr w14:val="000000">
                      <w14:alpha w14:val="100000"/>
                    </w14:srgbClr>
                  </w14:solidFill>
                </w14:textFill>
              </w:rPr>
              <w:t>|</w:t>
            </w:r>
            <w:r w:rsidR="00AD08B8" w:rsidRPr="00EB70A7">
              <w:rPr>
                <w:iCs/>
                <w:szCs w:val="20"/>
                <w:vertAlign w:val="superscript"/>
              </w:rPr>
              <w:t>12</w:t>
            </w:r>
          </w:p>
        </w:tc>
        <w:tc>
          <w:tcPr>
            <w:tcW w:w="581" w:type="pct"/>
            <w:tcBorders>
              <w:top w:val="nil"/>
              <w:left w:val="single" w:sz="4" w:space="0" w:color="auto"/>
              <w:bottom w:val="nil"/>
              <w:right w:val="single" w:sz="4" w:space="0" w:color="auto"/>
            </w:tcBorders>
          </w:tcPr>
          <w:p w14:paraId="3E71ECA5" w14:textId="6B7B2E16" w:rsidR="00FC5BF2"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488"/>
                <w14:textFill>
                  <w14:solidFill>
                    <w14:srgbClr w14:val="000000">
                      <w14:alpha w14:val="100000"/>
                    </w14:srgbClr>
                  </w14:solidFill>
                </w14:textFill>
              </w:rPr>
              <w:t>|||</w:t>
            </w:r>
            <w:r w:rsidRPr="00BD6E95">
              <w:rPr>
                <w:iCs/>
                <w:color w:val="000000"/>
                <w:spacing w:val="1"/>
                <w:szCs w:val="20"/>
                <w:shd w:val="solid" w:color="000000" w:fill="000000"/>
                <w:fitText w:val="324" w:id="-632053488"/>
                <w14:textFill>
                  <w14:solidFill>
                    <w14:srgbClr w14:val="000000">
                      <w14:alpha w14:val="100000"/>
                    </w14:srgbClr>
                  </w14:solidFill>
                </w14:textFill>
              </w:rPr>
              <w:t>|</w:t>
            </w:r>
            <w:r w:rsidR="00AD08B8" w:rsidRPr="00EB70A7">
              <w:rPr>
                <w:iCs/>
                <w:szCs w:val="20"/>
                <w:vertAlign w:val="superscript"/>
              </w:rPr>
              <w:t>12</w:t>
            </w:r>
          </w:p>
        </w:tc>
        <w:tc>
          <w:tcPr>
            <w:tcW w:w="598" w:type="pct"/>
            <w:tcBorders>
              <w:top w:val="nil"/>
              <w:left w:val="single" w:sz="4" w:space="0" w:color="auto"/>
              <w:bottom w:val="nil"/>
              <w:right w:val="single" w:sz="4" w:space="0" w:color="auto"/>
            </w:tcBorders>
          </w:tcPr>
          <w:p w14:paraId="33904BE3" w14:textId="155CBBF3" w:rsidR="00FC5BF2" w:rsidRPr="0043334D" w:rsidRDefault="00BD6E95" w:rsidP="006229E0">
            <w:pPr>
              <w:pStyle w:val="TableText0"/>
              <w:keepLines/>
              <w:jc w:val="center"/>
              <w:rPr>
                <w:iCs/>
                <w:highlight w:val="darkGray"/>
              </w:rPr>
            </w:pPr>
            <w:r w:rsidRPr="00BD6E95">
              <w:rPr>
                <w:iCs/>
                <w:color w:val="000000"/>
                <w:spacing w:val="53"/>
                <w:shd w:val="solid" w:color="000000" w:fill="000000"/>
                <w:fitText w:val="330" w:id="-632053504"/>
                <w14:textFill>
                  <w14:solidFill>
                    <w14:srgbClr w14:val="000000">
                      <w14:alpha w14:val="100000"/>
                    </w14:srgbClr>
                  </w14:solidFill>
                </w14:textFill>
              </w:rPr>
              <w:t>|||</w:t>
            </w:r>
            <w:r w:rsidRPr="00BD6E95">
              <w:rPr>
                <w:iCs/>
                <w:color w:val="000000"/>
                <w:spacing w:val="1"/>
                <w:shd w:val="solid" w:color="000000" w:fill="000000"/>
                <w:fitText w:val="330" w:id="-632053504"/>
                <w14:textFill>
                  <w14:solidFill>
                    <w14:srgbClr w14:val="000000">
                      <w14:alpha w14:val="100000"/>
                    </w14:srgbClr>
                  </w14:solidFill>
                </w14:textFill>
              </w:rPr>
              <w:t>|</w:t>
            </w:r>
            <w:r w:rsidR="00D73F50" w:rsidRPr="00D73F50">
              <w:rPr>
                <w:iCs/>
                <w:vertAlign w:val="superscript"/>
              </w:rPr>
              <w:t>13</w:t>
            </w:r>
          </w:p>
        </w:tc>
      </w:tr>
      <w:tr w:rsidR="00FC5BF2" w:rsidRPr="001534B3" w14:paraId="7ECBFAC4" w14:textId="77777777" w:rsidTr="00D43CEF">
        <w:trPr>
          <w:trHeight w:val="20"/>
        </w:trPr>
        <w:tc>
          <w:tcPr>
            <w:tcW w:w="905" w:type="pct"/>
            <w:tcBorders>
              <w:top w:val="nil"/>
              <w:left w:val="single" w:sz="4" w:space="0" w:color="auto"/>
              <w:bottom w:val="single" w:sz="4" w:space="0" w:color="auto"/>
              <w:right w:val="single" w:sz="4" w:space="0" w:color="auto"/>
            </w:tcBorders>
            <w:vAlign w:val="center"/>
          </w:tcPr>
          <w:p w14:paraId="02BA6ABC" w14:textId="23FA8F0A" w:rsidR="00FC5BF2" w:rsidRPr="001534B3" w:rsidRDefault="00FC5BF2" w:rsidP="006229E0">
            <w:pPr>
              <w:keepNext/>
              <w:keepLines/>
              <w:widowControl w:val="0"/>
              <w:ind w:left="110"/>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 xml:space="preserve">RPBS </w:t>
            </w:r>
          </w:p>
        </w:tc>
        <w:tc>
          <w:tcPr>
            <w:tcW w:w="583" w:type="pct"/>
            <w:tcBorders>
              <w:top w:val="nil"/>
              <w:left w:val="single" w:sz="4" w:space="0" w:color="auto"/>
              <w:bottom w:val="single" w:sz="4" w:space="0" w:color="auto"/>
              <w:right w:val="single" w:sz="4" w:space="0" w:color="auto"/>
            </w:tcBorders>
          </w:tcPr>
          <w:p w14:paraId="449D5D0D" w14:textId="365CAADF" w:rsidR="00FC5BF2"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503"/>
                <w14:textFill>
                  <w14:solidFill>
                    <w14:srgbClr w14:val="000000">
                      <w14:alpha w14:val="100000"/>
                    </w14:srgbClr>
                  </w14:solidFill>
                </w14:textFill>
              </w:rPr>
              <w:t>|||</w:t>
            </w:r>
            <w:r w:rsidRPr="00BD6E95">
              <w:rPr>
                <w:iCs/>
                <w:color w:val="000000"/>
                <w:spacing w:val="1"/>
                <w:szCs w:val="20"/>
                <w:shd w:val="solid" w:color="000000" w:fill="000000"/>
                <w:fitText w:val="330" w:id="-632053503"/>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single" w:sz="4" w:space="0" w:color="auto"/>
              <w:right w:val="single" w:sz="4" w:space="0" w:color="auto"/>
            </w:tcBorders>
          </w:tcPr>
          <w:p w14:paraId="6407A2C0" w14:textId="57A8DCDD" w:rsidR="00FC5BF2"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502"/>
                <w14:textFill>
                  <w14:solidFill>
                    <w14:srgbClr w14:val="000000">
                      <w14:alpha w14:val="100000"/>
                    </w14:srgbClr>
                  </w14:solidFill>
                </w14:textFill>
              </w:rPr>
              <w:t>|||</w:t>
            </w:r>
            <w:r w:rsidRPr="00BD6E95">
              <w:rPr>
                <w:iCs/>
                <w:color w:val="000000"/>
                <w:spacing w:val="1"/>
                <w:szCs w:val="20"/>
                <w:shd w:val="solid" w:color="000000" w:fill="000000"/>
                <w:fitText w:val="330" w:id="-632053502"/>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single" w:sz="4" w:space="0" w:color="auto"/>
              <w:right w:val="single" w:sz="4" w:space="0" w:color="auto"/>
            </w:tcBorders>
          </w:tcPr>
          <w:p w14:paraId="13FB873B" w14:textId="707425F2" w:rsidR="00FC5BF2"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501"/>
                <w14:textFill>
                  <w14:solidFill>
                    <w14:srgbClr w14:val="000000">
                      <w14:alpha w14:val="100000"/>
                    </w14:srgbClr>
                  </w14:solidFill>
                </w14:textFill>
              </w:rPr>
              <w:t>|||</w:t>
            </w:r>
            <w:r w:rsidRPr="00BD6E95">
              <w:rPr>
                <w:iCs/>
                <w:color w:val="000000"/>
                <w:spacing w:val="1"/>
                <w:szCs w:val="20"/>
                <w:shd w:val="solid" w:color="000000" w:fill="000000"/>
                <w:fitText w:val="330" w:id="-632053501"/>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606" w:type="pct"/>
            <w:tcBorders>
              <w:top w:val="nil"/>
              <w:left w:val="single" w:sz="4" w:space="0" w:color="auto"/>
              <w:bottom w:val="single" w:sz="4" w:space="0" w:color="auto"/>
              <w:right w:val="single" w:sz="4" w:space="0" w:color="auto"/>
            </w:tcBorders>
          </w:tcPr>
          <w:p w14:paraId="337F8FFE" w14:textId="7B55CC17" w:rsidR="00FC5BF2"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500"/>
                <w14:textFill>
                  <w14:solidFill>
                    <w14:srgbClr w14:val="000000">
                      <w14:alpha w14:val="100000"/>
                    </w14:srgbClr>
                  </w14:solidFill>
                </w14:textFill>
              </w:rPr>
              <w:t>|||</w:t>
            </w:r>
            <w:r w:rsidRPr="00BD6E95">
              <w:rPr>
                <w:iCs/>
                <w:color w:val="000000"/>
                <w:spacing w:val="1"/>
                <w:szCs w:val="20"/>
                <w:shd w:val="solid" w:color="000000" w:fill="000000"/>
                <w:fitText w:val="330" w:id="-632053500"/>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65" w:type="pct"/>
            <w:tcBorders>
              <w:top w:val="nil"/>
              <w:left w:val="single" w:sz="4" w:space="0" w:color="auto"/>
              <w:bottom w:val="single" w:sz="4" w:space="0" w:color="auto"/>
              <w:right w:val="single" w:sz="4" w:space="0" w:color="auto"/>
            </w:tcBorders>
          </w:tcPr>
          <w:p w14:paraId="3FC3C789" w14:textId="5FFDFCDE" w:rsidR="00FC5BF2"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499"/>
                <w14:textFill>
                  <w14:solidFill>
                    <w14:srgbClr w14:val="000000">
                      <w14:alpha w14:val="100000"/>
                    </w14:srgbClr>
                  </w14:solidFill>
                </w14:textFill>
              </w:rPr>
              <w:t>|||</w:t>
            </w:r>
            <w:r w:rsidRPr="00BD6E95">
              <w:rPr>
                <w:iCs/>
                <w:color w:val="000000"/>
                <w:spacing w:val="1"/>
                <w:szCs w:val="20"/>
                <w:shd w:val="solid" w:color="000000" w:fill="000000"/>
                <w:fitText w:val="324" w:id="-632053499"/>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single" w:sz="4" w:space="0" w:color="auto"/>
              <w:right w:val="single" w:sz="4" w:space="0" w:color="auto"/>
            </w:tcBorders>
          </w:tcPr>
          <w:p w14:paraId="54CA9874" w14:textId="66AB561A" w:rsidR="00FC5BF2"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498"/>
                <w14:textFill>
                  <w14:solidFill>
                    <w14:srgbClr w14:val="000000">
                      <w14:alpha w14:val="100000"/>
                    </w14:srgbClr>
                  </w14:solidFill>
                </w14:textFill>
              </w:rPr>
              <w:t>|||</w:t>
            </w:r>
            <w:r w:rsidRPr="00BD6E95">
              <w:rPr>
                <w:iCs/>
                <w:color w:val="000000"/>
                <w:spacing w:val="1"/>
                <w:szCs w:val="20"/>
                <w:shd w:val="solid" w:color="000000" w:fill="000000"/>
                <w:fitText w:val="330" w:id="-632053498"/>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98" w:type="pct"/>
            <w:tcBorders>
              <w:top w:val="nil"/>
              <w:left w:val="single" w:sz="4" w:space="0" w:color="auto"/>
              <w:bottom w:val="single" w:sz="4" w:space="0" w:color="auto"/>
              <w:right w:val="single" w:sz="4" w:space="0" w:color="auto"/>
            </w:tcBorders>
          </w:tcPr>
          <w:p w14:paraId="7B477121" w14:textId="29ED816A" w:rsidR="00FC5BF2" w:rsidRPr="0043334D" w:rsidRDefault="00BD6E95" w:rsidP="006229E0">
            <w:pPr>
              <w:pStyle w:val="TableText0"/>
              <w:keepLines/>
              <w:jc w:val="center"/>
              <w:rPr>
                <w:iCs/>
                <w:highlight w:val="darkGray"/>
              </w:rPr>
            </w:pPr>
            <w:r w:rsidRPr="00BD6E95">
              <w:rPr>
                <w:iCs/>
                <w:color w:val="000000"/>
                <w:spacing w:val="51"/>
                <w:shd w:val="solid" w:color="000000" w:fill="000000"/>
                <w:fitText w:val="324" w:id="-632053497"/>
                <w14:textFill>
                  <w14:solidFill>
                    <w14:srgbClr w14:val="000000">
                      <w14:alpha w14:val="100000"/>
                    </w14:srgbClr>
                  </w14:solidFill>
                </w14:textFill>
              </w:rPr>
              <w:t>|||</w:t>
            </w:r>
            <w:r w:rsidRPr="00BD6E95">
              <w:rPr>
                <w:iCs/>
                <w:color w:val="000000"/>
                <w:spacing w:val="1"/>
                <w:shd w:val="solid" w:color="000000" w:fill="000000"/>
                <w:fitText w:val="324" w:id="-632053497"/>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r>
      <w:tr w:rsidR="007E6C9D" w:rsidRPr="001534B3" w14:paraId="36BE03BD" w14:textId="77777777" w:rsidTr="00FC5BF2">
        <w:trPr>
          <w:trHeight w:val="20"/>
        </w:trPr>
        <w:tc>
          <w:tcPr>
            <w:tcW w:w="905" w:type="pct"/>
            <w:tcBorders>
              <w:top w:val="single" w:sz="4" w:space="0" w:color="auto"/>
              <w:left w:val="single" w:sz="4" w:space="0" w:color="auto"/>
              <w:bottom w:val="nil"/>
              <w:right w:val="single" w:sz="4" w:space="0" w:color="auto"/>
            </w:tcBorders>
            <w:vAlign w:val="center"/>
            <w:hideMark/>
          </w:tcPr>
          <w:p w14:paraId="6CE676B0" w14:textId="78686F18" w:rsidR="00BA224D" w:rsidRPr="001534B3" w:rsidRDefault="00D43CEF" w:rsidP="006229E0">
            <w:pPr>
              <w:keepNext/>
              <w:keepLines/>
              <w:widowControl w:val="0"/>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N</w:t>
            </w:r>
            <w:r w:rsidR="00BA224D" w:rsidRPr="001534B3">
              <w:rPr>
                <w:rFonts w:ascii="Arial Narrow" w:hAnsi="Arial Narrow" w:cs="Times New Roman"/>
                <w:iCs/>
                <w:sz w:val="19"/>
                <w:szCs w:val="19"/>
                <w:lang w:eastAsia="en-GB"/>
              </w:rPr>
              <w:t xml:space="preserve">et cost </w:t>
            </w:r>
            <w:r w:rsidRPr="001534B3">
              <w:rPr>
                <w:rFonts w:ascii="Arial Narrow" w:hAnsi="Arial Narrow" w:cs="Times New Roman"/>
                <w:iCs/>
                <w:sz w:val="19"/>
                <w:szCs w:val="19"/>
                <w:lang w:eastAsia="en-GB"/>
              </w:rPr>
              <w:t xml:space="preserve">to </w:t>
            </w:r>
            <w:r w:rsidR="00BA224D" w:rsidRPr="001534B3">
              <w:rPr>
                <w:rFonts w:ascii="Arial Narrow" w:hAnsi="Arial Narrow" w:cs="Times New Roman"/>
                <w:iCs/>
                <w:sz w:val="19"/>
                <w:szCs w:val="19"/>
                <w:lang w:eastAsia="en-GB"/>
              </w:rPr>
              <w:t>MBS</w:t>
            </w:r>
          </w:p>
        </w:tc>
        <w:tc>
          <w:tcPr>
            <w:tcW w:w="583" w:type="pct"/>
            <w:tcBorders>
              <w:top w:val="single" w:sz="4" w:space="0" w:color="auto"/>
              <w:left w:val="single" w:sz="4" w:space="0" w:color="auto"/>
              <w:bottom w:val="nil"/>
              <w:right w:val="single" w:sz="4" w:space="0" w:color="auto"/>
            </w:tcBorders>
            <w:vAlign w:val="bottom"/>
          </w:tcPr>
          <w:p w14:paraId="6064239D" w14:textId="769D5530"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zCs w:val="20"/>
                <w:shd w:val="solid" w:color="000000" w:fill="000000"/>
                <w:fitText w:val="330" w:id="-632053496"/>
                <w14:textFill>
                  <w14:solidFill>
                    <w14:srgbClr w14:val="000000">
                      <w14:alpha w14:val="100000"/>
                    </w14:srgbClr>
                  </w14:solidFill>
                </w14:textFill>
              </w:rPr>
              <w:t>|||</w:t>
            </w:r>
            <w:r w:rsidRPr="00BD6E95">
              <w:rPr>
                <w:iCs/>
                <w:color w:val="000000"/>
                <w:spacing w:val="1"/>
                <w:szCs w:val="20"/>
                <w:shd w:val="solid" w:color="000000" w:fill="000000"/>
                <w:fitText w:val="330" w:id="-632053496"/>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single" w:sz="4" w:space="0" w:color="auto"/>
              <w:left w:val="single" w:sz="4" w:space="0" w:color="auto"/>
              <w:bottom w:val="nil"/>
              <w:right w:val="single" w:sz="4" w:space="0" w:color="auto"/>
            </w:tcBorders>
            <w:vAlign w:val="bottom"/>
          </w:tcPr>
          <w:p w14:paraId="7CB72A9A" w14:textId="65B7D02A"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zCs w:val="20"/>
                <w:shd w:val="solid" w:color="000000" w:fill="000000"/>
                <w:fitText w:val="330" w:id="-632053495"/>
                <w14:textFill>
                  <w14:solidFill>
                    <w14:srgbClr w14:val="000000">
                      <w14:alpha w14:val="100000"/>
                    </w14:srgbClr>
                  </w14:solidFill>
                </w14:textFill>
              </w:rPr>
              <w:t>|||</w:t>
            </w:r>
            <w:r w:rsidRPr="00BD6E95">
              <w:rPr>
                <w:iCs/>
                <w:color w:val="000000"/>
                <w:spacing w:val="1"/>
                <w:szCs w:val="20"/>
                <w:shd w:val="solid" w:color="000000" w:fill="000000"/>
                <w:fitText w:val="330" w:id="-632053495"/>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single" w:sz="4" w:space="0" w:color="auto"/>
              <w:left w:val="single" w:sz="4" w:space="0" w:color="auto"/>
              <w:bottom w:val="nil"/>
              <w:right w:val="single" w:sz="4" w:space="0" w:color="auto"/>
            </w:tcBorders>
            <w:vAlign w:val="bottom"/>
          </w:tcPr>
          <w:p w14:paraId="19EA5DB8" w14:textId="6B7CC9B6"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zCs w:val="20"/>
                <w:shd w:val="solid" w:color="000000" w:fill="000000"/>
                <w:fitText w:val="330" w:id="-632053494"/>
                <w14:textFill>
                  <w14:solidFill>
                    <w14:srgbClr w14:val="000000">
                      <w14:alpha w14:val="100000"/>
                    </w14:srgbClr>
                  </w14:solidFill>
                </w14:textFill>
              </w:rPr>
              <w:t>|||</w:t>
            </w:r>
            <w:r w:rsidRPr="00BD6E95">
              <w:rPr>
                <w:iCs/>
                <w:color w:val="000000"/>
                <w:spacing w:val="1"/>
                <w:szCs w:val="20"/>
                <w:shd w:val="solid" w:color="000000" w:fill="000000"/>
                <w:fitText w:val="330" w:id="-632053494"/>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606" w:type="pct"/>
            <w:tcBorders>
              <w:top w:val="single" w:sz="4" w:space="0" w:color="auto"/>
              <w:left w:val="single" w:sz="4" w:space="0" w:color="auto"/>
              <w:bottom w:val="nil"/>
              <w:right w:val="single" w:sz="4" w:space="0" w:color="auto"/>
            </w:tcBorders>
            <w:vAlign w:val="bottom"/>
          </w:tcPr>
          <w:p w14:paraId="4F1A146A" w14:textId="2542DD16"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zCs w:val="20"/>
                <w:shd w:val="solid" w:color="000000" w:fill="000000"/>
                <w:fitText w:val="330" w:id="-632053493"/>
                <w14:textFill>
                  <w14:solidFill>
                    <w14:srgbClr w14:val="000000">
                      <w14:alpha w14:val="100000"/>
                    </w14:srgbClr>
                  </w14:solidFill>
                </w14:textFill>
              </w:rPr>
              <w:t>|||</w:t>
            </w:r>
            <w:r w:rsidRPr="00BD6E95">
              <w:rPr>
                <w:iCs/>
                <w:color w:val="000000"/>
                <w:spacing w:val="1"/>
                <w:szCs w:val="20"/>
                <w:shd w:val="solid" w:color="000000" w:fill="000000"/>
                <w:fitText w:val="330" w:id="-632053493"/>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65" w:type="pct"/>
            <w:tcBorders>
              <w:top w:val="single" w:sz="4" w:space="0" w:color="auto"/>
              <w:left w:val="single" w:sz="4" w:space="0" w:color="auto"/>
              <w:bottom w:val="nil"/>
              <w:right w:val="single" w:sz="4" w:space="0" w:color="auto"/>
            </w:tcBorders>
            <w:vAlign w:val="bottom"/>
          </w:tcPr>
          <w:p w14:paraId="368E05AB" w14:textId="496C93DF" w:rsidR="00BA224D" w:rsidRPr="0043334D" w:rsidRDefault="00BD6E95" w:rsidP="006229E0">
            <w:pPr>
              <w:pStyle w:val="TableText0"/>
              <w:keepLines/>
              <w:jc w:val="center"/>
              <w:rPr>
                <w:rFonts w:cs="Arial"/>
                <w:iCs/>
                <w:color w:val="000000"/>
                <w:szCs w:val="20"/>
                <w:highlight w:val="darkGray"/>
              </w:rPr>
            </w:pPr>
            <w:r w:rsidRPr="00BD6E95">
              <w:rPr>
                <w:iCs/>
                <w:color w:val="000000"/>
                <w:spacing w:val="51"/>
                <w:szCs w:val="20"/>
                <w:shd w:val="solid" w:color="000000" w:fill="000000"/>
                <w:fitText w:val="324" w:id="-632053492"/>
                <w14:textFill>
                  <w14:solidFill>
                    <w14:srgbClr w14:val="000000">
                      <w14:alpha w14:val="100000"/>
                    </w14:srgbClr>
                  </w14:solidFill>
                </w14:textFill>
              </w:rPr>
              <w:t>|||</w:t>
            </w:r>
            <w:r w:rsidRPr="00BD6E95">
              <w:rPr>
                <w:iCs/>
                <w:color w:val="000000"/>
                <w:spacing w:val="1"/>
                <w:szCs w:val="20"/>
                <w:shd w:val="solid" w:color="000000" w:fill="000000"/>
                <w:fitText w:val="324" w:id="-632053492"/>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single" w:sz="4" w:space="0" w:color="auto"/>
              <w:left w:val="single" w:sz="4" w:space="0" w:color="auto"/>
              <w:bottom w:val="nil"/>
              <w:right w:val="single" w:sz="4" w:space="0" w:color="auto"/>
            </w:tcBorders>
            <w:vAlign w:val="bottom"/>
          </w:tcPr>
          <w:p w14:paraId="017C3ED3" w14:textId="29E1F6DB"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zCs w:val="20"/>
                <w:shd w:val="solid" w:color="000000" w:fill="000000"/>
                <w:fitText w:val="330" w:id="-632053491"/>
                <w14:textFill>
                  <w14:solidFill>
                    <w14:srgbClr w14:val="000000">
                      <w14:alpha w14:val="100000"/>
                    </w14:srgbClr>
                  </w14:solidFill>
                </w14:textFill>
              </w:rPr>
              <w:t>|||</w:t>
            </w:r>
            <w:r w:rsidRPr="00BD6E95">
              <w:rPr>
                <w:iCs/>
                <w:color w:val="000000"/>
                <w:spacing w:val="1"/>
                <w:szCs w:val="20"/>
                <w:shd w:val="solid" w:color="000000" w:fill="000000"/>
                <w:fitText w:val="330" w:id="-632053491"/>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98" w:type="pct"/>
            <w:tcBorders>
              <w:top w:val="single" w:sz="4" w:space="0" w:color="auto"/>
              <w:left w:val="single" w:sz="4" w:space="0" w:color="auto"/>
              <w:bottom w:val="nil"/>
              <w:right w:val="single" w:sz="4" w:space="0" w:color="auto"/>
            </w:tcBorders>
            <w:vAlign w:val="bottom"/>
          </w:tcPr>
          <w:p w14:paraId="1682E5FE" w14:textId="63B42FCD" w:rsidR="00BA224D" w:rsidRPr="0043334D" w:rsidRDefault="00BD6E95" w:rsidP="006229E0">
            <w:pPr>
              <w:pStyle w:val="TableText0"/>
              <w:keepLines/>
              <w:jc w:val="center"/>
              <w:rPr>
                <w:rFonts w:cs="Arial"/>
                <w:iCs/>
                <w:color w:val="000000"/>
                <w:szCs w:val="20"/>
                <w:highlight w:val="darkGray"/>
              </w:rPr>
            </w:pPr>
            <w:r w:rsidRPr="00BD6E95">
              <w:rPr>
                <w:iCs/>
                <w:color w:val="000000"/>
                <w:spacing w:val="51"/>
                <w:shd w:val="solid" w:color="000000" w:fill="000000"/>
                <w:fitText w:val="324" w:id="-632053490"/>
                <w14:textFill>
                  <w14:solidFill>
                    <w14:srgbClr w14:val="000000">
                      <w14:alpha w14:val="100000"/>
                    </w14:srgbClr>
                  </w14:solidFill>
                </w14:textFill>
              </w:rPr>
              <w:t>|||</w:t>
            </w:r>
            <w:r w:rsidRPr="00BD6E95">
              <w:rPr>
                <w:iCs/>
                <w:color w:val="000000"/>
                <w:spacing w:val="1"/>
                <w:shd w:val="solid" w:color="000000" w:fill="000000"/>
                <w:fitText w:val="324" w:id="-632053490"/>
                <w14:textFill>
                  <w14:solidFill>
                    <w14:srgbClr w14:val="000000">
                      <w14:alpha w14:val="100000"/>
                    </w14:srgbClr>
                  </w14:solidFill>
                </w14:textFill>
              </w:rPr>
              <w:t>|</w:t>
            </w:r>
            <w:r w:rsidR="0006406C" w:rsidRPr="00921CC3">
              <w:rPr>
                <w:rFonts w:eastAsia="Calibri" w:cs="Times New Roman"/>
                <w:bCs w:val="0"/>
                <w:iCs/>
                <w:sz w:val="19"/>
                <w:szCs w:val="19"/>
                <w:vertAlign w:val="superscript"/>
                <w:lang w:eastAsia="en-GB"/>
              </w:rPr>
              <w:t>8</w:t>
            </w:r>
          </w:p>
        </w:tc>
      </w:tr>
      <w:tr w:rsidR="007E6C9D" w:rsidRPr="001534B3" w14:paraId="40548903" w14:textId="77777777" w:rsidTr="008C7D15">
        <w:trPr>
          <w:trHeight w:val="20"/>
        </w:trPr>
        <w:tc>
          <w:tcPr>
            <w:tcW w:w="905" w:type="pct"/>
            <w:tcBorders>
              <w:top w:val="nil"/>
              <w:left w:val="single" w:sz="4" w:space="0" w:color="auto"/>
              <w:bottom w:val="nil"/>
              <w:right w:val="single" w:sz="4" w:space="0" w:color="auto"/>
            </w:tcBorders>
            <w:vAlign w:val="center"/>
          </w:tcPr>
          <w:p w14:paraId="32A22D0F" w14:textId="77777777" w:rsidR="00BA224D" w:rsidRPr="001534B3" w:rsidRDefault="00BA224D" w:rsidP="006229E0">
            <w:pPr>
              <w:keepNext/>
              <w:keepLines/>
              <w:widowControl w:val="0"/>
              <w:ind w:left="112"/>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Administration</w:t>
            </w:r>
          </w:p>
        </w:tc>
        <w:tc>
          <w:tcPr>
            <w:tcW w:w="583" w:type="pct"/>
            <w:tcBorders>
              <w:top w:val="nil"/>
              <w:left w:val="single" w:sz="4" w:space="0" w:color="auto"/>
              <w:bottom w:val="nil"/>
              <w:right w:val="single" w:sz="4" w:space="0" w:color="auto"/>
            </w:tcBorders>
          </w:tcPr>
          <w:p w14:paraId="12A76DDF" w14:textId="193F5ED1" w:rsidR="00BA224D" w:rsidRPr="0043334D" w:rsidRDefault="00BD6E95" w:rsidP="006229E0">
            <w:pPr>
              <w:pStyle w:val="TableText0"/>
              <w:keepLines/>
              <w:jc w:val="center"/>
              <w:rPr>
                <w:iCs/>
                <w:color w:val="000000"/>
                <w:szCs w:val="20"/>
                <w:highlight w:val="darkGray"/>
              </w:rPr>
            </w:pPr>
            <w:r w:rsidRPr="00BD6E95">
              <w:rPr>
                <w:iCs/>
                <w:color w:val="000000"/>
                <w:spacing w:val="53"/>
                <w:shd w:val="solid" w:color="000000" w:fill="000000"/>
                <w:fitText w:val="330" w:id="-632053489"/>
                <w14:textFill>
                  <w14:solidFill>
                    <w14:srgbClr w14:val="000000">
                      <w14:alpha w14:val="100000"/>
                    </w14:srgbClr>
                  </w14:solidFill>
                </w14:textFill>
              </w:rPr>
              <w:t>|||</w:t>
            </w:r>
            <w:r w:rsidRPr="00BD6E95">
              <w:rPr>
                <w:iCs/>
                <w:color w:val="000000"/>
                <w:spacing w:val="1"/>
                <w:shd w:val="solid" w:color="000000" w:fill="000000"/>
                <w:fitText w:val="330" w:id="-632053489"/>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nil"/>
              <w:right w:val="single" w:sz="4" w:space="0" w:color="auto"/>
            </w:tcBorders>
          </w:tcPr>
          <w:p w14:paraId="3C2EBA2F" w14:textId="66C626FB" w:rsidR="00BA224D" w:rsidRPr="0043334D" w:rsidRDefault="00BD6E95" w:rsidP="006229E0">
            <w:pPr>
              <w:pStyle w:val="TableText0"/>
              <w:keepLines/>
              <w:jc w:val="center"/>
              <w:rPr>
                <w:iCs/>
                <w:color w:val="000000"/>
                <w:szCs w:val="20"/>
                <w:highlight w:val="darkGray"/>
              </w:rPr>
            </w:pPr>
            <w:r w:rsidRPr="00BD6E95">
              <w:rPr>
                <w:iCs/>
                <w:color w:val="000000"/>
                <w:spacing w:val="53"/>
                <w:shd w:val="solid" w:color="000000" w:fill="000000"/>
                <w:fitText w:val="330" w:id="-632053488"/>
                <w14:textFill>
                  <w14:solidFill>
                    <w14:srgbClr w14:val="000000">
                      <w14:alpha w14:val="100000"/>
                    </w14:srgbClr>
                  </w14:solidFill>
                </w14:textFill>
              </w:rPr>
              <w:t>|||</w:t>
            </w:r>
            <w:r w:rsidRPr="00BD6E95">
              <w:rPr>
                <w:iCs/>
                <w:color w:val="000000"/>
                <w:spacing w:val="1"/>
                <w:shd w:val="solid" w:color="000000" w:fill="000000"/>
                <w:fitText w:val="330" w:id="-632053488"/>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nil"/>
              <w:right w:val="single" w:sz="4" w:space="0" w:color="auto"/>
            </w:tcBorders>
          </w:tcPr>
          <w:p w14:paraId="67A9836D" w14:textId="56BE7A9B" w:rsidR="00BA224D" w:rsidRPr="0043334D" w:rsidRDefault="00BD6E95" w:rsidP="006229E0">
            <w:pPr>
              <w:pStyle w:val="TableText0"/>
              <w:keepLines/>
              <w:jc w:val="center"/>
              <w:rPr>
                <w:iCs/>
                <w:color w:val="000000"/>
                <w:szCs w:val="20"/>
                <w:highlight w:val="darkGray"/>
              </w:rPr>
            </w:pPr>
            <w:r w:rsidRPr="00BD6E95">
              <w:rPr>
                <w:iCs/>
                <w:color w:val="000000"/>
                <w:spacing w:val="53"/>
                <w:shd w:val="solid" w:color="000000" w:fill="000000"/>
                <w:fitText w:val="330" w:id="-632053504"/>
                <w14:textFill>
                  <w14:solidFill>
                    <w14:srgbClr w14:val="000000">
                      <w14:alpha w14:val="100000"/>
                    </w14:srgbClr>
                  </w14:solidFill>
                </w14:textFill>
              </w:rPr>
              <w:t>|||</w:t>
            </w:r>
            <w:r w:rsidRPr="00BD6E95">
              <w:rPr>
                <w:iCs/>
                <w:color w:val="000000"/>
                <w:spacing w:val="1"/>
                <w:shd w:val="solid" w:color="000000" w:fill="000000"/>
                <w:fitText w:val="330" w:id="-632053504"/>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606" w:type="pct"/>
            <w:tcBorders>
              <w:top w:val="nil"/>
              <w:left w:val="single" w:sz="4" w:space="0" w:color="auto"/>
              <w:bottom w:val="nil"/>
              <w:right w:val="single" w:sz="4" w:space="0" w:color="auto"/>
            </w:tcBorders>
          </w:tcPr>
          <w:p w14:paraId="6D23CB14" w14:textId="4E6B1F2F" w:rsidR="00BA224D" w:rsidRPr="0043334D" w:rsidRDefault="00BD6E95" w:rsidP="006229E0">
            <w:pPr>
              <w:pStyle w:val="TableText0"/>
              <w:keepLines/>
              <w:jc w:val="center"/>
              <w:rPr>
                <w:iCs/>
                <w:color w:val="000000"/>
                <w:szCs w:val="20"/>
                <w:highlight w:val="darkGray"/>
              </w:rPr>
            </w:pPr>
            <w:r w:rsidRPr="00BD6E95">
              <w:rPr>
                <w:iCs/>
                <w:color w:val="000000"/>
                <w:spacing w:val="53"/>
                <w:shd w:val="solid" w:color="000000" w:fill="000000"/>
                <w:fitText w:val="330" w:id="-632053503"/>
                <w14:textFill>
                  <w14:solidFill>
                    <w14:srgbClr w14:val="000000">
                      <w14:alpha w14:val="100000"/>
                    </w14:srgbClr>
                  </w14:solidFill>
                </w14:textFill>
              </w:rPr>
              <w:t>|||</w:t>
            </w:r>
            <w:r w:rsidRPr="00BD6E95">
              <w:rPr>
                <w:iCs/>
                <w:color w:val="000000"/>
                <w:spacing w:val="1"/>
                <w:shd w:val="solid" w:color="000000" w:fill="000000"/>
                <w:fitText w:val="330" w:id="-632053503"/>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65" w:type="pct"/>
            <w:tcBorders>
              <w:top w:val="nil"/>
              <w:left w:val="single" w:sz="4" w:space="0" w:color="auto"/>
              <w:bottom w:val="nil"/>
              <w:right w:val="single" w:sz="4" w:space="0" w:color="auto"/>
            </w:tcBorders>
          </w:tcPr>
          <w:p w14:paraId="1132C058" w14:textId="560E1CBE" w:rsidR="00BA224D" w:rsidRPr="0043334D" w:rsidRDefault="00BD6E95" w:rsidP="006229E0">
            <w:pPr>
              <w:pStyle w:val="TableText0"/>
              <w:keepLines/>
              <w:jc w:val="center"/>
              <w:rPr>
                <w:iCs/>
                <w:color w:val="000000"/>
                <w:szCs w:val="20"/>
                <w:highlight w:val="darkGray"/>
              </w:rPr>
            </w:pPr>
            <w:r w:rsidRPr="00BD6E95">
              <w:rPr>
                <w:iCs/>
                <w:color w:val="000000"/>
                <w:spacing w:val="51"/>
                <w:shd w:val="solid" w:color="000000" w:fill="000000"/>
                <w:fitText w:val="324" w:id="-632053502"/>
                <w14:textFill>
                  <w14:solidFill>
                    <w14:srgbClr w14:val="000000">
                      <w14:alpha w14:val="100000"/>
                    </w14:srgbClr>
                  </w14:solidFill>
                </w14:textFill>
              </w:rPr>
              <w:t>|||</w:t>
            </w:r>
            <w:r w:rsidRPr="00BD6E95">
              <w:rPr>
                <w:iCs/>
                <w:color w:val="000000"/>
                <w:spacing w:val="1"/>
                <w:shd w:val="solid" w:color="000000" w:fill="000000"/>
                <w:fitText w:val="324" w:id="-632053502"/>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nil"/>
              <w:right w:val="single" w:sz="4" w:space="0" w:color="auto"/>
            </w:tcBorders>
          </w:tcPr>
          <w:p w14:paraId="6309B008" w14:textId="7A2FA2D6" w:rsidR="00BA224D" w:rsidRPr="0043334D" w:rsidRDefault="00BD6E95" w:rsidP="006229E0">
            <w:pPr>
              <w:pStyle w:val="TableText0"/>
              <w:keepLines/>
              <w:jc w:val="center"/>
              <w:rPr>
                <w:iCs/>
                <w:color w:val="000000"/>
                <w:szCs w:val="20"/>
                <w:highlight w:val="darkGray"/>
              </w:rPr>
            </w:pPr>
            <w:r w:rsidRPr="00BD6E95">
              <w:rPr>
                <w:iCs/>
                <w:color w:val="000000"/>
                <w:spacing w:val="53"/>
                <w:shd w:val="solid" w:color="000000" w:fill="000000"/>
                <w:fitText w:val="330" w:id="-632053501"/>
                <w14:textFill>
                  <w14:solidFill>
                    <w14:srgbClr w14:val="000000">
                      <w14:alpha w14:val="100000"/>
                    </w14:srgbClr>
                  </w14:solidFill>
                </w14:textFill>
              </w:rPr>
              <w:t>|||</w:t>
            </w:r>
            <w:r w:rsidRPr="00BD6E95">
              <w:rPr>
                <w:iCs/>
                <w:color w:val="000000"/>
                <w:spacing w:val="1"/>
                <w:shd w:val="solid" w:color="000000" w:fill="000000"/>
                <w:fitText w:val="330" w:id="-632053501"/>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98" w:type="pct"/>
            <w:tcBorders>
              <w:top w:val="nil"/>
              <w:left w:val="single" w:sz="4" w:space="0" w:color="auto"/>
              <w:bottom w:val="nil"/>
              <w:right w:val="single" w:sz="4" w:space="0" w:color="auto"/>
            </w:tcBorders>
          </w:tcPr>
          <w:p w14:paraId="05B3085D" w14:textId="6074B090" w:rsidR="00BA224D" w:rsidRPr="0043334D" w:rsidRDefault="00BD6E95" w:rsidP="006229E0">
            <w:pPr>
              <w:pStyle w:val="TableText0"/>
              <w:keepLines/>
              <w:jc w:val="center"/>
              <w:rPr>
                <w:iCs/>
                <w:highlight w:val="darkGray"/>
              </w:rPr>
            </w:pPr>
            <w:r w:rsidRPr="00BD6E95">
              <w:rPr>
                <w:iCs/>
                <w:color w:val="000000"/>
                <w:spacing w:val="51"/>
                <w:shd w:val="solid" w:color="000000" w:fill="000000"/>
                <w:fitText w:val="324" w:id="-632053500"/>
                <w14:textFill>
                  <w14:solidFill>
                    <w14:srgbClr w14:val="000000">
                      <w14:alpha w14:val="100000"/>
                    </w14:srgbClr>
                  </w14:solidFill>
                </w14:textFill>
              </w:rPr>
              <w:t>|||</w:t>
            </w:r>
            <w:r w:rsidRPr="00BD6E95">
              <w:rPr>
                <w:iCs/>
                <w:color w:val="000000"/>
                <w:spacing w:val="1"/>
                <w:shd w:val="solid" w:color="000000" w:fill="000000"/>
                <w:fitText w:val="324" w:id="-632053500"/>
                <w14:textFill>
                  <w14:solidFill>
                    <w14:srgbClr w14:val="000000">
                      <w14:alpha w14:val="100000"/>
                    </w14:srgbClr>
                  </w14:solidFill>
                </w14:textFill>
              </w:rPr>
              <w:t>|</w:t>
            </w:r>
            <w:r w:rsidR="0006406C" w:rsidRPr="00921CC3">
              <w:rPr>
                <w:rFonts w:eastAsia="Calibri" w:cs="Times New Roman"/>
                <w:bCs w:val="0"/>
                <w:iCs/>
                <w:sz w:val="19"/>
                <w:szCs w:val="19"/>
                <w:vertAlign w:val="superscript"/>
                <w:lang w:eastAsia="en-GB"/>
              </w:rPr>
              <w:t>8</w:t>
            </w:r>
          </w:p>
        </w:tc>
      </w:tr>
      <w:tr w:rsidR="007E6C9D" w:rsidRPr="001534B3" w14:paraId="6F7AE5DE" w14:textId="77777777" w:rsidTr="008C7D15">
        <w:trPr>
          <w:trHeight w:val="20"/>
        </w:trPr>
        <w:tc>
          <w:tcPr>
            <w:tcW w:w="905" w:type="pct"/>
            <w:tcBorders>
              <w:top w:val="nil"/>
              <w:left w:val="single" w:sz="4" w:space="0" w:color="auto"/>
              <w:bottom w:val="single" w:sz="4" w:space="0" w:color="auto"/>
              <w:right w:val="single" w:sz="4" w:space="0" w:color="auto"/>
            </w:tcBorders>
            <w:vAlign w:val="center"/>
          </w:tcPr>
          <w:p w14:paraId="06191EE5" w14:textId="77777777" w:rsidR="00BA224D" w:rsidRPr="001534B3" w:rsidRDefault="00BA224D" w:rsidP="006229E0">
            <w:pPr>
              <w:keepNext/>
              <w:keepLines/>
              <w:widowControl w:val="0"/>
              <w:ind w:left="112"/>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Consultations</w:t>
            </w:r>
          </w:p>
        </w:tc>
        <w:tc>
          <w:tcPr>
            <w:tcW w:w="583" w:type="pct"/>
            <w:tcBorders>
              <w:top w:val="nil"/>
              <w:left w:val="single" w:sz="4" w:space="0" w:color="auto"/>
              <w:bottom w:val="single" w:sz="4" w:space="0" w:color="auto"/>
              <w:right w:val="single" w:sz="4" w:space="0" w:color="auto"/>
            </w:tcBorders>
          </w:tcPr>
          <w:p w14:paraId="0CC2F2C3" w14:textId="0E3E95D1" w:rsidR="00BA224D" w:rsidRPr="0043334D" w:rsidRDefault="00BD6E95" w:rsidP="006229E0">
            <w:pPr>
              <w:pStyle w:val="TableText0"/>
              <w:keepLines/>
              <w:jc w:val="center"/>
              <w:rPr>
                <w:iCs/>
                <w:color w:val="000000"/>
                <w:szCs w:val="20"/>
                <w:highlight w:val="darkGray"/>
              </w:rPr>
            </w:pPr>
            <w:r w:rsidRPr="00BD6E95">
              <w:rPr>
                <w:iCs/>
                <w:color w:val="000000"/>
                <w:spacing w:val="53"/>
                <w:shd w:val="solid" w:color="000000" w:fill="000000"/>
                <w:fitText w:val="330" w:id="-632053499"/>
                <w14:textFill>
                  <w14:solidFill>
                    <w14:srgbClr w14:val="000000">
                      <w14:alpha w14:val="100000"/>
                    </w14:srgbClr>
                  </w14:solidFill>
                </w14:textFill>
              </w:rPr>
              <w:t>|||</w:t>
            </w:r>
            <w:r w:rsidRPr="00BD6E95">
              <w:rPr>
                <w:iCs/>
                <w:color w:val="000000"/>
                <w:spacing w:val="1"/>
                <w:shd w:val="solid" w:color="000000" w:fill="000000"/>
                <w:fitText w:val="330" w:id="-632053499"/>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single" w:sz="4" w:space="0" w:color="auto"/>
              <w:right w:val="single" w:sz="4" w:space="0" w:color="auto"/>
            </w:tcBorders>
          </w:tcPr>
          <w:p w14:paraId="2DE7E5D4" w14:textId="1CC1ACA4" w:rsidR="00BA224D" w:rsidRPr="0043334D" w:rsidRDefault="00BD6E95" w:rsidP="006229E0">
            <w:pPr>
              <w:pStyle w:val="TableText0"/>
              <w:keepLines/>
              <w:jc w:val="center"/>
              <w:rPr>
                <w:iCs/>
                <w:color w:val="000000"/>
                <w:szCs w:val="20"/>
                <w:highlight w:val="darkGray"/>
              </w:rPr>
            </w:pPr>
            <w:r w:rsidRPr="00BD6E95">
              <w:rPr>
                <w:iCs/>
                <w:color w:val="000000"/>
                <w:spacing w:val="53"/>
                <w:shd w:val="solid" w:color="000000" w:fill="000000"/>
                <w:fitText w:val="330" w:id="-632053498"/>
                <w14:textFill>
                  <w14:solidFill>
                    <w14:srgbClr w14:val="000000">
                      <w14:alpha w14:val="100000"/>
                    </w14:srgbClr>
                  </w14:solidFill>
                </w14:textFill>
              </w:rPr>
              <w:t>|||</w:t>
            </w:r>
            <w:r w:rsidRPr="00BD6E95">
              <w:rPr>
                <w:iCs/>
                <w:color w:val="000000"/>
                <w:spacing w:val="1"/>
                <w:shd w:val="solid" w:color="000000" w:fill="000000"/>
                <w:fitText w:val="330" w:id="-632053498"/>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single" w:sz="4" w:space="0" w:color="auto"/>
              <w:right w:val="single" w:sz="4" w:space="0" w:color="auto"/>
            </w:tcBorders>
          </w:tcPr>
          <w:p w14:paraId="3468B854" w14:textId="4BD6D008" w:rsidR="00BA224D" w:rsidRPr="0043334D" w:rsidRDefault="00BD6E95" w:rsidP="006229E0">
            <w:pPr>
              <w:pStyle w:val="TableText0"/>
              <w:keepLines/>
              <w:jc w:val="center"/>
              <w:rPr>
                <w:iCs/>
                <w:color w:val="000000"/>
                <w:szCs w:val="20"/>
                <w:highlight w:val="darkGray"/>
              </w:rPr>
            </w:pPr>
            <w:r w:rsidRPr="00BD6E95">
              <w:rPr>
                <w:iCs/>
                <w:color w:val="000000"/>
                <w:spacing w:val="53"/>
                <w:shd w:val="solid" w:color="000000" w:fill="000000"/>
                <w:fitText w:val="330" w:id="-632053248"/>
                <w14:textFill>
                  <w14:solidFill>
                    <w14:srgbClr w14:val="000000">
                      <w14:alpha w14:val="100000"/>
                    </w14:srgbClr>
                  </w14:solidFill>
                </w14:textFill>
              </w:rPr>
              <w:t>|||</w:t>
            </w:r>
            <w:r w:rsidRPr="00BD6E95">
              <w:rPr>
                <w:iCs/>
                <w:color w:val="000000"/>
                <w:spacing w:val="1"/>
                <w:shd w:val="solid" w:color="000000" w:fill="000000"/>
                <w:fitText w:val="330" w:id="-632053248"/>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606" w:type="pct"/>
            <w:tcBorders>
              <w:top w:val="nil"/>
              <w:left w:val="single" w:sz="4" w:space="0" w:color="auto"/>
              <w:bottom w:val="single" w:sz="4" w:space="0" w:color="auto"/>
              <w:right w:val="single" w:sz="4" w:space="0" w:color="auto"/>
            </w:tcBorders>
          </w:tcPr>
          <w:p w14:paraId="30743ED7" w14:textId="206BFE0E" w:rsidR="00BA224D" w:rsidRPr="0043334D" w:rsidRDefault="00BD6E95" w:rsidP="006229E0">
            <w:pPr>
              <w:pStyle w:val="TableText0"/>
              <w:keepLines/>
              <w:jc w:val="center"/>
              <w:rPr>
                <w:iCs/>
                <w:color w:val="000000"/>
                <w:szCs w:val="20"/>
                <w:highlight w:val="darkGray"/>
              </w:rPr>
            </w:pPr>
            <w:r w:rsidRPr="00BD6E95">
              <w:rPr>
                <w:iCs/>
                <w:color w:val="000000"/>
                <w:spacing w:val="53"/>
                <w:shd w:val="solid" w:color="000000" w:fill="000000"/>
                <w:fitText w:val="330" w:id="-632053247"/>
                <w14:textFill>
                  <w14:solidFill>
                    <w14:srgbClr w14:val="000000">
                      <w14:alpha w14:val="100000"/>
                    </w14:srgbClr>
                  </w14:solidFill>
                </w14:textFill>
              </w:rPr>
              <w:t>|||</w:t>
            </w:r>
            <w:r w:rsidRPr="00BD6E95">
              <w:rPr>
                <w:iCs/>
                <w:color w:val="000000"/>
                <w:spacing w:val="1"/>
                <w:shd w:val="solid" w:color="000000" w:fill="000000"/>
                <w:fitText w:val="330" w:id="-632053247"/>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65" w:type="pct"/>
            <w:tcBorders>
              <w:top w:val="nil"/>
              <w:left w:val="single" w:sz="4" w:space="0" w:color="auto"/>
              <w:bottom w:val="single" w:sz="4" w:space="0" w:color="auto"/>
              <w:right w:val="single" w:sz="4" w:space="0" w:color="auto"/>
            </w:tcBorders>
          </w:tcPr>
          <w:p w14:paraId="769B8D27" w14:textId="7F5A924F" w:rsidR="00BA224D" w:rsidRPr="0043334D" w:rsidRDefault="00BD6E95" w:rsidP="006229E0">
            <w:pPr>
              <w:pStyle w:val="TableText0"/>
              <w:keepLines/>
              <w:jc w:val="center"/>
              <w:rPr>
                <w:iCs/>
                <w:color w:val="000000"/>
                <w:szCs w:val="20"/>
                <w:highlight w:val="darkGray"/>
              </w:rPr>
            </w:pPr>
            <w:r w:rsidRPr="00BD6E95">
              <w:rPr>
                <w:iCs/>
                <w:color w:val="000000"/>
                <w:spacing w:val="51"/>
                <w:shd w:val="solid" w:color="000000" w:fill="000000"/>
                <w:fitText w:val="324" w:id="-632053246"/>
                <w14:textFill>
                  <w14:solidFill>
                    <w14:srgbClr w14:val="000000">
                      <w14:alpha w14:val="100000"/>
                    </w14:srgbClr>
                  </w14:solidFill>
                </w14:textFill>
              </w:rPr>
              <w:t>|||</w:t>
            </w:r>
            <w:r w:rsidRPr="00BD6E95">
              <w:rPr>
                <w:iCs/>
                <w:color w:val="000000"/>
                <w:spacing w:val="1"/>
                <w:shd w:val="solid" w:color="000000" w:fill="000000"/>
                <w:fitText w:val="324" w:id="-632053246"/>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81" w:type="pct"/>
            <w:tcBorders>
              <w:top w:val="nil"/>
              <w:left w:val="single" w:sz="4" w:space="0" w:color="auto"/>
              <w:bottom w:val="single" w:sz="4" w:space="0" w:color="auto"/>
              <w:right w:val="single" w:sz="4" w:space="0" w:color="auto"/>
            </w:tcBorders>
          </w:tcPr>
          <w:p w14:paraId="48830335" w14:textId="14B06BB7" w:rsidR="00BA224D" w:rsidRPr="0043334D" w:rsidRDefault="00BD6E95" w:rsidP="006229E0">
            <w:pPr>
              <w:pStyle w:val="TableText0"/>
              <w:keepLines/>
              <w:jc w:val="center"/>
              <w:rPr>
                <w:iCs/>
                <w:color w:val="000000"/>
                <w:szCs w:val="20"/>
                <w:highlight w:val="darkGray"/>
              </w:rPr>
            </w:pPr>
            <w:r w:rsidRPr="00BD6E95">
              <w:rPr>
                <w:iCs/>
                <w:color w:val="000000"/>
                <w:spacing w:val="53"/>
                <w:shd w:val="solid" w:color="000000" w:fill="000000"/>
                <w:fitText w:val="330" w:id="-632053245"/>
                <w14:textFill>
                  <w14:solidFill>
                    <w14:srgbClr w14:val="000000">
                      <w14:alpha w14:val="100000"/>
                    </w14:srgbClr>
                  </w14:solidFill>
                </w14:textFill>
              </w:rPr>
              <w:t>|||</w:t>
            </w:r>
            <w:r w:rsidRPr="00BD6E95">
              <w:rPr>
                <w:iCs/>
                <w:color w:val="000000"/>
                <w:spacing w:val="1"/>
                <w:shd w:val="solid" w:color="000000" w:fill="000000"/>
                <w:fitText w:val="330" w:id="-632053245"/>
                <w14:textFill>
                  <w14:solidFill>
                    <w14:srgbClr w14:val="000000">
                      <w14:alpha w14:val="100000"/>
                    </w14:srgbClr>
                  </w14:solidFill>
                </w14:textFill>
              </w:rPr>
              <w:t>|</w:t>
            </w:r>
            <w:r w:rsidR="000F1440" w:rsidRPr="00921CC3">
              <w:rPr>
                <w:rFonts w:eastAsia="Calibri" w:cs="Times New Roman"/>
                <w:bCs w:val="0"/>
                <w:iCs/>
                <w:sz w:val="19"/>
                <w:szCs w:val="19"/>
                <w:vertAlign w:val="superscript"/>
                <w:lang w:eastAsia="en-GB"/>
              </w:rPr>
              <w:t>8</w:t>
            </w:r>
          </w:p>
        </w:tc>
        <w:tc>
          <w:tcPr>
            <w:tcW w:w="598" w:type="pct"/>
            <w:tcBorders>
              <w:top w:val="nil"/>
              <w:left w:val="single" w:sz="4" w:space="0" w:color="auto"/>
              <w:bottom w:val="single" w:sz="4" w:space="0" w:color="auto"/>
              <w:right w:val="single" w:sz="4" w:space="0" w:color="auto"/>
            </w:tcBorders>
          </w:tcPr>
          <w:p w14:paraId="651EF3C6" w14:textId="685E2C42" w:rsidR="00BA224D" w:rsidRPr="0043334D" w:rsidRDefault="00BD6E95" w:rsidP="006229E0">
            <w:pPr>
              <w:pStyle w:val="TableText0"/>
              <w:keepLines/>
              <w:jc w:val="center"/>
              <w:rPr>
                <w:iCs/>
                <w:highlight w:val="darkGray"/>
              </w:rPr>
            </w:pPr>
            <w:r w:rsidRPr="00BD6E95">
              <w:rPr>
                <w:iCs/>
                <w:color w:val="000000"/>
                <w:spacing w:val="51"/>
                <w:shd w:val="solid" w:color="000000" w:fill="000000"/>
                <w:fitText w:val="324" w:id="-632053244"/>
                <w14:textFill>
                  <w14:solidFill>
                    <w14:srgbClr w14:val="000000">
                      <w14:alpha w14:val="100000"/>
                    </w14:srgbClr>
                  </w14:solidFill>
                </w14:textFill>
              </w:rPr>
              <w:t>|||</w:t>
            </w:r>
            <w:r w:rsidRPr="00BD6E95">
              <w:rPr>
                <w:iCs/>
                <w:color w:val="000000"/>
                <w:spacing w:val="1"/>
                <w:shd w:val="solid" w:color="000000" w:fill="000000"/>
                <w:fitText w:val="324" w:id="-632053244"/>
                <w14:textFill>
                  <w14:solidFill>
                    <w14:srgbClr w14:val="000000">
                      <w14:alpha w14:val="100000"/>
                    </w14:srgbClr>
                  </w14:solidFill>
                </w14:textFill>
              </w:rPr>
              <w:t>|</w:t>
            </w:r>
            <w:r w:rsidR="0006406C" w:rsidRPr="00921CC3">
              <w:rPr>
                <w:rFonts w:eastAsia="Calibri" w:cs="Times New Roman"/>
                <w:bCs w:val="0"/>
                <w:iCs/>
                <w:sz w:val="19"/>
                <w:szCs w:val="19"/>
                <w:vertAlign w:val="superscript"/>
                <w:lang w:eastAsia="en-GB"/>
              </w:rPr>
              <w:t>8</w:t>
            </w:r>
          </w:p>
        </w:tc>
      </w:tr>
      <w:tr w:rsidR="007E6C9D" w:rsidRPr="001534B3" w14:paraId="37BF16FB" w14:textId="77777777" w:rsidTr="008C7D15">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14:paraId="6A844A90" w14:textId="5E885B01" w:rsidR="00BA224D" w:rsidRPr="001534B3" w:rsidRDefault="00BA224D" w:rsidP="006229E0">
            <w:pPr>
              <w:keepNext/>
              <w:keepLines/>
              <w:widowControl w:val="0"/>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Net cost to PBS/RPBS/MBS</w:t>
            </w:r>
          </w:p>
        </w:tc>
        <w:tc>
          <w:tcPr>
            <w:tcW w:w="583" w:type="pct"/>
            <w:tcBorders>
              <w:top w:val="single" w:sz="4" w:space="0" w:color="auto"/>
              <w:left w:val="single" w:sz="4" w:space="0" w:color="auto"/>
              <w:bottom w:val="single" w:sz="4" w:space="0" w:color="auto"/>
              <w:right w:val="single" w:sz="4" w:space="0" w:color="auto"/>
            </w:tcBorders>
            <w:vAlign w:val="center"/>
          </w:tcPr>
          <w:p w14:paraId="702D5CE3" w14:textId="6F145531"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zCs w:val="20"/>
                <w:shd w:val="solid" w:color="000000" w:fill="000000"/>
                <w:fitText w:val="330" w:id="-632053243"/>
                <w14:textFill>
                  <w14:solidFill>
                    <w14:srgbClr w14:val="000000">
                      <w14:alpha w14:val="100000"/>
                    </w14:srgbClr>
                  </w14:solidFill>
                </w14:textFill>
              </w:rPr>
              <w:t>|||</w:t>
            </w:r>
            <w:r w:rsidRPr="00BD6E95">
              <w:rPr>
                <w:iCs/>
                <w:color w:val="000000"/>
                <w:spacing w:val="1"/>
                <w:szCs w:val="20"/>
                <w:shd w:val="solid" w:color="000000" w:fill="000000"/>
                <w:fitText w:val="330" w:id="-632053243"/>
                <w14:textFill>
                  <w14:solidFill>
                    <w14:srgbClr w14:val="000000">
                      <w14:alpha w14:val="100000"/>
                    </w14:srgbClr>
                  </w14:solidFill>
                </w14:textFill>
              </w:rPr>
              <w:t>|</w:t>
            </w:r>
            <w:r w:rsidR="00CF5E29" w:rsidRPr="00786D0D">
              <w:rPr>
                <w:iCs/>
                <w:szCs w:val="20"/>
                <w:vertAlign w:val="superscript"/>
              </w:rPr>
              <w:t>11</w:t>
            </w:r>
          </w:p>
        </w:tc>
        <w:tc>
          <w:tcPr>
            <w:tcW w:w="581" w:type="pct"/>
            <w:tcBorders>
              <w:top w:val="single" w:sz="4" w:space="0" w:color="auto"/>
              <w:left w:val="single" w:sz="4" w:space="0" w:color="auto"/>
              <w:bottom w:val="single" w:sz="4" w:space="0" w:color="auto"/>
              <w:right w:val="single" w:sz="4" w:space="0" w:color="auto"/>
            </w:tcBorders>
            <w:vAlign w:val="center"/>
          </w:tcPr>
          <w:p w14:paraId="175163DB" w14:textId="12588A14" w:rsidR="00BA224D" w:rsidRPr="0043334D" w:rsidRDefault="00BD6E95" w:rsidP="006229E0">
            <w:pPr>
              <w:pStyle w:val="TableText0"/>
              <w:keepLines/>
              <w:jc w:val="center"/>
              <w:rPr>
                <w:rFonts w:cs="Arial"/>
                <w:iCs/>
                <w:color w:val="000000"/>
                <w:szCs w:val="20"/>
                <w:highlight w:val="darkGray"/>
              </w:rPr>
            </w:pPr>
            <w:r w:rsidRPr="00BD6E95">
              <w:rPr>
                <w:iCs/>
                <w:color w:val="000000"/>
                <w:spacing w:val="51"/>
                <w:szCs w:val="20"/>
                <w:shd w:val="solid" w:color="000000" w:fill="000000"/>
                <w:fitText w:val="324" w:id="-632053242"/>
                <w14:textFill>
                  <w14:solidFill>
                    <w14:srgbClr w14:val="000000">
                      <w14:alpha w14:val="100000"/>
                    </w14:srgbClr>
                  </w14:solidFill>
                </w14:textFill>
              </w:rPr>
              <w:t>|||</w:t>
            </w:r>
            <w:r w:rsidRPr="00BD6E95">
              <w:rPr>
                <w:iCs/>
                <w:color w:val="000000"/>
                <w:spacing w:val="1"/>
                <w:szCs w:val="20"/>
                <w:shd w:val="solid" w:color="000000" w:fill="000000"/>
                <w:fitText w:val="324" w:id="-632053242"/>
                <w14:textFill>
                  <w14:solidFill>
                    <w14:srgbClr w14:val="000000">
                      <w14:alpha w14:val="100000"/>
                    </w14:srgbClr>
                  </w14:solidFill>
                </w14:textFill>
              </w:rPr>
              <w:t>|</w:t>
            </w:r>
            <w:r w:rsidR="00CF5E29" w:rsidRPr="00786D0D">
              <w:rPr>
                <w:iCs/>
                <w:szCs w:val="20"/>
                <w:vertAlign w:val="superscript"/>
              </w:rPr>
              <w:t>11</w:t>
            </w:r>
          </w:p>
        </w:tc>
        <w:tc>
          <w:tcPr>
            <w:tcW w:w="581" w:type="pct"/>
            <w:tcBorders>
              <w:top w:val="single" w:sz="4" w:space="0" w:color="auto"/>
              <w:left w:val="single" w:sz="4" w:space="0" w:color="auto"/>
              <w:bottom w:val="single" w:sz="4" w:space="0" w:color="auto"/>
              <w:right w:val="single" w:sz="4" w:space="0" w:color="auto"/>
            </w:tcBorders>
            <w:vAlign w:val="center"/>
          </w:tcPr>
          <w:p w14:paraId="287097E9" w14:textId="778B54FA" w:rsidR="00BA224D" w:rsidRPr="0043334D" w:rsidRDefault="00BD6E95" w:rsidP="006229E0">
            <w:pPr>
              <w:pStyle w:val="TableText0"/>
              <w:keepLines/>
              <w:jc w:val="center"/>
              <w:rPr>
                <w:rFonts w:cs="Arial"/>
                <w:iCs/>
                <w:color w:val="000000"/>
                <w:szCs w:val="20"/>
                <w:highlight w:val="darkGray"/>
              </w:rPr>
            </w:pPr>
            <w:r w:rsidRPr="00BD6E95">
              <w:rPr>
                <w:iCs/>
                <w:color w:val="000000"/>
                <w:spacing w:val="51"/>
                <w:szCs w:val="20"/>
                <w:shd w:val="solid" w:color="000000" w:fill="000000"/>
                <w:fitText w:val="324" w:id="-632053241"/>
                <w14:textFill>
                  <w14:solidFill>
                    <w14:srgbClr w14:val="000000">
                      <w14:alpha w14:val="100000"/>
                    </w14:srgbClr>
                  </w14:solidFill>
                </w14:textFill>
              </w:rPr>
              <w:t>|||</w:t>
            </w:r>
            <w:r w:rsidRPr="00BD6E95">
              <w:rPr>
                <w:iCs/>
                <w:color w:val="000000"/>
                <w:spacing w:val="1"/>
                <w:szCs w:val="20"/>
                <w:shd w:val="solid" w:color="000000" w:fill="000000"/>
                <w:fitText w:val="324" w:id="-632053241"/>
                <w14:textFill>
                  <w14:solidFill>
                    <w14:srgbClr w14:val="000000">
                      <w14:alpha w14:val="100000"/>
                    </w14:srgbClr>
                  </w14:solidFill>
                </w14:textFill>
              </w:rPr>
              <w:t>|</w:t>
            </w:r>
            <w:r w:rsidR="00CF5E29" w:rsidRPr="00786D0D">
              <w:rPr>
                <w:iCs/>
                <w:szCs w:val="20"/>
                <w:vertAlign w:val="superscript"/>
              </w:rPr>
              <w:t>11</w:t>
            </w:r>
          </w:p>
        </w:tc>
        <w:tc>
          <w:tcPr>
            <w:tcW w:w="606" w:type="pct"/>
            <w:tcBorders>
              <w:top w:val="single" w:sz="4" w:space="0" w:color="auto"/>
              <w:left w:val="single" w:sz="4" w:space="0" w:color="auto"/>
              <w:bottom w:val="single" w:sz="4" w:space="0" w:color="auto"/>
              <w:right w:val="single" w:sz="4" w:space="0" w:color="auto"/>
            </w:tcBorders>
            <w:vAlign w:val="center"/>
          </w:tcPr>
          <w:p w14:paraId="028086D6" w14:textId="66FE8FF9" w:rsidR="00BA224D" w:rsidRPr="0043334D" w:rsidRDefault="00BD6E95" w:rsidP="006229E0">
            <w:pPr>
              <w:pStyle w:val="TableText0"/>
              <w:keepLines/>
              <w:jc w:val="center"/>
              <w:rPr>
                <w:rFonts w:cs="Arial"/>
                <w:iCs/>
                <w:color w:val="000000"/>
                <w:szCs w:val="20"/>
                <w:highlight w:val="darkGray"/>
              </w:rPr>
            </w:pPr>
            <w:r w:rsidRPr="00BD6E95">
              <w:rPr>
                <w:iCs/>
                <w:color w:val="000000"/>
                <w:spacing w:val="51"/>
                <w:szCs w:val="20"/>
                <w:shd w:val="solid" w:color="000000" w:fill="000000"/>
                <w:fitText w:val="324" w:id="-632053240"/>
                <w14:textFill>
                  <w14:solidFill>
                    <w14:srgbClr w14:val="000000">
                      <w14:alpha w14:val="100000"/>
                    </w14:srgbClr>
                  </w14:solidFill>
                </w14:textFill>
              </w:rPr>
              <w:t>|||</w:t>
            </w:r>
            <w:r w:rsidRPr="00BD6E95">
              <w:rPr>
                <w:iCs/>
                <w:color w:val="000000"/>
                <w:spacing w:val="1"/>
                <w:szCs w:val="20"/>
                <w:shd w:val="solid" w:color="000000" w:fill="000000"/>
                <w:fitText w:val="324" w:id="-632053240"/>
                <w14:textFill>
                  <w14:solidFill>
                    <w14:srgbClr w14:val="000000">
                      <w14:alpha w14:val="100000"/>
                    </w14:srgbClr>
                  </w14:solidFill>
                </w14:textFill>
              </w:rPr>
              <w:t>|</w:t>
            </w:r>
            <w:r w:rsidR="00AD08B8" w:rsidRPr="00EB70A7">
              <w:rPr>
                <w:iCs/>
                <w:szCs w:val="20"/>
                <w:vertAlign w:val="superscript"/>
              </w:rPr>
              <w:t>12</w:t>
            </w:r>
          </w:p>
        </w:tc>
        <w:tc>
          <w:tcPr>
            <w:tcW w:w="565" w:type="pct"/>
            <w:tcBorders>
              <w:top w:val="single" w:sz="4" w:space="0" w:color="auto"/>
              <w:left w:val="single" w:sz="4" w:space="0" w:color="auto"/>
              <w:bottom w:val="single" w:sz="4" w:space="0" w:color="auto"/>
              <w:right w:val="single" w:sz="4" w:space="0" w:color="auto"/>
            </w:tcBorders>
            <w:vAlign w:val="center"/>
          </w:tcPr>
          <w:p w14:paraId="17C17445" w14:textId="4014AA90"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zCs w:val="20"/>
                <w:shd w:val="solid" w:color="000000" w:fill="000000"/>
                <w:fitText w:val="330" w:id="-632053239"/>
                <w14:textFill>
                  <w14:solidFill>
                    <w14:srgbClr w14:val="000000">
                      <w14:alpha w14:val="100000"/>
                    </w14:srgbClr>
                  </w14:solidFill>
                </w14:textFill>
              </w:rPr>
              <w:t>|||</w:t>
            </w:r>
            <w:r w:rsidRPr="00BD6E95">
              <w:rPr>
                <w:iCs/>
                <w:color w:val="000000"/>
                <w:spacing w:val="1"/>
                <w:szCs w:val="20"/>
                <w:shd w:val="solid" w:color="000000" w:fill="000000"/>
                <w:fitText w:val="330" w:id="-632053239"/>
                <w14:textFill>
                  <w14:solidFill>
                    <w14:srgbClr w14:val="000000">
                      <w14:alpha w14:val="100000"/>
                    </w14:srgbClr>
                  </w14:solidFill>
                </w14:textFill>
              </w:rPr>
              <w:t>|</w:t>
            </w:r>
            <w:r w:rsidR="00AD08B8" w:rsidRPr="00EB70A7">
              <w:rPr>
                <w:iCs/>
                <w:szCs w:val="20"/>
                <w:vertAlign w:val="superscript"/>
              </w:rPr>
              <w:t>12</w:t>
            </w:r>
          </w:p>
        </w:tc>
        <w:tc>
          <w:tcPr>
            <w:tcW w:w="581" w:type="pct"/>
            <w:tcBorders>
              <w:top w:val="single" w:sz="4" w:space="0" w:color="auto"/>
              <w:left w:val="single" w:sz="4" w:space="0" w:color="auto"/>
              <w:bottom w:val="single" w:sz="4" w:space="0" w:color="auto"/>
              <w:right w:val="single" w:sz="4" w:space="0" w:color="auto"/>
            </w:tcBorders>
            <w:vAlign w:val="center"/>
          </w:tcPr>
          <w:p w14:paraId="73963B34" w14:textId="2A0C9924" w:rsidR="00BA224D" w:rsidRPr="0043334D" w:rsidRDefault="00BD6E95" w:rsidP="006229E0">
            <w:pPr>
              <w:pStyle w:val="TableText0"/>
              <w:keepLines/>
              <w:jc w:val="center"/>
              <w:rPr>
                <w:rFonts w:cs="Arial"/>
                <w:iCs/>
                <w:color w:val="000000"/>
                <w:szCs w:val="20"/>
                <w:highlight w:val="darkGray"/>
              </w:rPr>
            </w:pPr>
            <w:r w:rsidRPr="00BD6E95">
              <w:rPr>
                <w:iCs/>
                <w:color w:val="000000"/>
                <w:spacing w:val="51"/>
                <w:szCs w:val="20"/>
                <w:shd w:val="solid" w:color="000000" w:fill="000000"/>
                <w:fitText w:val="324" w:id="-632053238"/>
                <w14:textFill>
                  <w14:solidFill>
                    <w14:srgbClr w14:val="000000">
                      <w14:alpha w14:val="100000"/>
                    </w14:srgbClr>
                  </w14:solidFill>
                </w14:textFill>
              </w:rPr>
              <w:t>|||</w:t>
            </w:r>
            <w:r w:rsidRPr="00BD6E95">
              <w:rPr>
                <w:iCs/>
                <w:color w:val="000000"/>
                <w:spacing w:val="1"/>
                <w:szCs w:val="20"/>
                <w:shd w:val="solid" w:color="000000" w:fill="000000"/>
                <w:fitText w:val="324" w:id="-632053238"/>
                <w14:textFill>
                  <w14:solidFill>
                    <w14:srgbClr w14:val="000000">
                      <w14:alpha w14:val="100000"/>
                    </w14:srgbClr>
                  </w14:solidFill>
                </w14:textFill>
              </w:rPr>
              <w:t>|</w:t>
            </w:r>
            <w:r w:rsidR="00AD08B8" w:rsidRPr="00EB70A7">
              <w:rPr>
                <w:iCs/>
                <w:szCs w:val="20"/>
                <w:vertAlign w:val="superscript"/>
              </w:rPr>
              <w:t>12</w:t>
            </w:r>
          </w:p>
        </w:tc>
        <w:tc>
          <w:tcPr>
            <w:tcW w:w="598" w:type="pct"/>
            <w:tcBorders>
              <w:top w:val="single" w:sz="4" w:space="0" w:color="auto"/>
              <w:left w:val="single" w:sz="4" w:space="0" w:color="auto"/>
              <w:bottom w:val="single" w:sz="4" w:space="0" w:color="auto"/>
              <w:right w:val="single" w:sz="4" w:space="0" w:color="auto"/>
            </w:tcBorders>
            <w:vAlign w:val="center"/>
          </w:tcPr>
          <w:p w14:paraId="656A3D50" w14:textId="408774BE"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hd w:val="solid" w:color="000000" w:fill="000000"/>
                <w:fitText w:val="330" w:id="-632053237"/>
                <w14:textFill>
                  <w14:solidFill>
                    <w14:srgbClr w14:val="000000">
                      <w14:alpha w14:val="100000"/>
                    </w14:srgbClr>
                  </w14:solidFill>
                </w14:textFill>
              </w:rPr>
              <w:t>|||</w:t>
            </w:r>
            <w:r w:rsidRPr="00BD6E95">
              <w:rPr>
                <w:iCs/>
                <w:color w:val="000000"/>
                <w:spacing w:val="1"/>
                <w:shd w:val="solid" w:color="000000" w:fill="000000"/>
                <w:fitText w:val="330" w:id="-632053237"/>
                <w14:textFill>
                  <w14:solidFill>
                    <w14:srgbClr w14:val="000000">
                      <w14:alpha w14:val="100000"/>
                    </w14:srgbClr>
                  </w14:solidFill>
                </w14:textFill>
              </w:rPr>
              <w:t>|</w:t>
            </w:r>
            <w:r w:rsidR="00030E14" w:rsidRPr="00030E14">
              <w:rPr>
                <w:iCs/>
                <w:vertAlign w:val="superscript"/>
              </w:rPr>
              <w:t>13</w:t>
            </w:r>
          </w:p>
        </w:tc>
      </w:tr>
      <w:tr w:rsidR="008C7D15" w:rsidRPr="001534B3" w14:paraId="66AE5EDF" w14:textId="77777777" w:rsidTr="008C7D1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06325D0" w14:textId="3A0EE072" w:rsidR="008C7D15" w:rsidRPr="001534B3" w:rsidRDefault="008C7D15" w:rsidP="006229E0">
            <w:pPr>
              <w:pStyle w:val="TableText0"/>
              <w:keepLines/>
              <w:rPr>
                <w:b/>
                <w:bCs w:val="0"/>
                <w:iCs/>
              </w:rPr>
            </w:pPr>
            <w:r w:rsidRPr="001534B3">
              <w:rPr>
                <w:b/>
                <w:bCs w:val="0"/>
                <w:iCs/>
              </w:rPr>
              <w:t xml:space="preserve">Estimated financial implications </w:t>
            </w:r>
            <w:r w:rsidR="00327471" w:rsidRPr="001534B3">
              <w:rPr>
                <w:b/>
                <w:bCs w:val="0"/>
                <w:iCs/>
              </w:rPr>
              <w:t>including o</w:t>
            </w:r>
            <w:r w:rsidR="00721C02" w:rsidRPr="001534B3">
              <w:rPr>
                <w:b/>
                <w:bCs w:val="0"/>
                <w:iCs/>
              </w:rPr>
              <w:t>ther costs (CAR-T)</w:t>
            </w:r>
          </w:p>
        </w:tc>
      </w:tr>
      <w:tr w:rsidR="00D43CEF" w:rsidRPr="001534B3" w14:paraId="192D815A" w14:textId="77777777" w:rsidTr="008C7D15">
        <w:trPr>
          <w:trHeight w:val="20"/>
        </w:trPr>
        <w:tc>
          <w:tcPr>
            <w:tcW w:w="905" w:type="pct"/>
            <w:tcBorders>
              <w:top w:val="single" w:sz="4" w:space="0" w:color="auto"/>
              <w:left w:val="single" w:sz="4" w:space="0" w:color="auto"/>
              <w:bottom w:val="single" w:sz="4" w:space="0" w:color="auto"/>
              <w:right w:val="single" w:sz="4" w:space="0" w:color="auto"/>
            </w:tcBorders>
            <w:vAlign w:val="center"/>
          </w:tcPr>
          <w:p w14:paraId="378FA774" w14:textId="73C4F61C" w:rsidR="00D43CEF" w:rsidRPr="001534B3" w:rsidRDefault="00D43CEF" w:rsidP="006229E0">
            <w:pPr>
              <w:keepNext/>
              <w:keepLines/>
              <w:widowControl w:val="0"/>
              <w:jc w:val="left"/>
              <w:rPr>
                <w:rFonts w:ascii="Arial Narrow" w:hAnsi="Arial Narrow" w:cs="Times New Roman"/>
                <w:iCs/>
                <w:sz w:val="19"/>
                <w:szCs w:val="19"/>
                <w:lang w:eastAsia="en-GB"/>
              </w:rPr>
            </w:pPr>
            <w:r w:rsidRPr="001534B3">
              <w:rPr>
                <w:rFonts w:ascii="Arial Narrow" w:hAnsi="Arial Narrow" w:cs="Times New Roman"/>
                <w:bCs/>
                <w:iCs/>
                <w:sz w:val="19"/>
                <w:szCs w:val="19"/>
                <w:lang w:eastAsia="en-GB"/>
              </w:rPr>
              <w:t>CAR-T, net cost to NHRA HST</w:t>
            </w:r>
          </w:p>
        </w:tc>
        <w:tc>
          <w:tcPr>
            <w:tcW w:w="583" w:type="pct"/>
            <w:tcBorders>
              <w:top w:val="single" w:sz="4" w:space="0" w:color="auto"/>
              <w:left w:val="single" w:sz="4" w:space="0" w:color="auto"/>
              <w:bottom w:val="single" w:sz="4" w:space="0" w:color="auto"/>
              <w:right w:val="single" w:sz="4" w:space="0" w:color="auto"/>
            </w:tcBorders>
            <w:vAlign w:val="center"/>
          </w:tcPr>
          <w:p w14:paraId="1D17E87B" w14:textId="7634C605" w:rsidR="00D43CEF"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236"/>
                <w14:textFill>
                  <w14:solidFill>
                    <w14:srgbClr w14:val="000000">
                      <w14:alpha w14:val="100000"/>
                    </w14:srgbClr>
                  </w14:solidFill>
                </w14:textFill>
              </w:rPr>
              <w:t>|||</w:t>
            </w:r>
            <w:r w:rsidRPr="00BD6E95">
              <w:rPr>
                <w:iCs/>
                <w:color w:val="000000"/>
                <w:spacing w:val="1"/>
                <w:szCs w:val="20"/>
                <w:shd w:val="solid" w:color="000000" w:fill="000000"/>
                <w:fitText w:val="330" w:id="-632053236"/>
                <w14:textFill>
                  <w14:solidFill>
                    <w14:srgbClr w14:val="000000">
                      <w14:alpha w14:val="100000"/>
                    </w14:srgbClr>
                  </w14:solidFill>
                </w14:textFill>
              </w:rPr>
              <w:t>|</w:t>
            </w:r>
            <w:r w:rsidR="00E26D90" w:rsidRPr="00DB0162">
              <w:rPr>
                <w:rFonts w:cs="Times New Roman"/>
                <w:iCs/>
                <w:szCs w:val="20"/>
                <w:vertAlign w:val="superscript"/>
                <w:lang w:eastAsia="en-GB"/>
              </w:rPr>
              <w:t>9</w:t>
            </w:r>
          </w:p>
        </w:tc>
        <w:tc>
          <w:tcPr>
            <w:tcW w:w="581" w:type="pct"/>
            <w:tcBorders>
              <w:top w:val="single" w:sz="4" w:space="0" w:color="auto"/>
              <w:left w:val="single" w:sz="4" w:space="0" w:color="auto"/>
              <w:bottom w:val="single" w:sz="4" w:space="0" w:color="auto"/>
              <w:right w:val="single" w:sz="4" w:space="0" w:color="auto"/>
            </w:tcBorders>
            <w:vAlign w:val="center"/>
          </w:tcPr>
          <w:p w14:paraId="393E7A45" w14:textId="6C912CE3" w:rsidR="00D43CEF"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235"/>
                <w14:textFill>
                  <w14:solidFill>
                    <w14:srgbClr w14:val="000000">
                      <w14:alpha w14:val="100000"/>
                    </w14:srgbClr>
                  </w14:solidFill>
                </w14:textFill>
              </w:rPr>
              <w:t>|||</w:t>
            </w:r>
            <w:r w:rsidRPr="00BD6E95">
              <w:rPr>
                <w:iCs/>
                <w:color w:val="000000"/>
                <w:spacing w:val="1"/>
                <w:szCs w:val="20"/>
                <w:shd w:val="solid" w:color="000000" w:fill="000000"/>
                <w:fitText w:val="324" w:id="-632053235"/>
                <w14:textFill>
                  <w14:solidFill>
                    <w14:srgbClr w14:val="000000">
                      <w14:alpha w14:val="100000"/>
                    </w14:srgbClr>
                  </w14:solidFill>
                </w14:textFill>
              </w:rPr>
              <w:t>|</w:t>
            </w:r>
            <w:r w:rsidR="00E26D90" w:rsidRPr="00DB0162">
              <w:rPr>
                <w:rFonts w:cs="Times New Roman"/>
                <w:iCs/>
                <w:szCs w:val="20"/>
                <w:vertAlign w:val="superscript"/>
                <w:lang w:eastAsia="en-GB"/>
              </w:rPr>
              <w:t>9</w:t>
            </w:r>
          </w:p>
        </w:tc>
        <w:tc>
          <w:tcPr>
            <w:tcW w:w="581" w:type="pct"/>
            <w:tcBorders>
              <w:top w:val="single" w:sz="4" w:space="0" w:color="auto"/>
              <w:left w:val="single" w:sz="4" w:space="0" w:color="auto"/>
              <w:bottom w:val="single" w:sz="4" w:space="0" w:color="auto"/>
              <w:right w:val="single" w:sz="4" w:space="0" w:color="auto"/>
            </w:tcBorders>
            <w:vAlign w:val="center"/>
          </w:tcPr>
          <w:p w14:paraId="2CE57CC3" w14:textId="1C3CDF6A" w:rsidR="00D43CEF"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234"/>
                <w14:textFill>
                  <w14:solidFill>
                    <w14:srgbClr w14:val="000000">
                      <w14:alpha w14:val="100000"/>
                    </w14:srgbClr>
                  </w14:solidFill>
                </w14:textFill>
              </w:rPr>
              <w:t>|||</w:t>
            </w:r>
            <w:r w:rsidRPr="00BD6E95">
              <w:rPr>
                <w:iCs/>
                <w:color w:val="000000"/>
                <w:spacing w:val="1"/>
                <w:szCs w:val="20"/>
                <w:shd w:val="solid" w:color="000000" w:fill="000000"/>
                <w:fitText w:val="324" w:id="-632053234"/>
                <w14:textFill>
                  <w14:solidFill>
                    <w14:srgbClr w14:val="000000">
                      <w14:alpha w14:val="100000"/>
                    </w14:srgbClr>
                  </w14:solidFill>
                </w14:textFill>
              </w:rPr>
              <w:t>|</w:t>
            </w:r>
            <w:r w:rsidR="00E26D90" w:rsidRPr="00DB0162">
              <w:rPr>
                <w:rFonts w:cs="Times New Roman"/>
                <w:iCs/>
                <w:szCs w:val="20"/>
                <w:vertAlign w:val="superscript"/>
                <w:lang w:eastAsia="en-GB"/>
              </w:rPr>
              <w:t>9</w:t>
            </w:r>
          </w:p>
        </w:tc>
        <w:tc>
          <w:tcPr>
            <w:tcW w:w="606" w:type="pct"/>
            <w:tcBorders>
              <w:top w:val="single" w:sz="4" w:space="0" w:color="auto"/>
              <w:left w:val="single" w:sz="4" w:space="0" w:color="auto"/>
              <w:bottom w:val="single" w:sz="4" w:space="0" w:color="auto"/>
              <w:right w:val="single" w:sz="4" w:space="0" w:color="auto"/>
            </w:tcBorders>
            <w:vAlign w:val="center"/>
          </w:tcPr>
          <w:p w14:paraId="7AF01A8E" w14:textId="78AD916E" w:rsidR="00D43CEF"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233"/>
                <w14:textFill>
                  <w14:solidFill>
                    <w14:srgbClr w14:val="000000">
                      <w14:alpha w14:val="100000"/>
                    </w14:srgbClr>
                  </w14:solidFill>
                </w14:textFill>
              </w:rPr>
              <w:t>|||</w:t>
            </w:r>
            <w:r w:rsidRPr="00BD6E95">
              <w:rPr>
                <w:iCs/>
                <w:color w:val="000000"/>
                <w:spacing w:val="1"/>
                <w:szCs w:val="20"/>
                <w:shd w:val="solid" w:color="000000" w:fill="000000"/>
                <w:fitText w:val="324" w:id="-632053233"/>
                <w14:textFill>
                  <w14:solidFill>
                    <w14:srgbClr w14:val="000000">
                      <w14:alpha w14:val="100000"/>
                    </w14:srgbClr>
                  </w14:solidFill>
                </w14:textFill>
              </w:rPr>
              <w:t>|</w:t>
            </w:r>
            <w:r w:rsidR="00E26D90" w:rsidRPr="00DB0162">
              <w:rPr>
                <w:rFonts w:cs="Times New Roman"/>
                <w:iCs/>
                <w:szCs w:val="20"/>
                <w:vertAlign w:val="superscript"/>
                <w:lang w:eastAsia="en-GB"/>
              </w:rPr>
              <w:t>9</w:t>
            </w:r>
          </w:p>
        </w:tc>
        <w:tc>
          <w:tcPr>
            <w:tcW w:w="565" w:type="pct"/>
            <w:tcBorders>
              <w:top w:val="single" w:sz="4" w:space="0" w:color="auto"/>
              <w:left w:val="single" w:sz="4" w:space="0" w:color="auto"/>
              <w:bottom w:val="single" w:sz="4" w:space="0" w:color="auto"/>
              <w:right w:val="single" w:sz="4" w:space="0" w:color="auto"/>
            </w:tcBorders>
            <w:vAlign w:val="center"/>
          </w:tcPr>
          <w:p w14:paraId="6837B1FE" w14:textId="2E2842E4" w:rsidR="00D43CEF" w:rsidRPr="0043334D" w:rsidRDefault="00BD6E95" w:rsidP="006229E0">
            <w:pPr>
              <w:pStyle w:val="TableText0"/>
              <w:keepLines/>
              <w:jc w:val="center"/>
              <w:rPr>
                <w:iCs/>
                <w:color w:val="000000"/>
                <w:szCs w:val="20"/>
                <w:highlight w:val="darkGray"/>
              </w:rPr>
            </w:pPr>
            <w:r w:rsidRPr="00BD6E95">
              <w:rPr>
                <w:iCs/>
                <w:color w:val="000000"/>
                <w:spacing w:val="53"/>
                <w:szCs w:val="20"/>
                <w:shd w:val="solid" w:color="000000" w:fill="000000"/>
                <w:fitText w:val="330" w:id="-632053232"/>
                <w14:textFill>
                  <w14:solidFill>
                    <w14:srgbClr w14:val="000000">
                      <w14:alpha w14:val="100000"/>
                    </w14:srgbClr>
                  </w14:solidFill>
                </w14:textFill>
              </w:rPr>
              <w:t>|||</w:t>
            </w:r>
            <w:r w:rsidRPr="00BD6E95">
              <w:rPr>
                <w:iCs/>
                <w:color w:val="000000"/>
                <w:spacing w:val="1"/>
                <w:szCs w:val="20"/>
                <w:shd w:val="solid" w:color="000000" w:fill="000000"/>
                <w:fitText w:val="330" w:id="-632053232"/>
                <w14:textFill>
                  <w14:solidFill>
                    <w14:srgbClr w14:val="000000">
                      <w14:alpha w14:val="100000"/>
                    </w14:srgbClr>
                  </w14:solidFill>
                </w14:textFill>
              </w:rPr>
              <w:t>|</w:t>
            </w:r>
            <w:r w:rsidR="00E26D90" w:rsidRPr="00DB0162">
              <w:rPr>
                <w:rFonts w:cs="Times New Roman"/>
                <w:iCs/>
                <w:szCs w:val="20"/>
                <w:vertAlign w:val="superscript"/>
                <w:lang w:eastAsia="en-GB"/>
              </w:rPr>
              <w:t>9</w:t>
            </w:r>
          </w:p>
        </w:tc>
        <w:tc>
          <w:tcPr>
            <w:tcW w:w="581" w:type="pct"/>
            <w:tcBorders>
              <w:top w:val="single" w:sz="4" w:space="0" w:color="auto"/>
              <w:left w:val="single" w:sz="4" w:space="0" w:color="auto"/>
              <w:bottom w:val="single" w:sz="4" w:space="0" w:color="auto"/>
              <w:right w:val="single" w:sz="4" w:space="0" w:color="auto"/>
            </w:tcBorders>
            <w:vAlign w:val="center"/>
          </w:tcPr>
          <w:p w14:paraId="3BB45994" w14:textId="7380141D" w:rsidR="00D43CEF" w:rsidRPr="0043334D" w:rsidRDefault="00BD6E95" w:rsidP="006229E0">
            <w:pPr>
              <w:pStyle w:val="TableText0"/>
              <w:keepLines/>
              <w:jc w:val="center"/>
              <w:rPr>
                <w:iCs/>
                <w:color w:val="000000"/>
                <w:szCs w:val="20"/>
                <w:highlight w:val="darkGray"/>
              </w:rPr>
            </w:pPr>
            <w:r w:rsidRPr="00BD6E95">
              <w:rPr>
                <w:iCs/>
                <w:color w:val="000000"/>
                <w:spacing w:val="51"/>
                <w:szCs w:val="20"/>
                <w:shd w:val="solid" w:color="000000" w:fill="000000"/>
                <w:fitText w:val="324" w:id="-632053248"/>
                <w14:textFill>
                  <w14:solidFill>
                    <w14:srgbClr w14:val="000000">
                      <w14:alpha w14:val="100000"/>
                    </w14:srgbClr>
                  </w14:solidFill>
                </w14:textFill>
              </w:rPr>
              <w:t>|||</w:t>
            </w:r>
            <w:r w:rsidRPr="00BD6E95">
              <w:rPr>
                <w:iCs/>
                <w:color w:val="000000"/>
                <w:spacing w:val="1"/>
                <w:szCs w:val="20"/>
                <w:shd w:val="solid" w:color="000000" w:fill="000000"/>
                <w:fitText w:val="324" w:id="-632053248"/>
                <w14:textFill>
                  <w14:solidFill>
                    <w14:srgbClr w14:val="000000">
                      <w14:alpha w14:val="100000"/>
                    </w14:srgbClr>
                  </w14:solidFill>
                </w14:textFill>
              </w:rPr>
              <w:t>|</w:t>
            </w:r>
            <w:r w:rsidR="0097743B" w:rsidRPr="00DB0162">
              <w:rPr>
                <w:rFonts w:cs="Times New Roman"/>
                <w:iCs/>
                <w:szCs w:val="20"/>
                <w:vertAlign w:val="superscript"/>
                <w:lang w:eastAsia="en-GB"/>
              </w:rPr>
              <w:t>9</w:t>
            </w:r>
          </w:p>
        </w:tc>
        <w:tc>
          <w:tcPr>
            <w:tcW w:w="598" w:type="pct"/>
            <w:tcBorders>
              <w:top w:val="single" w:sz="4" w:space="0" w:color="auto"/>
              <w:left w:val="single" w:sz="4" w:space="0" w:color="auto"/>
              <w:bottom w:val="single" w:sz="4" w:space="0" w:color="auto"/>
              <w:right w:val="single" w:sz="4" w:space="0" w:color="auto"/>
            </w:tcBorders>
            <w:vAlign w:val="center"/>
          </w:tcPr>
          <w:p w14:paraId="10DD69B8" w14:textId="0D6D506A" w:rsidR="00D43CEF" w:rsidRPr="0043334D" w:rsidRDefault="00BD6E95" w:rsidP="006229E0">
            <w:pPr>
              <w:pStyle w:val="TableText0"/>
              <w:keepLines/>
              <w:jc w:val="center"/>
              <w:rPr>
                <w:iCs/>
                <w:highlight w:val="darkGray"/>
              </w:rPr>
            </w:pPr>
            <w:r w:rsidRPr="00BD6E95">
              <w:rPr>
                <w:iCs/>
                <w:color w:val="000000"/>
                <w:spacing w:val="53"/>
                <w:szCs w:val="20"/>
                <w:shd w:val="solid" w:color="000000" w:fill="000000"/>
                <w:fitText w:val="330" w:id="-632053247"/>
                <w14:textFill>
                  <w14:solidFill>
                    <w14:srgbClr w14:val="000000">
                      <w14:alpha w14:val="100000"/>
                    </w14:srgbClr>
                  </w14:solidFill>
                </w14:textFill>
              </w:rPr>
              <w:t>|||</w:t>
            </w:r>
            <w:r w:rsidRPr="00BD6E95">
              <w:rPr>
                <w:iCs/>
                <w:color w:val="000000"/>
                <w:spacing w:val="1"/>
                <w:szCs w:val="20"/>
                <w:shd w:val="solid" w:color="000000" w:fill="000000"/>
                <w:fitText w:val="330" w:id="-632053247"/>
                <w14:textFill>
                  <w14:solidFill>
                    <w14:srgbClr w14:val="000000">
                      <w14:alpha w14:val="100000"/>
                    </w14:srgbClr>
                  </w14:solidFill>
                </w14:textFill>
              </w:rPr>
              <w:t>|</w:t>
            </w:r>
            <w:r w:rsidR="0097743B" w:rsidRPr="00DB0162">
              <w:rPr>
                <w:rFonts w:cs="Times New Roman"/>
                <w:iCs/>
                <w:szCs w:val="20"/>
                <w:vertAlign w:val="superscript"/>
                <w:lang w:eastAsia="en-GB"/>
              </w:rPr>
              <w:t>9</w:t>
            </w:r>
          </w:p>
        </w:tc>
      </w:tr>
      <w:tr w:rsidR="007E6C9D" w:rsidRPr="001534B3" w14:paraId="3C37DCC9" w14:textId="77777777" w:rsidTr="008C7D15">
        <w:trPr>
          <w:trHeight w:val="20"/>
        </w:trPr>
        <w:tc>
          <w:tcPr>
            <w:tcW w:w="905" w:type="pct"/>
            <w:tcBorders>
              <w:top w:val="single" w:sz="4" w:space="0" w:color="auto"/>
              <w:left w:val="single" w:sz="4" w:space="0" w:color="auto"/>
              <w:bottom w:val="single" w:sz="4" w:space="0" w:color="auto"/>
              <w:right w:val="single" w:sz="4" w:space="0" w:color="auto"/>
            </w:tcBorders>
            <w:vAlign w:val="center"/>
          </w:tcPr>
          <w:p w14:paraId="38E16AC2" w14:textId="578117E2" w:rsidR="00BA224D" w:rsidRPr="001534B3" w:rsidRDefault="00BA224D" w:rsidP="006229E0">
            <w:pPr>
              <w:keepNext/>
              <w:keepLines/>
              <w:widowControl w:val="0"/>
              <w:jc w:val="left"/>
              <w:rPr>
                <w:rFonts w:ascii="Arial Narrow" w:hAnsi="Arial Narrow" w:cs="Times New Roman"/>
                <w:iCs/>
                <w:sz w:val="19"/>
                <w:szCs w:val="19"/>
                <w:lang w:eastAsia="en-GB"/>
              </w:rPr>
            </w:pPr>
            <w:r w:rsidRPr="001534B3">
              <w:rPr>
                <w:rFonts w:ascii="Arial Narrow" w:hAnsi="Arial Narrow" w:cs="Times New Roman"/>
                <w:iCs/>
                <w:sz w:val="19"/>
                <w:szCs w:val="19"/>
                <w:lang w:eastAsia="en-GB"/>
              </w:rPr>
              <w:t>Net cost to PBS/RPBS/MBS/HST</w:t>
            </w:r>
          </w:p>
        </w:tc>
        <w:tc>
          <w:tcPr>
            <w:tcW w:w="583" w:type="pct"/>
            <w:tcBorders>
              <w:top w:val="single" w:sz="4" w:space="0" w:color="auto"/>
              <w:left w:val="single" w:sz="4" w:space="0" w:color="auto"/>
              <w:bottom w:val="single" w:sz="4" w:space="0" w:color="auto"/>
              <w:right w:val="single" w:sz="4" w:space="0" w:color="auto"/>
            </w:tcBorders>
            <w:vAlign w:val="center"/>
          </w:tcPr>
          <w:p w14:paraId="3AC96A92" w14:textId="167CB7D9"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zCs w:val="20"/>
                <w:shd w:val="solid" w:color="000000" w:fill="000000"/>
                <w:fitText w:val="330" w:id="-632053246"/>
                <w14:textFill>
                  <w14:solidFill>
                    <w14:srgbClr w14:val="000000">
                      <w14:alpha w14:val="100000"/>
                    </w14:srgbClr>
                  </w14:solidFill>
                </w14:textFill>
              </w:rPr>
              <w:t>|||</w:t>
            </w:r>
            <w:r w:rsidRPr="00BD6E95">
              <w:rPr>
                <w:iCs/>
                <w:color w:val="000000"/>
                <w:spacing w:val="1"/>
                <w:szCs w:val="20"/>
                <w:shd w:val="solid" w:color="000000" w:fill="000000"/>
                <w:fitText w:val="330" w:id="-632053246"/>
                <w14:textFill>
                  <w14:solidFill>
                    <w14:srgbClr w14:val="000000">
                      <w14:alpha w14:val="100000"/>
                    </w14:srgbClr>
                  </w14:solidFill>
                </w14:textFill>
              </w:rPr>
              <w:t>|</w:t>
            </w:r>
            <w:r w:rsidR="00A72329" w:rsidRPr="00A72329">
              <w:rPr>
                <w:iCs/>
                <w:color w:val="000000"/>
                <w:szCs w:val="20"/>
                <w:vertAlign w:val="superscript"/>
              </w:rPr>
              <w:t>14</w:t>
            </w:r>
          </w:p>
        </w:tc>
        <w:tc>
          <w:tcPr>
            <w:tcW w:w="581" w:type="pct"/>
            <w:tcBorders>
              <w:top w:val="single" w:sz="4" w:space="0" w:color="auto"/>
              <w:left w:val="single" w:sz="4" w:space="0" w:color="auto"/>
              <w:bottom w:val="single" w:sz="4" w:space="0" w:color="auto"/>
              <w:right w:val="single" w:sz="4" w:space="0" w:color="auto"/>
            </w:tcBorders>
            <w:vAlign w:val="center"/>
          </w:tcPr>
          <w:p w14:paraId="5C0A3190" w14:textId="69DB9C75" w:rsidR="00BA224D" w:rsidRPr="0043334D" w:rsidRDefault="00BD6E95" w:rsidP="006229E0">
            <w:pPr>
              <w:pStyle w:val="TableText0"/>
              <w:keepLines/>
              <w:jc w:val="center"/>
              <w:rPr>
                <w:rFonts w:cs="Arial"/>
                <w:iCs/>
                <w:color w:val="000000"/>
                <w:szCs w:val="20"/>
                <w:highlight w:val="darkGray"/>
              </w:rPr>
            </w:pPr>
            <w:r w:rsidRPr="00BD6E95">
              <w:rPr>
                <w:iCs/>
                <w:color w:val="000000"/>
                <w:spacing w:val="51"/>
                <w:szCs w:val="20"/>
                <w:shd w:val="solid" w:color="000000" w:fill="000000"/>
                <w:fitText w:val="324" w:id="-632053245"/>
                <w14:textFill>
                  <w14:solidFill>
                    <w14:srgbClr w14:val="000000">
                      <w14:alpha w14:val="100000"/>
                    </w14:srgbClr>
                  </w14:solidFill>
                </w14:textFill>
              </w:rPr>
              <w:t>|||</w:t>
            </w:r>
            <w:r w:rsidRPr="00BD6E95">
              <w:rPr>
                <w:iCs/>
                <w:color w:val="000000"/>
                <w:spacing w:val="1"/>
                <w:szCs w:val="20"/>
                <w:shd w:val="solid" w:color="000000" w:fill="000000"/>
                <w:fitText w:val="324" w:id="-632053245"/>
                <w14:textFill>
                  <w14:solidFill>
                    <w14:srgbClr w14:val="000000">
                      <w14:alpha w14:val="100000"/>
                    </w14:srgbClr>
                  </w14:solidFill>
                </w14:textFill>
              </w:rPr>
              <w:t>|</w:t>
            </w:r>
            <w:r w:rsidR="00D36F8F" w:rsidRPr="00D36F8F">
              <w:rPr>
                <w:iCs/>
                <w:color w:val="000000"/>
                <w:szCs w:val="20"/>
                <w:vertAlign w:val="superscript"/>
              </w:rPr>
              <w:t>15</w:t>
            </w:r>
          </w:p>
        </w:tc>
        <w:tc>
          <w:tcPr>
            <w:tcW w:w="581" w:type="pct"/>
            <w:tcBorders>
              <w:top w:val="single" w:sz="4" w:space="0" w:color="auto"/>
              <w:left w:val="single" w:sz="4" w:space="0" w:color="auto"/>
              <w:bottom w:val="single" w:sz="4" w:space="0" w:color="auto"/>
              <w:right w:val="single" w:sz="4" w:space="0" w:color="auto"/>
            </w:tcBorders>
            <w:vAlign w:val="center"/>
          </w:tcPr>
          <w:p w14:paraId="0E1C48F1" w14:textId="5A9FC6AB" w:rsidR="00BA224D" w:rsidRPr="0043334D" w:rsidRDefault="00BD6E95" w:rsidP="006229E0">
            <w:pPr>
              <w:pStyle w:val="TableText0"/>
              <w:keepLines/>
              <w:jc w:val="center"/>
              <w:rPr>
                <w:rFonts w:cs="Arial"/>
                <w:iCs/>
                <w:color w:val="000000"/>
                <w:szCs w:val="20"/>
                <w:highlight w:val="darkGray"/>
              </w:rPr>
            </w:pPr>
            <w:r w:rsidRPr="00BD6E95">
              <w:rPr>
                <w:iCs/>
                <w:color w:val="000000"/>
                <w:spacing w:val="51"/>
                <w:szCs w:val="20"/>
                <w:shd w:val="solid" w:color="000000" w:fill="000000"/>
                <w:fitText w:val="324" w:id="-632053244"/>
                <w14:textFill>
                  <w14:solidFill>
                    <w14:srgbClr w14:val="000000">
                      <w14:alpha w14:val="100000"/>
                    </w14:srgbClr>
                  </w14:solidFill>
                </w14:textFill>
              </w:rPr>
              <w:t>|||</w:t>
            </w:r>
            <w:r w:rsidRPr="00BD6E95">
              <w:rPr>
                <w:iCs/>
                <w:color w:val="000000"/>
                <w:spacing w:val="1"/>
                <w:szCs w:val="20"/>
                <w:shd w:val="solid" w:color="000000" w:fill="000000"/>
                <w:fitText w:val="324" w:id="-632053244"/>
                <w14:textFill>
                  <w14:solidFill>
                    <w14:srgbClr w14:val="000000">
                      <w14:alpha w14:val="100000"/>
                    </w14:srgbClr>
                  </w14:solidFill>
                </w14:textFill>
              </w:rPr>
              <w:t>|</w:t>
            </w:r>
            <w:r w:rsidR="00282030" w:rsidRPr="00A72329">
              <w:rPr>
                <w:iCs/>
                <w:color w:val="000000"/>
                <w:szCs w:val="20"/>
                <w:vertAlign w:val="superscript"/>
              </w:rPr>
              <w:t>14</w:t>
            </w:r>
          </w:p>
        </w:tc>
        <w:tc>
          <w:tcPr>
            <w:tcW w:w="606" w:type="pct"/>
            <w:tcBorders>
              <w:top w:val="single" w:sz="4" w:space="0" w:color="auto"/>
              <w:left w:val="single" w:sz="4" w:space="0" w:color="auto"/>
              <w:bottom w:val="single" w:sz="4" w:space="0" w:color="auto"/>
              <w:right w:val="single" w:sz="4" w:space="0" w:color="auto"/>
            </w:tcBorders>
            <w:vAlign w:val="center"/>
          </w:tcPr>
          <w:p w14:paraId="6E27010B" w14:textId="1BD80938" w:rsidR="00BA224D" w:rsidRPr="0043334D" w:rsidRDefault="00BD6E95" w:rsidP="006229E0">
            <w:pPr>
              <w:pStyle w:val="TableText0"/>
              <w:keepLines/>
              <w:jc w:val="center"/>
              <w:rPr>
                <w:rFonts w:cs="Arial"/>
                <w:iCs/>
                <w:color w:val="000000"/>
                <w:szCs w:val="20"/>
                <w:highlight w:val="darkGray"/>
              </w:rPr>
            </w:pPr>
            <w:r w:rsidRPr="00BD6E95">
              <w:rPr>
                <w:iCs/>
                <w:color w:val="000000"/>
                <w:spacing w:val="51"/>
                <w:szCs w:val="20"/>
                <w:shd w:val="solid" w:color="000000" w:fill="000000"/>
                <w:fitText w:val="324" w:id="-632053243"/>
                <w14:textFill>
                  <w14:solidFill>
                    <w14:srgbClr w14:val="000000">
                      <w14:alpha w14:val="100000"/>
                    </w14:srgbClr>
                  </w14:solidFill>
                </w14:textFill>
              </w:rPr>
              <w:t>|||</w:t>
            </w:r>
            <w:r w:rsidRPr="00BD6E95">
              <w:rPr>
                <w:iCs/>
                <w:color w:val="000000"/>
                <w:spacing w:val="1"/>
                <w:szCs w:val="20"/>
                <w:shd w:val="solid" w:color="000000" w:fill="000000"/>
                <w:fitText w:val="324" w:id="-632053243"/>
                <w14:textFill>
                  <w14:solidFill>
                    <w14:srgbClr w14:val="000000">
                      <w14:alpha w14:val="100000"/>
                    </w14:srgbClr>
                  </w14:solidFill>
                </w14:textFill>
              </w:rPr>
              <w:t>|</w:t>
            </w:r>
            <w:r w:rsidR="00282030" w:rsidRPr="00A72329">
              <w:rPr>
                <w:iCs/>
                <w:color w:val="000000"/>
                <w:szCs w:val="20"/>
                <w:vertAlign w:val="superscript"/>
              </w:rPr>
              <w:t>14</w:t>
            </w:r>
          </w:p>
        </w:tc>
        <w:tc>
          <w:tcPr>
            <w:tcW w:w="565" w:type="pct"/>
            <w:tcBorders>
              <w:top w:val="single" w:sz="4" w:space="0" w:color="auto"/>
              <w:left w:val="single" w:sz="4" w:space="0" w:color="auto"/>
              <w:bottom w:val="single" w:sz="4" w:space="0" w:color="auto"/>
              <w:right w:val="single" w:sz="4" w:space="0" w:color="auto"/>
            </w:tcBorders>
            <w:vAlign w:val="center"/>
          </w:tcPr>
          <w:p w14:paraId="695FE560" w14:textId="64620F2B" w:rsidR="00BA224D" w:rsidRPr="0043334D" w:rsidRDefault="00BD6E95" w:rsidP="006229E0">
            <w:pPr>
              <w:pStyle w:val="TableText0"/>
              <w:keepLines/>
              <w:jc w:val="center"/>
              <w:rPr>
                <w:rFonts w:cs="Arial"/>
                <w:iCs/>
                <w:color w:val="000000"/>
                <w:szCs w:val="20"/>
                <w:highlight w:val="darkGray"/>
              </w:rPr>
            </w:pPr>
            <w:r w:rsidRPr="00BD6E95">
              <w:rPr>
                <w:iCs/>
                <w:color w:val="000000"/>
                <w:spacing w:val="53"/>
                <w:szCs w:val="20"/>
                <w:shd w:val="solid" w:color="000000" w:fill="000000"/>
                <w:fitText w:val="330" w:id="-632053242"/>
                <w14:textFill>
                  <w14:solidFill>
                    <w14:srgbClr w14:val="000000">
                      <w14:alpha w14:val="100000"/>
                    </w14:srgbClr>
                  </w14:solidFill>
                </w14:textFill>
              </w:rPr>
              <w:t>|||</w:t>
            </w:r>
            <w:r w:rsidRPr="00BD6E95">
              <w:rPr>
                <w:iCs/>
                <w:color w:val="000000"/>
                <w:spacing w:val="1"/>
                <w:szCs w:val="20"/>
                <w:shd w:val="solid" w:color="000000" w:fill="000000"/>
                <w:fitText w:val="330" w:id="-632053242"/>
                <w14:textFill>
                  <w14:solidFill>
                    <w14:srgbClr w14:val="000000">
                      <w14:alpha w14:val="100000"/>
                    </w14:srgbClr>
                  </w14:solidFill>
                </w14:textFill>
              </w:rPr>
              <w:t>|</w:t>
            </w:r>
            <w:r w:rsidR="00282030" w:rsidRPr="00A72329">
              <w:rPr>
                <w:iCs/>
                <w:color w:val="000000"/>
                <w:szCs w:val="20"/>
                <w:vertAlign w:val="superscript"/>
              </w:rPr>
              <w:t>14</w:t>
            </w:r>
          </w:p>
        </w:tc>
        <w:tc>
          <w:tcPr>
            <w:tcW w:w="581" w:type="pct"/>
            <w:tcBorders>
              <w:top w:val="single" w:sz="4" w:space="0" w:color="auto"/>
              <w:left w:val="single" w:sz="4" w:space="0" w:color="auto"/>
              <w:bottom w:val="single" w:sz="4" w:space="0" w:color="auto"/>
              <w:right w:val="single" w:sz="4" w:space="0" w:color="auto"/>
            </w:tcBorders>
            <w:vAlign w:val="center"/>
          </w:tcPr>
          <w:p w14:paraId="1EEF80C0" w14:textId="62FD0A58" w:rsidR="00BA224D" w:rsidRPr="0043334D" w:rsidRDefault="00BD6E95" w:rsidP="006229E0">
            <w:pPr>
              <w:pStyle w:val="TableText0"/>
              <w:keepLines/>
              <w:jc w:val="center"/>
              <w:rPr>
                <w:rFonts w:cs="Arial"/>
                <w:iCs/>
                <w:color w:val="000000"/>
                <w:szCs w:val="20"/>
                <w:highlight w:val="darkGray"/>
              </w:rPr>
            </w:pPr>
            <w:r w:rsidRPr="00BD6E95">
              <w:rPr>
                <w:iCs/>
                <w:color w:val="000000"/>
                <w:spacing w:val="51"/>
                <w:szCs w:val="20"/>
                <w:shd w:val="solid" w:color="000000" w:fill="000000"/>
                <w:fitText w:val="324" w:id="-632053241"/>
                <w14:textFill>
                  <w14:solidFill>
                    <w14:srgbClr w14:val="000000">
                      <w14:alpha w14:val="100000"/>
                    </w14:srgbClr>
                  </w14:solidFill>
                </w14:textFill>
              </w:rPr>
              <w:t>|||</w:t>
            </w:r>
            <w:r w:rsidRPr="00BD6E95">
              <w:rPr>
                <w:iCs/>
                <w:color w:val="000000"/>
                <w:spacing w:val="1"/>
                <w:szCs w:val="20"/>
                <w:shd w:val="solid" w:color="000000" w:fill="000000"/>
                <w:fitText w:val="324" w:id="-632053241"/>
                <w14:textFill>
                  <w14:solidFill>
                    <w14:srgbClr w14:val="000000">
                      <w14:alpha w14:val="100000"/>
                    </w14:srgbClr>
                  </w14:solidFill>
                </w14:textFill>
              </w:rPr>
              <w:t>|</w:t>
            </w:r>
            <w:r w:rsidR="006A46BF" w:rsidRPr="00A72329">
              <w:rPr>
                <w:iCs/>
                <w:color w:val="000000"/>
                <w:szCs w:val="20"/>
                <w:vertAlign w:val="superscript"/>
              </w:rPr>
              <w:t>14</w:t>
            </w:r>
          </w:p>
        </w:tc>
        <w:tc>
          <w:tcPr>
            <w:tcW w:w="598" w:type="pct"/>
            <w:tcBorders>
              <w:top w:val="single" w:sz="4" w:space="0" w:color="auto"/>
              <w:left w:val="single" w:sz="4" w:space="0" w:color="auto"/>
              <w:bottom w:val="single" w:sz="4" w:space="0" w:color="auto"/>
              <w:right w:val="single" w:sz="4" w:space="0" w:color="auto"/>
            </w:tcBorders>
            <w:vAlign w:val="center"/>
          </w:tcPr>
          <w:p w14:paraId="652AF64D" w14:textId="38CE553E" w:rsidR="00BA224D" w:rsidRPr="0043334D" w:rsidRDefault="00BD6E95" w:rsidP="006229E0">
            <w:pPr>
              <w:pStyle w:val="TableText0"/>
              <w:keepLines/>
              <w:jc w:val="center"/>
              <w:rPr>
                <w:rFonts w:cs="Arial"/>
                <w:iCs/>
                <w:color w:val="000000"/>
                <w:szCs w:val="20"/>
                <w:highlight w:val="darkGray"/>
              </w:rPr>
            </w:pPr>
            <w:r>
              <w:rPr>
                <w:iCs/>
                <w:color w:val="000000"/>
                <w:spacing w:val="52"/>
                <w:shd w:val="solid" w:color="000000" w:fill="000000"/>
                <w:fitText w:val="330" w:id="-632053240"/>
                <w14:textFill>
                  <w14:solidFill>
                    <w14:srgbClr w14:val="000000">
                      <w14:alpha w14:val="100000"/>
                    </w14:srgbClr>
                  </w14:solidFill>
                </w14:textFill>
              </w:rPr>
              <w:t>|||</w:t>
            </w:r>
            <w:r>
              <w:rPr>
                <w:iCs/>
                <w:color w:val="000000"/>
                <w:spacing w:val="2"/>
                <w:shd w:val="solid" w:color="000000" w:fill="000000"/>
                <w:fitText w:val="330" w:id="-632053240"/>
                <w14:textFill>
                  <w14:solidFill>
                    <w14:srgbClr w14:val="000000">
                      <w14:alpha w14:val="100000"/>
                    </w14:srgbClr>
                  </w14:solidFill>
                </w14:textFill>
              </w:rPr>
              <w:t>|</w:t>
            </w:r>
            <w:r w:rsidR="00F77CB3" w:rsidRPr="00F77CB3">
              <w:rPr>
                <w:iCs/>
                <w:vertAlign w:val="superscript"/>
              </w:rPr>
              <w:t>16</w:t>
            </w:r>
          </w:p>
        </w:tc>
      </w:tr>
    </w:tbl>
    <w:p w14:paraId="43823640" w14:textId="77777777" w:rsidR="002314F2" w:rsidRPr="001534B3" w:rsidRDefault="002314F2" w:rsidP="006229E0">
      <w:pPr>
        <w:pStyle w:val="TableFigureFooter"/>
        <w:keepNext/>
        <w:keepLines/>
        <w:rPr>
          <w:iCs/>
          <w:szCs w:val="16"/>
        </w:rPr>
      </w:pPr>
      <w:r w:rsidRPr="001534B3">
        <w:rPr>
          <w:iCs/>
          <w:szCs w:val="16"/>
        </w:rPr>
        <w:t>Source: Compiled during the evaluation based on pp153-171 of the submission.</w:t>
      </w:r>
    </w:p>
    <w:p w14:paraId="75681B13" w14:textId="31712C74" w:rsidR="002314F2" w:rsidRPr="001534B3" w:rsidRDefault="002314F2" w:rsidP="006229E0">
      <w:pPr>
        <w:pStyle w:val="TableFigureFooter"/>
        <w:keepNext/>
        <w:keepLines/>
        <w:widowControl w:val="0"/>
        <w:rPr>
          <w:iCs/>
        </w:rPr>
      </w:pPr>
      <w:r w:rsidRPr="001534B3">
        <w:rPr>
          <w:iCs/>
        </w:rPr>
        <w:t xml:space="preserve">2L=second line; 3L=third line; CAR-T=Chimeric antigen receptor T-cell; DLBCL=Diffuse large B-cell lymphoma; </w:t>
      </w:r>
      <w:proofErr w:type="spellStart"/>
      <w:r w:rsidRPr="001534B3">
        <w:rPr>
          <w:iCs/>
        </w:rPr>
        <w:t>GemOx</w:t>
      </w:r>
      <w:proofErr w:type="spellEnd"/>
      <w:r w:rsidRPr="001534B3">
        <w:rPr>
          <w:iCs/>
        </w:rPr>
        <w:t xml:space="preserve">=gemcitabine + oxaliplatin; </w:t>
      </w:r>
      <w:r w:rsidR="00701362" w:rsidRPr="001534B3">
        <w:rPr>
          <w:iCs/>
        </w:rPr>
        <w:t xml:space="preserve">GF=grandfathered patients, </w:t>
      </w:r>
      <w:proofErr w:type="spellStart"/>
      <w:r w:rsidRPr="001534B3">
        <w:rPr>
          <w:iCs/>
        </w:rPr>
        <w:t>Glofit</w:t>
      </w:r>
      <w:proofErr w:type="spellEnd"/>
      <w:r w:rsidRPr="001534B3">
        <w:rPr>
          <w:iCs/>
        </w:rPr>
        <w:t>=glofitamab; HST= highly specialised therapies; MBS=Medicare Benefits Schedule; med=medicine; NHRA= National Health Reform Agreement; PBS=Pharmaceutical Benefits Scheme; R/R=Relapse/Refractory; SPA=special pricing arrangement.</w:t>
      </w:r>
    </w:p>
    <w:p w14:paraId="6F20E3C2" w14:textId="77777777" w:rsidR="00940C0E" w:rsidRDefault="002314F2" w:rsidP="00940C0E">
      <w:pPr>
        <w:pStyle w:val="TableFigureFooter"/>
        <w:keepNext/>
        <w:keepLines/>
        <w:ind w:left="165" w:hanging="165"/>
        <w:rPr>
          <w:bCs/>
          <w:sz w:val="20"/>
          <w:szCs w:val="18"/>
        </w:rPr>
      </w:pPr>
      <w:r w:rsidRPr="001534B3">
        <w:rPr>
          <w:iCs/>
          <w:szCs w:val="16"/>
          <w:vertAlign w:val="superscript"/>
        </w:rPr>
        <w:t>a</w:t>
      </w:r>
      <w:r w:rsidR="00701362" w:rsidRPr="001534B3">
        <w:rPr>
          <w:iCs/>
          <w:szCs w:val="16"/>
          <w:vertAlign w:val="superscript"/>
        </w:rPr>
        <w:tab/>
      </w:r>
      <w:r w:rsidRPr="001534B3">
        <w:rPr>
          <w:iCs/>
          <w:szCs w:val="16"/>
        </w:rPr>
        <w:t xml:space="preserve">Glofitamab in combination with </w:t>
      </w:r>
      <w:proofErr w:type="spellStart"/>
      <w:r w:rsidRPr="001534B3">
        <w:rPr>
          <w:iCs/>
          <w:szCs w:val="16"/>
        </w:rPr>
        <w:t>GemOx</w:t>
      </w:r>
      <w:proofErr w:type="spellEnd"/>
      <w:r w:rsidRPr="001534B3">
        <w:rPr>
          <w:iCs/>
          <w:szCs w:val="16"/>
        </w:rPr>
        <w:t xml:space="preserve"> was assumed to be listed on the PBS/RPBS with an ‘Authority Required – Telephone/Online’ restriction. The same restriction applied to obinutuzumab and epcoritamab, while no restriction was assumed for rituximab.</w:t>
      </w:r>
      <w:r w:rsidR="00940C0E" w:rsidRPr="00940C0E">
        <w:rPr>
          <w:bCs/>
          <w:sz w:val="20"/>
          <w:szCs w:val="18"/>
        </w:rPr>
        <w:t xml:space="preserve"> </w:t>
      </w:r>
    </w:p>
    <w:p w14:paraId="5DFDDAA8" w14:textId="24C68674" w:rsidR="00940C0E" w:rsidRPr="00843E3F" w:rsidRDefault="00940C0E" w:rsidP="00940C0E">
      <w:pPr>
        <w:pStyle w:val="TableFigureFooter"/>
        <w:keepNext/>
        <w:keepLines/>
        <w:ind w:left="165" w:hanging="165"/>
        <w:rPr>
          <w:bCs/>
          <w:i/>
          <w:szCs w:val="16"/>
        </w:rPr>
      </w:pPr>
      <w:r w:rsidRPr="00843E3F">
        <w:rPr>
          <w:bCs/>
          <w:i/>
          <w:szCs w:val="16"/>
        </w:rPr>
        <w:t>The redacted values correspond to the following ranges:</w:t>
      </w:r>
    </w:p>
    <w:p w14:paraId="6EBA44EE" w14:textId="7510F399" w:rsidR="00940C0E" w:rsidRPr="00843E3F" w:rsidRDefault="00940C0E" w:rsidP="00940C0E">
      <w:pPr>
        <w:pStyle w:val="TableFigureFooter"/>
        <w:keepNext/>
        <w:keepLines/>
        <w:ind w:left="165" w:hanging="165"/>
        <w:rPr>
          <w:i/>
          <w:szCs w:val="16"/>
        </w:rPr>
      </w:pPr>
      <w:r w:rsidRPr="00843E3F">
        <w:rPr>
          <w:i/>
          <w:szCs w:val="16"/>
          <w:vertAlign w:val="superscript"/>
        </w:rPr>
        <w:t>1</w:t>
      </w:r>
      <w:r w:rsidRPr="00843E3F">
        <w:rPr>
          <w:i/>
          <w:szCs w:val="16"/>
        </w:rPr>
        <w:t xml:space="preserve"> </w:t>
      </w:r>
      <w:r w:rsidR="00E90DD2" w:rsidRPr="00843E3F">
        <w:rPr>
          <w:i/>
          <w:szCs w:val="16"/>
        </w:rPr>
        <w:t xml:space="preserve">500 to &lt; 5,000 </w:t>
      </w:r>
    </w:p>
    <w:p w14:paraId="58E18BED" w14:textId="77777777" w:rsidR="004052B8" w:rsidRPr="00843E3F" w:rsidRDefault="00940C0E" w:rsidP="00940C0E">
      <w:pPr>
        <w:pStyle w:val="TableFigureFooter"/>
        <w:keepNext/>
        <w:keepLines/>
        <w:ind w:left="165" w:hanging="165"/>
        <w:rPr>
          <w:i/>
          <w:szCs w:val="16"/>
        </w:rPr>
      </w:pPr>
      <w:r w:rsidRPr="00843E3F">
        <w:rPr>
          <w:i/>
          <w:szCs w:val="16"/>
          <w:vertAlign w:val="superscript"/>
        </w:rPr>
        <w:t>2</w:t>
      </w:r>
      <w:r w:rsidRPr="00843E3F">
        <w:rPr>
          <w:i/>
          <w:szCs w:val="16"/>
        </w:rPr>
        <w:t xml:space="preserve"> &lt; 500</w:t>
      </w:r>
      <w:r w:rsidR="004052B8" w:rsidRPr="00843E3F">
        <w:rPr>
          <w:i/>
          <w:szCs w:val="16"/>
        </w:rPr>
        <w:t xml:space="preserve"> </w:t>
      </w:r>
    </w:p>
    <w:p w14:paraId="642718A6" w14:textId="77777777" w:rsidR="003D1738" w:rsidRPr="00843E3F" w:rsidRDefault="004052B8" w:rsidP="00940C0E">
      <w:pPr>
        <w:pStyle w:val="TableFigureFooter"/>
        <w:keepNext/>
        <w:keepLines/>
        <w:ind w:left="165" w:hanging="165"/>
        <w:rPr>
          <w:i/>
          <w:szCs w:val="16"/>
        </w:rPr>
      </w:pPr>
      <w:r w:rsidRPr="00843E3F">
        <w:rPr>
          <w:i/>
          <w:szCs w:val="16"/>
          <w:vertAlign w:val="superscript"/>
        </w:rPr>
        <w:t>3</w:t>
      </w:r>
      <w:r w:rsidRPr="00843E3F">
        <w:rPr>
          <w:i/>
          <w:szCs w:val="16"/>
        </w:rPr>
        <w:t xml:space="preserve"> 5,000 to &lt; 10,000</w:t>
      </w:r>
      <w:r w:rsidR="003D1738" w:rsidRPr="00843E3F">
        <w:rPr>
          <w:i/>
          <w:szCs w:val="16"/>
        </w:rPr>
        <w:t xml:space="preserve"> </w:t>
      </w:r>
    </w:p>
    <w:p w14:paraId="71CFC672" w14:textId="77777777" w:rsidR="008F356A" w:rsidRPr="00843E3F" w:rsidRDefault="003D1738" w:rsidP="00940C0E">
      <w:pPr>
        <w:pStyle w:val="TableFigureFooter"/>
        <w:keepNext/>
        <w:keepLines/>
        <w:ind w:left="165" w:hanging="165"/>
        <w:rPr>
          <w:i/>
          <w:szCs w:val="16"/>
        </w:rPr>
      </w:pPr>
      <w:r w:rsidRPr="00843E3F">
        <w:rPr>
          <w:i/>
          <w:szCs w:val="16"/>
          <w:vertAlign w:val="superscript"/>
        </w:rPr>
        <w:t>4</w:t>
      </w:r>
      <w:r w:rsidRPr="00843E3F">
        <w:rPr>
          <w:i/>
          <w:szCs w:val="16"/>
        </w:rPr>
        <w:t xml:space="preserve"> 40,000 to &lt; 50,000</w:t>
      </w:r>
      <w:r w:rsidR="008F356A" w:rsidRPr="00843E3F">
        <w:rPr>
          <w:i/>
          <w:szCs w:val="16"/>
        </w:rPr>
        <w:t xml:space="preserve"> </w:t>
      </w:r>
    </w:p>
    <w:p w14:paraId="48778B80" w14:textId="77777777" w:rsidR="00317203" w:rsidRPr="00843E3F" w:rsidRDefault="008F356A" w:rsidP="00940C0E">
      <w:pPr>
        <w:pStyle w:val="TableFigureFooter"/>
        <w:keepNext/>
        <w:keepLines/>
        <w:ind w:left="165" w:hanging="165"/>
        <w:rPr>
          <w:i/>
          <w:szCs w:val="16"/>
        </w:rPr>
      </w:pPr>
      <w:r w:rsidRPr="00843E3F">
        <w:rPr>
          <w:i/>
          <w:szCs w:val="16"/>
          <w:vertAlign w:val="superscript"/>
        </w:rPr>
        <w:t>5</w:t>
      </w:r>
      <w:r w:rsidRPr="00843E3F">
        <w:rPr>
          <w:i/>
          <w:szCs w:val="16"/>
        </w:rPr>
        <w:t xml:space="preserve"> $70 million to &lt; $80 million</w:t>
      </w:r>
      <w:r w:rsidR="00317203" w:rsidRPr="00843E3F">
        <w:rPr>
          <w:i/>
          <w:szCs w:val="16"/>
        </w:rPr>
        <w:t xml:space="preserve"> </w:t>
      </w:r>
    </w:p>
    <w:p w14:paraId="627B7F25" w14:textId="77777777" w:rsidR="007E5566" w:rsidRPr="00843E3F" w:rsidRDefault="00317203" w:rsidP="00940C0E">
      <w:pPr>
        <w:pStyle w:val="TableFigureFooter"/>
        <w:keepNext/>
        <w:keepLines/>
        <w:ind w:left="165" w:hanging="165"/>
        <w:rPr>
          <w:i/>
          <w:szCs w:val="16"/>
        </w:rPr>
      </w:pPr>
      <w:r w:rsidRPr="00843E3F">
        <w:rPr>
          <w:i/>
          <w:szCs w:val="16"/>
          <w:vertAlign w:val="superscript"/>
        </w:rPr>
        <w:t>6</w:t>
      </w:r>
      <w:r w:rsidRPr="00843E3F">
        <w:rPr>
          <w:i/>
          <w:szCs w:val="16"/>
        </w:rPr>
        <w:t xml:space="preserve"> $80 million to &lt; $90 million</w:t>
      </w:r>
      <w:r w:rsidR="007E5566" w:rsidRPr="00843E3F">
        <w:rPr>
          <w:i/>
          <w:szCs w:val="16"/>
        </w:rPr>
        <w:t xml:space="preserve"> </w:t>
      </w:r>
    </w:p>
    <w:p w14:paraId="7053C794" w14:textId="77777777" w:rsidR="000F1440" w:rsidRPr="00843E3F" w:rsidRDefault="007E5566" w:rsidP="00940C0E">
      <w:pPr>
        <w:pStyle w:val="TableFigureFooter"/>
        <w:keepNext/>
        <w:keepLines/>
        <w:ind w:left="165" w:hanging="165"/>
        <w:rPr>
          <w:i/>
          <w:szCs w:val="16"/>
        </w:rPr>
      </w:pPr>
      <w:r w:rsidRPr="00843E3F">
        <w:rPr>
          <w:i/>
          <w:szCs w:val="16"/>
          <w:vertAlign w:val="superscript"/>
        </w:rPr>
        <w:t>7</w:t>
      </w:r>
      <w:r w:rsidRPr="00843E3F">
        <w:rPr>
          <w:i/>
          <w:szCs w:val="16"/>
        </w:rPr>
        <w:t xml:space="preserve"> $400 million to &lt; $500 million</w:t>
      </w:r>
      <w:r w:rsidR="000F1440" w:rsidRPr="00843E3F">
        <w:rPr>
          <w:i/>
          <w:szCs w:val="16"/>
        </w:rPr>
        <w:t xml:space="preserve"> </w:t>
      </w:r>
    </w:p>
    <w:p w14:paraId="43A6BA98" w14:textId="77777777" w:rsidR="00D2489F" w:rsidRPr="00843E3F" w:rsidRDefault="000F1440" w:rsidP="00940C0E">
      <w:pPr>
        <w:pStyle w:val="TableFigureFooter"/>
        <w:keepNext/>
        <w:keepLines/>
        <w:ind w:left="165" w:hanging="165"/>
        <w:rPr>
          <w:i/>
          <w:szCs w:val="16"/>
        </w:rPr>
      </w:pPr>
      <w:r w:rsidRPr="00843E3F">
        <w:rPr>
          <w:i/>
          <w:szCs w:val="16"/>
          <w:vertAlign w:val="superscript"/>
        </w:rPr>
        <w:t>8</w:t>
      </w:r>
      <w:r w:rsidRPr="00843E3F">
        <w:rPr>
          <w:i/>
          <w:szCs w:val="16"/>
        </w:rPr>
        <w:t xml:space="preserve"> $0 to &lt; $10 million</w:t>
      </w:r>
      <w:r w:rsidR="00D2489F" w:rsidRPr="00843E3F">
        <w:rPr>
          <w:i/>
          <w:szCs w:val="16"/>
        </w:rPr>
        <w:t xml:space="preserve"> </w:t>
      </w:r>
    </w:p>
    <w:p w14:paraId="7AF35FDC" w14:textId="2F822630" w:rsidR="00940C0E" w:rsidRPr="00843E3F" w:rsidRDefault="00D2489F" w:rsidP="00940C0E">
      <w:pPr>
        <w:pStyle w:val="TableFigureFooter"/>
        <w:keepNext/>
        <w:keepLines/>
        <w:ind w:left="165" w:hanging="165"/>
        <w:rPr>
          <w:i/>
          <w:szCs w:val="16"/>
        </w:rPr>
      </w:pPr>
      <w:r w:rsidRPr="00843E3F">
        <w:rPr>
          <w:i/>
          <w:szCs w:val="16"/>
          <w:vertAlign w:val="superscript"/>
        </w:rPr>
        <w:t>9</w:t>
      </w:r>
      <w:r w:rsidRPr="00843E3F">
        <w:rPr>
          <w:i/>
          <w:szCs w:val="16"/>
        </w:rPr>
        <w:t xml:space="preserve"> net cost saving</w:t>
      </w:r>
      <w:r w:rsidR="0091708E" w:rsidRPr="00843E3F">
        <w:rPr>
          <w:i/>
          <w:szCs w:val="16"/>
        </w:rPr>
        <w:t xml:space="preserve">  </w:t>
      </w:r>
    </w:p>
    <w:p w14:paraId="35E3A256" w14:textId="23179984" w:rsidR="002314F2" w:rsidRPr="00843E3F" w:rsidRDefault="0091708E" w:rsidP="006229E0">
      <w:pPr>
        <w:pStyle w:val="TableFigureFooter"/>
        <w:keepNext/>
        <w:keepLines/>
        <w:ind w:left="165" w:hanging="165"/>
        <w:rPr>
          <w:i/>
          <w:szCs w:val="16"/>
        </w:rPr>
      </w:pPr>
      <w:r w:rsidRPr="00843E3F">
        <w:rPr>
          <w:i/>
          <w:szCs w:val="16"/>
          <w:vertAlign w:val="superscript"/>
        </w:rPr>
        <w:t>10</w:t>
      </w:r>
      <w:r w:rsidRPr="00843E3F">
        <w:rPr>
          <w:i/>
          <w:szCs w:val="16"/>
        </w:rPr>
        <w:t xml:space="preserve"> $10 million to &lt; $20 million</w:t>
      </w:r>
    </w:p>
    <w:p w14:paraId="5C9B7CE9" w14:textId="0E65D74A" w:rsidR="00816A51" w:rsidRPr="00843E3F" w:rsidRDefault="00CC3928" w:rsidP="006229E0">
      <w:pPr>
        <w:pStyle w:val="TableFigureFooter"/>
        <w:keepNext/>
        <w:keepLines/>
        <w:ind w:left="165" w:hanging="165"/>
        <w:rPr>
          <w:i/>
          <w:szCs w:val="16"/>
        </w:rPr>
      </w:pPr>
      <w:r w:rsidRPr="00843E3F">
        <w:rPr>
          <w:i/>
          <w:szCs w:val="16"/>
          <w:vertAlign w:val="superscript"/>
        </w:rPr>
        <w:t>11</w:t>
      </w:r>
      <w:r w:rsidR="00FF08A5" w:rsidRPr="00843E3F">
        <w:rPr>
          <w:i/>
          <w:szCs w:val="16"/>
          <w:vertAlign w:val="superscript"/>
        </w:rPr>
        <w:t xml:space="preserve"> </w:t>
      </w:r>
      <w:r w:rsidRPr="00843E3F">
        <w:rPr>
          <w:i/>
          <w:szCs w:val="16"/>
        </w:rPr>
        <w:t xml:space="preserve">$40 million to &lt; $50 million </w:t>
      </w:r>
    </w:p>
    <w:p w14:paraId="5AAF3950" w14:textId="287BC640" w:rsidR="00926347" w:rsidRPr="00843E3F" w:rsidRDefault="00816A51" w:rsidP="006229E0">
      <w:pPr>
        <w:pStyle w:val="TableFigureFooter"/>
        <w:keepNext/>
        <w:keepLines/>
        <w:ind w:left="165" w:hanging="165"/>
        <w:rPr>
          <w:i/>
          <w:szCs w:val="16"/>
        </w:rPr>
      </w:pPr>
      <w:r w:rsidRPr="00843E3F">
        <w:rPr>
          <w:i/>
          <w:szCs w:val="16"/>
          <w:vertAlign w:val="superscript"/>
        </w:rPr>
        <w:t>12</w:t>
      </w:r>
      <w:r w:rsidRPr="00843E3F">
        <w:rPr>
          <w:i/>
          <w:szCs w:val="16"/>
        </w:rPr>
        <w:t xml:space="preserve"> $50 million to &lt; $60 million</w:t>
      </w:r>
    </w:p>
    <w:p w14:paraId="2C6EF8EE" w14:textId="509BFBAC" w:rsidR="004E38BD" w:rsidRPr="00843E3F" w:rsidRDefault="004E38BD" w:rsidP="006229E0">
      <w:pPr>
        <w:pStyle w:val="TableFigureFooter"/>
        <w:keepNext/>
        <w:keepLines/>
        <w:ind w:left="165" w:hanging="165"/>
        <w:rPr>
          <w:i/>
          <w:szCs w:val="16"/>
        </w:rPr>
      </w:pPr>
      <w:r w:rsidRPr="00843E3F">
        <w:rPr>
          <w:i/>
          <w:szCs w:val="16"/>
          <w:vertAlign w:val="superscript"/>
        </w:rPr>
        <w:t>13</w:t>
      </w:r>
      <w:r w:rsidRPr="00843E3F">
        <w:rPr>
          <w:i/>
          <w:szCs w:val="16"/>
        </w:rPr>
        <w:t xml:space="preserve"> $200 million to &lt; $300 million</w:t>
      </w:r>
    </w:p>
    <w:p w14:paraId="3E21669C" w14:textId="4BC40815" w:rsidR="00282030" w:rsidRPr="00843E3F" w:rsidRDefault="00282030" w:rsidP="006229E0">
      <w:pPr>
        <w:pStyle w:val="TableFigureFooter"/>
        <w:keepNext/>
        <w:keepLines/>
        <w:ind w:left="165" w:hanging="165"/>
        <w:rPr>
          <w:i/>
          <w:szCs w:val="16"/>
        </w:rPr>
      </w:pPr>
      <w:r w:rsidRPr="00843E3F">
        <w:rPr>
          <w:i/>
          <w:szCs w:val="16"/>
          <w:vertAlign w:val="superscript"/>
        </w:rPr>
        <w:t>14</w:t>
      </w:r>
      <w:r w:rsidRPr="00843E3F">
        <w:rPr>
          <w:i/>
          <w:szCs w:val="16"/>
        </w:rPr>
        <w:t xml:space="preserve"> $30 million to &lt; $40 million</w:t>
      </w:r>
    </w:p>
    <w:p w14:paraId="7F575067" w14:textId="7F3B498B" w:rsidR="00B76D43" w:rsidRPr="00843E3F" w:rsidRDefault="00B76D43" w:rsidP="006229E0">
      <w:pPr>
        <w:pStyle w:val="TableFigureFooter"/>
        <w:keepNext/>
        <w:keepLines/>
        <w:ind w:left="165" w:hanging="165"/>
        <w:rPr>
          <w:i/>
          <w:szCs w:val="16"/>
        </w:rPr>
      </w:pPr>
      <w:r w:rsidRPr="00843E3F">
        <w:rPr>
          <w:i/>
          <w:szCs w:val="16"/>
          <w:vertAlign w:val="superscript"/>
        </w:rPr>
        <w:t>15</w:t>
      </w:r>
      <w:r w:rsidRPr="00843E3F">
        <w:rPr>
          <w:i/>
          <w:szCs w:val="16"/>
        </w:rPr>
        <w:t xml:space="preserve"> $20 million to &lt; $30 million</w:t>
      </w:r>
    </w:p>
    <w:p w14:paraId="678E4C35" w14:textId="7F48CD62" w:rsidR="00CA2AD3" w:rsidRPr="00843E3F" w:rsidRDefault="00CA2AD3" w:rsidP="006229E0">
      <w:pPr>
        <w:pStyle w:val="TableFigureFooter"/>
        <w:keepNext/>
        <w:keepLines/>
        <w:ind w:left="165" w:hanging="165"/>
        <w:rPr>
          <w:i/>
          <w:szCs w:val="16"/>
        </w:rPr>
      </w:pPr>
      <w:r w:rsidRPr="00843E3F">
        <w:rPr>
          <w:i/>
          <w:szCs w:val="16"/>
          <w:vertAlign w:val="superscript"/>
        </w:rPr>
        <w:t>16</w:t>
      </w:r>
      <w:r w:rsidRPr="00843E3F">
        <w:rPr>
          <w:i/>
          <w:szCs w:val="16"/>
        </w:rPr>
        <w:t xml:space="preserve"> $100 million to &lt; $200 million</w:t>
      </w:r>
    </w:p>
    <w:p w14:paraId="06FCE46A" w14:textId="366C52B9" w:rsidR="00BA224D" w:rsidRPr="001534B3" w:rsidRDefault="00BA224D" w:rsidP="00154042">
      <w:pPr>
        <w:numPr>
          <w:ilvl w:val="1"/>
          <w:numId w:val="1"/>
        </w:numPr>
        <w:spacing w:before="60" w:after="60"/>
        <w:rPr>
          <w:rFonts w:asciiTheme="minorHAnsi" w:hAnsiTheme="minorHAnsi"/>
          <w:iCs/>
          <w:snapToGrid w:val="0"/>
        </w:rPr>
      </w:pPr>
      <w:r w:rsidRPr="001534B3">
        <w:rPr>
          <w:rFonts w:asciiTheme="minorHAnsi" w:hAnsiTheme="minorHAnsi"/>
          <w:iCs/>
          <w:snapToGrid w:val="0"/>
        </w:rPr>
        <w:t xml:space="preserve">The net cost to the PBS/RPBS was </w:t>
      </w:r>
      <w:r w:rsidR="00EB561D" w:rsidRPr="00EB561D">
        <w:rPr>
          <w:rFonts w:asciiTheme="minorHAnsi" w:hAnsiTheme="minorHAnsi"/>
          <w:iCs/>
          <w:snapToGrid w:val="0"/>
        </w:rPr>
        <w:t>$40 million to &lt; $50 million</w:t>
      </w:r>
      <w:r w:rsidR="00FF08A5">
        <w:rPr>
          <w:rFonts w:asciiTheme="minorHAnsi" w:hAnsiTheme="minorHAnsi"/>
          <w:iCs/>
          <w:snapToGrid w:val="0"/>
        </w:rPr>
        <w:t xml:space="preserve"> </w:t>
      </w:r>
      <w:r w:rsidRPr="001534B3">
        <w:rPr>
          <w:rFonts w:asciiTheme="minorHAnsi" w:hAnsiTheme="minorHAnsi"/>
          <w:iCs/>
          <w:snapToGrid w:val="0"/>
        </w:rPr>
        <w:t xml:space="preserve">in Year 1 increasing to </w:t>
      </w:r>
      <w:r w:rsidR="008B2075" w:rsidRPr="008B2075">
        <w:rPr>
          <w:rFonts w:asciiTheme="minorHAnsi" w:hAnsiTheme="minorHAnsi"/>
          <w:iCs/>
          <w:snapToGrid w:val="0"/>
        </w:rPr>
        <w:t>$50 million to &lt; $60 million</w:t>
      </w:r>
      <w:r w:rsidR="00FF08A5">
        <w:rPr>
          <w:rFonts w:asciiTheme="minorHAnsi" w:hAnsiTheme="minorHAnsi"/>
          <w:iCs/>
          <w:snapToGrid w:val="0"/>
        </w:rPr>
        <w:t xml:space="preserve"> </w:t>
      </w:r>
      <w:r w:rsidRPr="001534B3">
        <w:rPr>
          <w:rFonts w:asciiTheme="minorHAnsi" w:hAnsiTheme="minorHAnsi"/>
          <w:iCs/>
          <w:snapToGrid w:val="0"/>
        </w:rPr>
        <w:t xml:space="preserve">in Year 6, a total of </w:t>
      </w:r>
      <w:r w:rsidR="00B504AC" w:rsidRPr="00B504AC">
        <w:rPr>
          <w:rFonts w:asciiTheme="minorHAnsi" w:hAnsiTheme="minorHAnsi"/>
          <w:iCs/>
          <w:snapToGrid w:val="0"/>
        </w:rPr>
        <w:t>$200 million to &lt; $300 million</w:t>
      </w:r>
      <w:r w:rsidR="00FF08A5">
        <w:rPr>
          <w:rFonts w:asciiTheme="minorHAnsi" w:hAnsiTheme="minorHAnsi"/>
          <w:iCs/>
          <w:snapToGrid w:val="0"/>
        </w:rPr>
        <w:t xml:space="preserve"> </w:t>
      </w:r>
      <w:r w:rsidRPr="001534B3">
        <w:rPr>
          <w:rFonts w:asciiTheme="minorHAnsi" w:hAnsiTheme="minorHAnsi"/>
          <w:iCs/>
          <w:snapToGrid w:val="0"/>
        </w:rPr>
        <w:t xml:space="preserve">over the first six years of listing of glofitamab (in combination with gemcitabine and oxaliplatin) in 2L and 3L of R/R DLBCL. </w:t>
      </w:r>
      <w:r w:rsidR="00FA4B3F" w:rsidRPr="001534B3">
        <w:rPr>
          <w:rFonts w:asciiTheme="minorHAnsi" w:hAnsiTheme="minorHAnsi"/>
          <w:iCs/>
          <w:snapToGrid w:val="0"/>
        </w:rPr>
        <w:t xml:space="preserve">The submission also </w:t>
      </w:r>
      <w:r w:rsidR="00604D16" w:rsidRPr="001534B3">
        <w:rPr>
          <w:rFonts w:asciiTheme="minorHAnsi" w:hAnsiTheme="minorHAnsi"/>
          <w:iCs/>
          <w:snapToGrid w:val="0"/>
        </w:rPr>
        <w:t xml:space="preserve">estimated cost-offsets </w:t>
      </w:r>
      <w:r w:rsidR="006E5E0C" w:rsidRPr="001534B3">
        <w:rPr>
          <w:rFonts w:asciiTheme="minorHAnsi" w:hAnsiTheme="minorHAnsi"/>
          <w:iCs/>
          <w:snapToGrid w:val="0"/>
        </w:rPr>
        <w:t>to</w:t>
      </w:r>
      <w:r w:rsidR="00604D16" w:rsidRPr="001534B3">
        <w:rPr>
          <w:rFonts w:asciiTheme="minorHAnsi" w:hAnsiTheme="minorHAnsi"/>
          <w:iCs/>
          <w:snapToGrid w:val="0"/>
        </w:rPr>
        <w:t xml:space="preserve"> the health budget associated with a reduction in </w:t>
      </w:r>
      <w:r w:rsidR="00FA4B3F" w:rsidRPr="001534B3">
        <w:rPr>
          <w:rFonts w:asciiTheme="minorHAnsi" w:hAnsiTheme="minorHAnsi"/>
          <w:iCs/>
          <w:snapToGrid w:val="0"/>
        </w:rPr>
        <w:t>CAR-T</w:t>
      </w:r>
      <w:r w:rsidR="00604D16" w:rsidRPr="001534B3">
        <w:rPr>
          <w:rFonts w:asciiTheme="minorHAnsi" w:hAnsiTheme="minorHAnsi"/>
          <w:iCs/>
          <w:snapToGrid w:val="0"/>
        </w:rPr>
        <w:t xml:space="preserve">, which was highly uncertain and should not be included </w:t>
      </w:r>
      <w:r w:rsidR="00FA4B3F" w:rsidRPr="001534B3">
        <w:rPr>
          <w:rFonts w:asciiTheme="minorHAnsi" w:hAnsiTheme="minorHAnsi"/>
          <w:iCs/>
          <w:snapToGrid w:val="0"/>
        </w:rPr>
        <w:t>when considering the financial impact on the PBS/RPBS and MBS.</w:t>
      </w:r>
    </w:p>
    <w:p w14:paraId="2ED357ED" w14:textId="3EAEBE18" w:rsidR="00BA224D" w:rsidRPr="001534B3" w:rsidRDefault="00DF1C1A" w:rsidP="00154042">
      <w:pPr>
        <w:numPr>
          <w:ilvl w:val="1"/>
          <w:numId w:val="1"/>
        </w:numPr>
        <w:spacing w:before="60" w:after="60"/>
        <w:rPr>
          <w:rFonts w:asciiTheme="minorHAnsi" w:hAnsiTheme="minorHAnsi"/>
          <w:iCs/>
          <w:snapToGrid w:val="0"/>
        </w:rPr>
      </w:pPr>
      <w:bookmarkStart w:id="105" w:name="_Ref201147205"/>
      <w:r w:rsidRPr="001534B3">
        <w:rPr>
          <w:rFonts w:asciiTheme="minorHAnsi" w:hAnsiTheme="minorHAnsi"/>
          <w:iCs/>
          <w:snapToGrid w:val="0"/>
        </w:rPr>
        <w:t xml:space="preserve">The </w:t>
      </w:r>
      <w:r w:rsidR="00BA224D" w:rsidRPr="001534B3">
        <w:rPr>
          <w:rFonts w:asciiTheme="minorHAnsi" w:hAnsiTheme="minorHAnsi"/>
          <w:iCs/>
          <w:snapToGrid w:val="0"/>
        </w:rPr>
        <w:t>net cost to the PBS/RPBS presented in the submission was uncertain</w:t>
      </w:r>
      <w:r w:rsidR="00701362" w:rsidRPr="001534B3">
        <w:rPr>
          <w:rFonts w:asciiTheme="minorHAnsi" w:hAnsiTheme="minorHAnsi"/>
          <w:iCs/>
          <w:snapToGrid w:val="0"/>
        </w:rPr>
        <w:t>,</w:t>
      </w:r>
      <w:r w:rsidR="00BA224D" w:rsidRPr="001534B3">
        <w:rPr>
          <w:rFonts w:asciiTheme="minorHAnsi" w:hAnsiTheme="minorHAnsi"/>
          <w:iCs/>
          <w:snapToGrid w:val="0"/>
        </w:rPr>
        <w:t xml:space="preserve"> </w:t>
      </w:r>
      <w:r w:rsidRPr="001534B3">
        <w:rPr>
          <w:rFonts w:asciiTheme="minorHAnsi" w:hAnsiTheme="minorHAnsi"/>
          <w:iCs/>
          <w:snapToGrid w:val="0"/>
        </w:rPr>
        <w:t>as some parameters may have overestimated the costs while others may have underestimated the cost</w:t>
      </w:r>
      <w:r w:rsidR="00701362" w:rsidRPr="001534B3">
        <w:rPr>
          <w:rFonts w:asciiTheme="minorHAnsi" w:hAnsiTheme="minorHAnsi"/>
          <w:iCs/>
          <w:snapToGrid w:val="0"/>
        </w:rPr>
        <w:t>s</w:t>
      </w:r>
      <w:r w:rsidRPr="001534B3">
        <w:rPr>
          <w:rFonts w:asciiTheme="minorHAnsi" w:hAnsiTheme="minorHAnsi"/>
          <w:iCs/>
          <w:snapToGrid w:val="0"/>
        </w:rPr>
        <w:t xml:space="preserve">. Overall, the </w:t>
      </w:r>
      <w:r w:rsidR="001F532C" w:rsidRPr="001534B3">
        <w:rPr>
          <w:rFonts w:asciiTheme="minorHAnsi" w:hAnsiTheme="minorHAnsi"/>
          <w:iCs/>
          <w:snapToGrid w:val="0"/>
        </w:rPr>
        <w:t xml:space="preserve">evaluation considered the </w:t>
      </w:r>
      <w:r w:rsidR="00E343AD" w:rsidRPr="001534B3">
        <w:rPr>
          <w:rFonts w:asciiTheme="minorHAnsi" w:hAnsiTheme="minorHAnsi"/>
          <w:iCs/>
          <w:snapToGrid w:val="0"/>
        </w:rPr>
        <w:t xml:space="preserve">net cost </w:t>
      </w:r>
      <w:r w:rsidRPr="001534B3">
        <w:rPr>
          <w:rFonts w:asciiTheme="minorHAnsi" w:hAnsiTheme="minorHAnsi"/>
          <w:iCs/>
          <w:snapToGrid w:val="0"/>
        </w:rPr>
        <w:t>was likely overestimated</w:t>
      </w:r>
      <w:r w:rsidR="00BA224D" w:rsidRPr="001534B3">
        <w:rPr>
          <w:rFonts w:asciiTheme="minorHAnsi" w:hAnsiTheme="minorHAnsi"/>
          <w:iCs/>
          <w:snapToGrid w:val="0"/>
        </w:rPr>
        <w:t>:</w:t>
      </w:r>
      <w:bookmarkEnd w:id="105"/>
    </w:p>
    <w:p w14:paraId="44D5DC61" w14:textId="3038C796" w:rsidR="00BA224D" w:rsidRPr="001534B3" w:rsidRDefault="00DF1C1A" w:rsidP="007368C9">
      <w:pPr>
        <w:pStyle w:val="3-BodyText"/>
        <w:numPr>
          <w:ilvl w:val="0"/>
          <w:numId w:val="15"/>
        </w:numPr>
        <w:spacing w:after="120"/>
        <w:rPr>
          <w:iCs/>
        </w:rPr>
      </w:pPr>
      <w:r w:rsidRPr="001534B3">
        <w:rPr>
          <w:iCs/>
        </w:rPr>
        <w:t>T</w:t>
      </w:r>
      <w:r w:rsidR="00BA224D" w:rsidRPr="001534B3">
        <w:rPr>
          <w:iCs/>
        </w:rPr>
        <w:t xml:space="preserve">he submission </w:t>
      </w:r>
      <w:r w:rsidRPr="001534B3">
        <w:rPr>
          <w:iCs/>
        </w:rPr>
        <w:t xml:space="preserve">may have </w:t>
      </w:r>
      <w:r w:rsidR="00BA224D" w:rsidRPr="001534B3">
        <w:rPr>
          <w:iCs/>
        </w:rPr>
        <w:t>overestimated the proportion of patients with DLBCL, the proportion of patients fit for receiving first line therapy, and the proportion of patients who are R/R after first line therapy</w:t>
      </w:r>
      <w:r w:rsidR="00636830" w:rsidRPr="001534B3">
        <w:rPr>
          <w:iCs/>
        </w:rPr>
        <w:t xml:space="preserve">. </w:t>
      </w:r>
      <w:r w:rsidR="00EA6101" w:rsidRPr="001534B3">
        <w:rPr>
          <w:iCs/>
        </w:rPr>
        <w:t xml:space="preserve">The ESC </w:t>
      </w:r>
      <w:r w:rsidR="00EB620C" w:rsidRPr="001534B3">
        <w:rPr>
          <w:iCs/>
        </w:rPr>
        <w:t xml:space="preserve">accepted the PSCR argument outlined in </w:t>
      </w:r>
      <w:r w:rsidR="00EB620C" w:rsidRPr="001534B3">
        <w:rPr>
          <w:iCs/>
        </w:rPr>
        <w:fldChar w:fldCharType="begin" w:fldLock="1"/>
      </w:r>
      <w:r w:rsidR="00EB620C" w:rsidRPr="001534B3">
        <w:rPr>
          <w:iCs/>
        </w:rPr>
        <w:instrText xml:space="preserve"> REF _Ref195794423 \h  \* MERGEFORMAT </w:instrText>
      </w:r>
      <w:r w:rsidR="00EB620C" w:rsidRPr="001534B3">
        <w:rPr>
          <w:iCs/>
        </w:rPr>
      </w:r>
      <w:r w:rsidR="00EB620C" w:rsidRPr="001534B3">
        <w:rPr>
          <w:iCs/>
        </w:rPr>
        <w:fldChar w:fldCharType="separate"/>
      </w:r>
      <w:r w:rsidR="003C21E7" w:rsidRPr="003C21E7">
        <w:rPr>
          <w:iCs/>
        </w:rPr>
        <w:t xml:space="preserve">Table </w:t>
      </w:r>
      <w:r w:rsidR="003C21E7" w:rsidRPr="003C21E7">
        <w:rPr>
          <w:iCs/>
          <w:noProof/>
        </w:rPr>
        <w:t>18</w:t>
      </w:r>
      <w:r w:rsidR="00EB620C" w:rsidRPr="001534B3">
        <w:rPr>
          <w:iCs/>
        </w:rPr>
        <w:fldChar w:fldCharType="end"/>
      </w:r>
      <w:r w:rsidR="00EB620C" w:rsidRPr="001534B3">
        <w:rPr>
          <w:iCs/>
        </w:rPr>
        <w:t xml:space="preserve"> </w:t>
      </w:r>
      <w:r w:rsidR="00AA2EAC" w:rsidRPr="001534B3">
        <w:rPr>
          <w:iCs/>
        </w:rPr>
        <w:t xml:space="preserve">that the proportion of patients with DLBCL and the proportion of patients fit for receiving first line therapy were appropriate. The ESC noted </w:t>
      </w:r>
      <w:r w:rsidR="002F3DFF" w:rsidRPr="001534B3">
        <w:rPr>
          <w:iCs/>
        </w:rPr>
        <w:t xml:space="preserve">a lower interval for the proportion of patients who are R/R after first line therapy was </w:t>
      </w:r>
      <w:r w:rsidR="00503C79" w:rsidRPr="001534B3">
        <w:rPr>
          <w:iCs/>
        </w:rPr>
        <w:t>tested in a sensitivity analysis</w:t>
      </w:r>
      <w:r w:rsidR="00F11905" w:rsidRPr="001534B3">
        <w:rPr>
          <w:iCs/>
        </w:rPr>
        <w:t>.</w:t>
      </w:r>
    </w:p>
    <w:p w14:paraId="62E18A59" w14:textId="5ADD13AB" w:rsidR="00BA224D" w:rsidRPr="001534B3" w:rsidRDefault="00DF1C1A" w:rsidP="007368C9">
      <w:pPr>
        <w:pStyle w:val="3-BodyText"/>
        <w:numPr>
          <w:ilvl w:val="0"/>
          <w:numId w:val="15"/>
        </w:numPr>
        <w:spacing w:after="120"/>
        <w:rPr>
          <w:iCs/>
        </w:rPr>
      </w:pPr>
      <w:r w:rsidRPr="001534B3">
        <w:rPr>
          <w:iCs/>
        </w:rPr>
        <w:t>T</w:t>
      </w:r>
      <w:r w:rsidR="00BA224D" w:rsidRPr="001534B3">
        <w:rPr>
          <w:iCs/>
        </w:rPr>
        <w:t>he submission may have underestimated the proportion of patients who were ineligible for ASCT/CAR-T (used to estimate patient numbers in both 2L and 3L)</w:t>
      </w:r>
      <w:r w:rsidR="003D7760" w:rsidRPr="001534B3">
        <w:rPr>
          <w:iCs/>
        </w:rPr>
        <w:t xml:space="preserve">. </w:t>
      </w:r>
      <w:r w:rsidR="002C584E" w:rsidRPr="001534B3">
        <w:rPr>
          <w:iCs/>
          <w:szCs w:val="20"/>
        </w:rPr>
        <w:t>The PSCR (Table 4) stated that, in the absence of market data, an upper limit of 60% may be reasonable</w:t>
      </w:r>
      <w:r w:rsidR="00F11905" w:rsidRPr="001534B3">
        <w:rPr>
          <w:iCs/>
          <w:szCs w:val="20"/>
        </w:rPr>
        <w:t>.</w:t>
      </w:r>
    </w:p>
    <w:p w14:paraId="139D1E39" w14:textId="54C47874" w:rsidR="00BA224D" w:rsidRPr="001534B3" w:rsidRDefault="00BA224D" w:rsidP="007368C9">
      <w:pPr>
        <w:pStyle w:val="3-BodyText"/>
        <w:numPr>
          <w:ilvl w:val="0"/>
          <w:numId w:val="15"/>
        </w:numPr>
        <w:spacing w:after="120"/>
        <w:rPr>
          <w:iCs/>
        </w:rPr>
      </w:pPr>
      <w:r w:rsidRPr="001534B3">
        <w:rPr>
          <w:iCs/>
        </w:rPr>
        <w:t>The cost of glofitamab treatment may have been overestimated, as it was based on the maximum number of cycles (12), rather than the median (11) or mean (8.5) number of cycles reported in STARGLO.</w:t>
      </w:r>
      <w:r w:rsidR="008C4DDB" w:rsidRPr="001534B3">
        <w:rPr>
          <w:iCs/>
        </w:rPr>
        <w:t xml:space="preserve"> </w:t>
      </w:r>
      <w:r w:rsidR="003D7760" w:rsidRPr="001534B3">
        <w:rPr>
          <w:iCs/>
          <w:szCs w:val="20"/>
        </w:rPr>
        <w:t xml:space="preserve">The ESC considered the </w:t>
      </w:r>
      <w:r w:rsidR="002E580C" w:rsidRPr="001534B3">
        <w:rPr>
          <w:iCs/>
          <w:szCs w:val="20"/>
        </w:rPr>
        <w:t>mean</w:t>
      </w:r>
      <w:r w:rsidR="003D7760" w:rsidRPr="001534B3">
        <w:rPr>
          <w:iCs/>
          <w:szCs w:val="20"/>
        </w:rPr>
        <w:t xml:space="preserve"> number of glofitamab cycles from the STARGLO trial should be used </w:t>
      </w:r>
      <w:r w:rsidR="00FC4AC5" w:rsidRPr="001534B3">
        <w:rPr>
          <w:iCs/>
          <w:szCs w:val="20"/>
        </w:rPr>
        <w:t>to estimate the cost of treatment</w:t>
      </w:r>
      <w:r w:rsidR="003D7760" w:rsidRPr="001534B3">
        <w:rPr>
          <w:iCs/>
          <w:szCs w:val="20"/>
        </w:rPr>
        <w:t>.</w:t>
      </w:r>
    </w:p>
    <w:p w14:paraId="251CC915" w14:textId="42D93CC6" w:rsidR="00DF1C1A" w:rsidRDefault="00DF1C1A" w:rsidP="007368C9">
      <w:pPr>
        <w:pStyle w:val="ListParagraph"/>
        <w:numPr>
          <w:ilvl w:val="0"/>
          <w:numId w:val="15"/>
        </w:numPr>
        <w:rPr>
          <w:iCs/>
        </w:rPr>
      </w:pPr>
      <w:r w:rsidRPr="001534B3">
        <w:rPr>
          <w:iCs/>
        </w:rPr>
        <w:t xml:space="preserve">The submission underestimated the incremental cost of </w:t>
      </w:r>
      <w:proofErr w:type="spellStart"/>
      <w:r w:rsidRPr="001534B3">
        <w:rPr>
          <w:iCs/>
        </w:rPr>
        <w:t>GemOx</w:t>
      </w:r>
      <w:proofErr w:type="spellEnd"/>
      <w:r w:rsidRPr="001534B3">
        <w:rPr>
          <w:iCs/>
        </w:rPr>
        <w:t xml:space="preserve"> with the proposed listing of Glofit-GemOx (i.e.</w:t>
      </w:r>
      <w:r w:rsidR="000C6329" w:rsidRPr="001534B3">
        <w:rPr>
          <w:iCs/>
        </w:rPr>
        <w:t>,</w:t>
      </w:r>
      <w:r w:rsidRPr="001534B3">
        <w:rPr>
          <w:iCs/>
        </w:rPr>
        <w:t xml:space="preserve"> the submission assumed no change in </w:t>
      </w:r>
      <w:proofErr w:type="spellStart"/>
      <w:r w:rsidRPr="001534B3">
        <w:rPr>
          <w:iCs/>
        </w:rPr>
        <w:t>GemOx</w:t>
      </w:r>
      <w:proofErr w:type="spellEnd"/>
      <w:r w:rsidRPr="001534B3">
        <w:rPr>
          <w:iCs/>
        </w:rPr>
        <w:t xml:space="preserve">), given patients treated with Glofit-GemOx received substantially more cycles of </w:t>
      </w:r>
      <w:proofErr w:type="spellStart"/>
      <w:r w:rsidRPr="001534B3">
        <w:rPr>
          <w:iCs/>
        </w:rPr>
        <w:t>GemOx</w:t>
      </w:r>
      <w:proofErr w:type="spellEnd"/>
      <w:r w:rsidRPr="001534B3">
        <w:rPr>
          <w:iCs/>
        </w:rPr>
        <w:t xml:space="preserve"> compared to patients treated with R-</w:t>
      </w:r>
      <w:proofErr w:type="spellStart"/>
      <w:r w:rsidRPr="001534B3">
        <w:rPr>
          <w:iCs/>
        </w:rPr>
        <w:t>GemOx</w:t>
      </w:r>
      <w:proofErr w:type="spellEnd"/>
      <w:r w:rsidRPr="001534B3">
        <w:rPr>
          <w:iCs/>
        </w:rPr>
        <w:t xml:space="preserve"> in STARGLO, and the submission inappropriately ignored the incremental use of </w:t>
      </w:r>
      <w:proofErr w:type="spellStart"/>
      <w:r w:rsidRPr="001534B3">
        <w:rPr>
          <w:iCs/>
        </w:rPr>
        <w:t>GemOx</w:t>
      </w:r>
      <w:proofErr w:type="spellEnd"/>
      <w:r w:rsidRPr="001534B3">
        <w:rPr>
          <w:iCs/>
        </w:rPr>
        <w:t xml:space="preserve"> with Glofit-GemOx when substituting for epcoritamab (monotherapy) in the third-line setting.</w:t>
      </w:r>
    </w:p>
    <w:p w14:paraId="1EE1638C" w14:textId="62E0F790" w:rsidR="00D95B05" w:rsidRPr="00804F3B" w:rsidRDefault="00867720" w:rsidP="00804F3B">
      <w:pPr>
        <w:numPr>
          <w:ilvl w:val="1"/>
          <w:numId w:val="1"/>
        </w:numPr>
        <w:spacing w:before="60" w:after="60"/>
        <w:rPr>
          <w:lang w:val="en-GB"/>
        </w:rPr>
      </w:pPr>
      <w:r w:rsidRPr="00804F3B">
        <w:t xml:space="preserve">The PBAC noted </w:t>
      </w:r>
      <w:r w:rsidR="00BD6E95" w:rsidRPr="00BD6E95">
        <w:rPr>
          <w:color w:val="000000"/>
          <w:w w:val="61"/>
          <w:shd w:val="solid" w:color="000000" w:fill="000000"/>
          <w:fitText w:val="472" w:id="-632053239"/>
          <w14:textFill>
            <w14:solidFill>
              <w14:srgbClr w14:val="000000">
                <w14:alpha w14:val="100000"/>
              </w14:srgbClr>
            </w14:solidFill>
          </w14:textFill>
        </w:rPr>
        <w:t>|||  ||</w:t>
      </w:r>
      <w:r w:rsidR="00BD6E95" w:rsidRPr="00BD6E95">
        <w:rPr>
          <w:color w:val="000000"/>
          <w:spacing w:val="2"/>
          <w:w w:val="61"/>
          <w:shd w:val="solid" w:color="000000" w:fill="000000"/>
          <w:fitText w:val="472" w:id="-632053239"/>
          <w14:textFill>
            <w14:solidFill>
              <w14:srgbClr w14:val="000000">
                <w14:alpha w14:val="100000"/>
              </w14:srgbClr>
            </w14:solidFill>
          </w14:textFill>
        </w:rPr>
        <w:t>|</w:t>
      </w:r>
      <w:r w:rsidR="00F80429" w:rsidRPr="00804F3B">
        <w:rPr>
          <w:lang w:val="en-GB"/>
        </w:rPr>
        <w:t xml:space="preserve"> (see paragraph </w:t>
      </w:r>
      <w:r w:rsidR="00F80429" w:rsidRPr="00804F3B">
        <w:rPr>
          <w:lang w:val="en-GB"/>
        </w:rPr>
        <w:fldChar w:fldCharType="begin" w:fldLock="1"/>
      </w:r>
      <w:r w:rsidR="00F80429" w:rsidRPr="00804F3B">
        <w:rPr>
          <w:lang w:val="en-GB"/>
        </w:rPr>
        <w:instrText xml:space="preserve"> REF _Ref203659117 \r \h </w:instrText>
      </w:r>
      <w:r w:rsidR="00474773" w:rsidRPr="00804F3B">
        <w:rPr>
          <w:lang w:val="en-GB"/>
        </w:rPr>
        <w:instrText xml:space="preserve"> \* MERGEFORMAT </w:instrText>
      </w:r>
      <w:r w:rsidR="00F80429" w:rsidRPr="00804F3B">
        <w:rPr>
          <w:lang w:val="en-GB"/>
        </w:rPr>
      </w:r>
      <w:r w:rsidR="00F80429" w:rsidRPr="00804F3B">
        <w:rPr>
          <w:lang w:val="en-GB"/>
        </w:rPr>
        <w:fldChar w:fldCharType="separate"/>
      </w:r>
      <w:r w:rsidR="00F80429" w:rsidRPr="00804F3B">
        <w:rPr>
          <w:lang w:val="en-GB"/>
        </w:rPr>
        <w:t>2.2</w:t>
      </w:r>
      <w:r w:rsidR="00F80429" w:rsidRPr="00804F3B">
        <w:rPr>
          <w:lang w:val="en-GB"/>
        </w:rPr>
        <w:fldChar w:fldCharType="end"/>
      </w:r>
      <w:r w:rsidR="00F80429" w:rsidRPr="00804F3B">
        <w:rPr>
          <w:lang w:val="en-GB"/>
        </w:rPr>
        <w:t>)</w:t>
      </w:r>
      <w:r w:rsidR="00A66786" w:rsidRPr="00804F3B">
        <w:rPr>
          <w:lang w:val="en-GB"/>
        </w:rPr>
        <w:t xml:space="preserve">. </w:t>
      </w:r>
      <w:r w:rsidR="00C43DE5" w:rsidRPr="00804F3B">
        <w:rPr>
          <w:lang w:val="en-GB"/>
        </w:rPr>
        <w:t xml:space="preserve">The PBAC noted </w:t>
      </w:r>
      <w:r w:rsidR="009D6E12" w:rsidRPr="00804F3B">
        <w:rPr>
          <w:lang w:val="en-GB"/>
        </w:rPr>
        <w:t xml:space="preserve">the first dose of Glofit-GemOx would not </w:t>
      </w:r>
      <w:r w:rsidR="00A077FC" w:rsidRPr="00804F3B">
        <w:rPr>
          <w:lang w:val="en-GB"/>
        </w:rPr>
        <w:t>be</w:t>
      </w:r>
      <w:r w:rsidR="00F80429" w:rsidRPr="00804F3B">
        <w:rPr>
          <w:lang w:val="en-GB"/>
        </w:rPr>
        <w:t xml:space="preserve"> PBS-subsidised if it </w:t>
      </w:r>
      <w:r w:rsidR="009D6E12" w:rsidRPr="00804F3B">
        <w:rPr>
          <w:lang w:val="en-GB"/>
        </w:rPr>
        <w:t>wa</w:t>
      </w:r>
      <w:r w:rsidR="00F80429" w:rsidRPr="00804F3B">
        <w:rPr>
          <w:lang w:val="en-GB"/>
        </w:rPr>
        <w:t>s administered to an in-patient in a public hospital setting</w:t>
      </w:r>
      <w:r w:rsidR="00796741" w:rsidRPr="00804F3B">
        <w:rPr>
          <w:lang w:val="en-GB"/>
        </w:rPr>
        <w:t xml:space="preserve"> and considered that the </w:t>
      </w:r>
      <w:r w:rsidR="009D6E12" w:rsidRPr="00804F3B">
        <w:rPr>
          <w:lang w:val="en-GB"/>
        </w:rPr>
        <w:t>financial estimates should be amended accordingly</w:t>
      </w:r>
      <w:r w:rsidR="00A077FC" w:rsidRPr="00804F3B">
        <w:rPr>
          <w:lang w:val="en-GB"/>
        </w:rPr>
        <w:t xml:space="preserve"> </w:t>
      </w:r>
      <w:bookmarkStart w:id="106" w:name="_Toc22897648"/>
      <w:bookmarkStart w:id="107" w:name="_Toc113975486"/>
      <w:bookmarkStart w:id="108" w:name="_Toc198716605"/>
      <w:r w:rsidR="00BD6E95" w:rsidRPr="00BD6E95">
        <w:rPr>
          <w:color w:val="000000"/>
          <w:w w:val="61"/>
          <w:shd w:val="solid" w:color="000000" w:fill="000000"/>
          <w:fitText w:val="472" w:id="-632053238"/>
          <w:lang w:val="en-GB"/>
          <w14:textFill>
            <w14:solidFill>
              <w14:srgbClr w14:val="000000">
                <w14:alpha w14:val="100000"/>
              </w14:srgbClr>
            </w14:solidFill>
          </w14:textFill>
        </w:rPr>
        <w:t>||</w:t>
      </w:r>
      <w:proofErr w:type="gramStart"/>
      <w:r w:rsidR="00BD6E95" w:rsidRPr="00BD6E95">
        <w:rPr>
          <w:color w:val="000000"/>
          <w:w w:val="61"/>
          <w:shd w:val="solid" w:color="000000" w:fill="000000"/>
          <w:fitText w:val="472" w:id="-632053238"/>
          <w:lang w:val="en-GB"/>
          <w14:textFill>
            <w14:solidFill>
              <w14:srgbClr w14:val="000000">
                <w14:alpha w14:val="100000"/>
              </w14:srgbClr>
            </w14:solidFill>
          </w14:textFill>
        </w:rPr>
        <w:t>|  |</w:t>
      </w:r>
      <w:proofErr w:type="gramEnd"/>
      <w:r w:rsidR="00BD6E95" w:rsidRPr="00BD6E95">
        <w:rPr>
          <w:color w:val="000000"/>
          <w:w w:val="61"/>
          <w:shd w:val="solid" w:color="000000" w:fill="000000"/>
          <w:fitText w:val="472" w:id="-632053238"/>
          <w:lang w:val="en-GB"/>
          <w14:textFill>
            <w14:solidFill>
              <w14:srgbClr w14:val="000000">
                <w14:alpha w14:val="100000"/>
              </w14:srgbClr>
            </w14:solidFill>
          </w14:textFill>
        </w:rPr>
        <w:t>|</w:t>
      </w:r>
      <w:r w:rsidR="00BD6E95" w:rsidRPr="00BD6E95">
        <w:rPr>
          <w:color w:val="000000"/>
          <w:spacing w:val="2"/>
          <w:w w:val="61"/>
          <w:shd w:val="solid" w:color="000000" w:fill="000000"/>
          <w:fitText w:val="472" w:id="-632053238"/>
          <w:lang w:val="en-GB"/>
          <w14:textFill>
            <w14:solidFill>
              <w14:srgbClr w14:val="000000">
                <w14:alpha w14:val="100000"/>
              </w14:srgbClr>
            </w14:solidFill>
          </w14:textFill>
        </w:rPr>
        <w:t>|</w:t>
      </w:r>
    </w:p>
    <w:p w14:paraId="049F6D88" w14:textId="14AF29C0" w:rsidR="002A0BBB" w:rsidRPr="005B024E" w:rsidRDefault="002A0BBB" w:rsidP="002A0BBB">
      <w:pPr>
        <w:pStyle w:val="4-SubsectionHeading"/>
      </w:pPr>
      <w:r w:rsidRPr="005B024E">
        <w:t>Quality Use of Medicines</w:t>
      </w:r>
      <w:bookmarkEnd w:id="106"/>
      <w:bookmarkEnd w:id="107"/>
      <w:bookmarkEnd w:id="108"/>
    </w:p>
    <w:p w14:paraId="73399BAC" w14:textId="5F690EF2" w:rsidR="002A0BBB" w:rsidRPr="00154042" w:rsidRDefault="00760C5A" w:rsidP="00154042">
      <w:pPr>
        <w:numPr>
          <w:ilvl w:val="1"/>
          <w:numId w:val="1"/>
        </w:numPr>
        <w:spacing w:before="60" w:after="60"/>
        <w:rPr>
          <w:rFonts w:asciiTheme="minorHAnsi" w:hAnsiTheme="minorHAnsi"/>
          <w:iCs/>
          <w:snapToGrid w:val="0"/>
        </w:rPr>
      </w:pPr>
      <w:r w:rsidRPr="00154042">
        <w:rPr>
          <w:rFonts w:asciiTheme="minorHAnsi" w:hAnsiTheme="minorHAnsi"/>
          <w:iCs/>
          <w:snapToGrid w:val="0"/>
        </w:rPr>
        <w:t xml:space="preserve">The submission stated that given the associated risks, such as CRS and neurotoxicity (ICANS), the </w:t>
      </w:r>
      <w:r w:rsidR="000C45E5" w:rsidRPr="00154042">
        <w:rPr>
          <w:rFonts w:asciiTheme="minorHAnsi" w:hAnsiTheme="minorHAnsi"/>
          <w:iCs/>
          <w:snapToGrid w:val="0"/>
        </w:rPr>
        <w:t>S</w:t>
      </w:r>
      <w:r w:rsidRPr="00154042">
        <w:rPr>
          <w:rFonts w:asciiTheme="minorHAnsi" w:hAnsiTheme="minorHAnsi"/>
          <w:iCs/>
          <w:snapToGrid w:val="0"/>
        </w:rPr>
        <w:t xml:space="preserve">ponsor has implemented a range of measures to support safe use. These </w:t>
      </w:r>
      <w:r w:rsidRPr="0035299E">
        <w:rPr>
          <w:rFonts w:asciiTheme="minorHAnsi" w:hAnsiTheme="minorHAnsi"/>
          <w:iCs/>
          <w:snapToGrid w:val="0"/>
        </w:rPr>
        <w:t>include a Risk Management Plan (RMP) with patient cards provided to healthcare professionals, educational partnerships with leading institutions like Peter MacCallum Cancer Centre, ongoing nurse training webinars, and a practical CRS management</w:t>
      </w:r>
      <w:r w:rsidRPr="00154042">
        <w:rPr>
          <w:rFonts w:asciiTheme="minorHAnsi" w:hAnsiTheme="minorHAnsi"/>
          <w:iCs/>
          <w:snapToGrid w:val="0"/>
        </w:rPr>
        <w:t xml:space="preserve"> guide developed with expert input. These resources are available both online and in print to assist healthcare professionals in safely administering glofitamab</w:t>
      </w:r>
      <w:r w:rsidR="002A0BBB" w:rsidRPr="00154042">
        <w:rPr>
          <w:rFonts w:asciiTheme="minorHAnsi" w:hAnsiTheme="minorHAnsi"/>
          <w:iCs/>
          <w:snapToGrid w:val="0"/>
        </w:rPr>
        <w:t xml:space="preserve">. </w:t>
      </w:r>
    </w:p>
    <w:p w14:paraId="04160834" w14:textId="77777777" w:rsidR="002A0BBB" w:rsidRPr="005B024E" w:rsidRDefault="002A0BBB" w:rsidP="002A0BBB">
      <w:pPr>
        <w:pStyle w:val="4-SubsectionHeading"/>
      </w:pPr>
      <w:bookmarkStart w:id="109" w:name="_Toc22897649"/>
      <w:bookmarkStart w:id="110" w:name="_Toc113975487"/>
      <w:bookmarkStart w:id="111" w:name="_Toc198716606"/>
      <w:r w:rsidRPr="005B024E">
        <w:t>Financial Management – Risk Sharing Arrangements</w:t>
      </w:r>
      <w:bookmarkEnd w:id="109"/>
      <w:bookmarkEnd w:id="110"/>
      <w:bookmarkEnd w:id="111"/>
    </w:p>
    <w:p w14:paraId="5C4569F6" w14:textId="298F3A84" w:rsidR="002A0BBB" w:rsidRDefault="00760C5A" w:rsidP="00592E4F">
      <w:pPr>
        <w:numPr>
          <w:ilvl w:val="1"/>
          <w:numId w:val="1"/>
        </w:numPr>
        <w:spacing w:before="60" w:after="60"/>
        <w:rPr>
          <w:rFonts w:asciiTheme="minorHAnsi" w:hAnsiTheme="minorHAnsi"/>
          <w:iCs/>
          <w:snapToGrid w:val="0"/>
        </w:rPr>
      </w:pPr>
      <w:bookmarkStart w:id="112" w:name="_Toc22897650"/>
      <w:r w:rsidRPr="00592E4F">
        <w:rPr>
          <w:rFonts w:asciiTheme="minorHAnsi" w:hAnsiTheme="minorHAnsi"/>
          <w:iCs/>
          <w:snapToGrid w:val="0"/>
        </w:rPr>
        <w:t xml:space="preserve">The submission indicated that the </w:t>
      </w:r>
      <w:r w:rsidR="000C45E5" w:rsidRPr="00592E4F">
        <w:rPr>
          <w:rFonts w:asciiTheme="minorHAnsi" w:hAnsiTheme="minorHAnsi"/>
          <w:iCs/>
          <w:snapToGrid w:val="0"/>
        </w:rPr>
        <w:t>S</w:t>
      </w:r>
      <w:r w:rsidRPr="00592E4F">
        <w:rPr>
          <w:rFonts w:asciiTheme="minorHAnsi" w:hAnsiTheme="minorHAnsi"/>
          <w:iCs/>
          <w:snapToGrid w:val="0"/>
        </w:rPr>
        <w:t xml:space="preserve">ponsor is willing to enter into a </w:t>
      </w:r>
      <w:r w:rsidR="000316D5" w:rsidRPr="00184D9F">
        <w:rPr>
          <w:rFonts w:asciiTheme="minorHAnsi" w:hAnsiTheme="minorHAnsi"/>
          <w:snapToGrid w:val="0"/>
          <w:lang w:val="en-GB"/>
        </w:rPr>
        <w:t>risk sharing arrangement</w:t>
      </w:r>
      <w:r w:rsidRPr="00592E4F">
        <w:rPr>
          <w:rFonts w:asciiTheme="minorHAnsi" w:hAnsiTheme="minorHAnsi"/>
          <w:iCs/>
          <w:snapToGrid w:val="0"/>
        </w:rPr>
        <w:t xml:space="preserve"> with the Department of Health in the form of expenditure caps aligned to the eligible population (transplant-ineligible R/R DLBCL after ≥ 1 prior systemic therapy) if deemed necessary by the PBAC</w:t>
      </w:r>
      <w:r w:rsidR="002A0BBB" w:rsidRPr="00592E4F">
        <w:rPr>
          <w:rFonts w:asciiTheme="minorHAnsi" w:hAnsiTheme="minorHAnsi"/>
          <w:iCs/>
          <w:snapToGrid w:val="0"/>
        </w:rPr>
        <w:t>.</w:t>
      </w:r>
      <w:r w:rsidR="00A975A4">
        <w:rPr>
          <w:rFonts w:asciiTheme="minorHAnsi" w:hAnsiTheme="minorHAnsi"/>
          <w:iCs/>
          <w:snapToGrid w:val="0"/>
        </w:rPr>
        <w:t xml:space="preserve"> </w:t>
      </w:r>
    </w:p>
    <w:p w14:paraId="36F2BA7F" w14:textId="7A78F400" w:rsidR="00A975A4" w:rsidRDefault="00A975A4" w:rsidP="005879A4">
      <w:pPr>
        <w:ind w:firstLine="709"/>
        <w:rPr>
          <w:rFonts w:asciiTheme="minorHAnsi" w:hAnsiTheme="minorHAnsi"/>
          <w:iCs/>
          <w:snapToGrid w:val="0"/>
        </w:rPr>
      </w:pPr>
      <w:r w:rsidRPr="00C33D30">
        <w:rPr>
          <w:rFonts w:asciiTheme="minorHAnsi" w:hAnsiTheme="minorHAnsi"/>
          <w:i/>
        </w:rPr>
        <w:t>For more detail on PBAC’s view, see section 7 PBAC outcome.</w:t>
      </w:r>
    </w:p>
    <w:p w14:paraId="354ACAE4" w14:textId="77777777" w:rsidR="00904200" w:rsidRPr="0090150D" w:rsidRDefault="00904200" w:rsidP="00904200">
      <w:pPr>
        <w:pStyle w:val="2-SectionHeading"/>
        <w:numPr>
          <w:ilvl w:val="0"/>
          <w:numId w:val="1"/>
        </w:numPr>
      </w:pPr>
      <w:bookmarkStart w:id="113" w:name="_Hlk76381249"/>
      <w:r w:rsidRPr="0090150D">
        <w:t>PBAC Outcome</w:t>
      </w:r>
    </w:p>
    <w:p w14:paraId="38EDA385" w14:textId="74AE5A59" w:rsidR="00904200" w:rsidRPr="00AE2F51" w:rsidRDefault="00F57676" w:rsidP="00AE2F51">
      <w:pPr>
        <w:widowControl w:val="0"/>
        <w:numPr>
          <w:ilvl w:val="1"/>
          <w:numId w:val="1"/>
        </w:numPr>
        <w:spacing w:after="120"/>
        <w:rPr>
          <w:rFonts w:asciiTheme="minorHAnsi" w:hAnsiTheme="minorHAnsi"/>
          <w:snapToGrid w:val="0"/>
          <w:lang w:val="en-GB"/>
        </w:rPr>
      </w:pPr>
      <w:bookmarkStart w:id="114" w:name="_Hlk111543188"/>
      <w:r>
        <w:rPr>
          <w:rFonts w:asciiTheme="minorHAnsi" w:hAnsiTheme="minorHAnsi"/>
          <w:snapToGrid w:val="0"/>
          <w:lang w:val="en-GB"/>
        </w:rPr>
        <w:t>The PBAC recommended the Section 100 Efficient Funding of Chemotherapy, Authority Required (</w:t>
      </w:r>
      <w:r w:rsidR="007B1C6C">
        <w:rPr>
          <w:rFonts w:asciiTheme="minorHAnsi" w:hAnsiTheme="minorHAnsi"/>
          <w:snapToGrid w:val="0"/>
          <w:lang w:val="en-GB"/>
        </w:rPr>
        <w:t>Telephone/Online</w:t>
      </w:r>
      <w:r>
        <w:rPr>
          <w:rFonts w:asciiTheme="minorHAnsi" w:hAnsiTheme="minorHAnsi"/>
          <w:snapToGrid w:val="0"/>
          <w:lang w:val="en-GB"/>
        </w:rPr>
        <w:t xml:space="preserve">) listing of </w:t>
      </w:r>
      <w:r w:rsidR="00A254FA">
        <w:rPr>
          <w:rFonts w:asciiTheme="minorHAnsi" w:hAnsiTheme="minorHAnsi"/>
          <w:snapToGrid w:val="0"/>
          <w:lang w:val="en-GB"/>
        </w:rPr>
        <w:t xml:space="preserve">glofitamab, in combination with gemcitabine </w:t>
      </w:r>
      <w:r w:rsidR="001E77A3">
        <w:rPr>
          <w:rFonts w:asciiTheme="minorHAnsi" w:hAnsiTheme="minorHAnsi"/>
          <w:snapToGrid w:val="0"/>
          <w:lang w:val="en-GB"/>
        </w:rPr>
        <w:t>plus</w:t>
      </w:r>
      <w:r w:rsidR="00A254FA">
        <w:rPr>
          <w:rFonts w:asciiTheme="minorHAnsi" w:hAnsiTheme="minorHAnsi"/>
          <w:snapToGrid w:val="0"/>
          <w:lang w:val="en-GB"/>
        </w:rPr>
        <w:t xml:space="preserve"> oxaliplatin (Glofit-GemOx), </w:t>
      </w:r>
      <w:r w:rsidR="00C54A98" w:rsidRPr="00C54A98">
        <w:rPr>
          <w:rFonts w:asciiTheme="minorHAnsi" w:hAnsiTheme="minorHAnsi"/>
          <w:snapToGrid w:val="0"/>
          <w:lang w:val="en-GB"/>
        </w:rPr>
        <w:t>for the treatment of patients with relapsed or refractory diffuse large B-cell lymphoma</w:t>
      </w:r>
      <w:r w:rsidR="00C54A98">
        <w:rPr>
          <w:rFonts w:asciiTheme="minorHAnsi" w:hAnsiTheme="minorHAnsi"/>
          <w:snapToGrid w:val="0"/>
          <w:lang w:val="en-GB"/>
        </w:rPr>
        <w:t xml:space="preserve"> (DLBCL)</w:t>
      </w:r>
      <w:r w:rsidR="00C54A98" w:rsidRPr="00C54A98">
        <w:rPr>
          <w:rFonts w:asciiTheme="minorHAnsi" w:hAnsiTheme="minorHAnsi"/>
          <w:snapToGrid w:val="0"/>
          <w:lang w:val="en-GB"/>
        </w:rPr>
        <w:t xml:space="preserve"> after one or more lines of systemic therapy and who are unable to receive autologous stem cell transplant</w:t>
      </w:r>
      <w:r w:rsidR="00D21A08">
        <w:rPr>
          <w:rFonts w:asciiTheme="minorHAnsi" w:hAnsiTheme="minorHAnsi"/>
          <w:snapToGrid w:val="0"/>
          <w:lang w:val="en-GB"/>
        </w:rPr>
        <w:t xml:space="preserve"> (ASCT)</w:t>
      </w:r>
      <w:r w:rsidR="00C54A98" w:rsidRPr="00C54A98">
        <w:rPr>
          <w:rFonts w:asciiTheme="minorHAnsi" w:hAnsiTheme="minorHAnsi"/>
          <w:snapToGrid w:val="0"/>
          <w:lang w:val="en-GB"/>
        </w:rPr>
        <w:t xml:space="preserve"> or chimeric antigen receptor T-cell (CAR-T) </w:t>
      </w:r>
      <w:r w:rsidR="00625663">
        <w:rPr>
          <w:rFonts w:asciiTheme="minorHAnsi" w:hAnsiTheme="minorHAnsi"/>
          <w:snapToGrid w:val="0"/>
          <w:lang w:val="en-GB"/>
        </w:rPr>
        <w:t xml:space="preserve">cell </w:t>
      </w:r>
      <w:r w:rsidR="00C54A98" w:rsidRPr="00C54A98">
        <w:rPr>
          <w:rFonts w:asciiTheme="minorHAnsi" w:hAnsiTheme="minorHAnsi"/>
          <w:snapToGrid w:val="0"/>
          <w:lang w:val="en-GB"/>
        </w:rPr>
        <w:t>therapy.</w:t>
      </w:r>
      <w:r w:rsidR="00C54A98">
        <w:rPr>
          <w:rFonts w:asciiTheme="minorHAnsi" w:hAnsiTheme="minorHAnsi"/>
          <w:snapToGrid w:val="0"/>
          <w:lang w:val="en-GB"/>
        </w:rPr>
        <w:t xml:space="preserve"> In making this recommendation, the PBAC acknowledged there </w:t>
      </w:r>
      <w:r w:rsidR="00380286" w:rsidRPr="00380286">
        <w:rPr>
          <w:rFonts w:asciiTheme="minorHAnsi" w:hAnsiTheme="minorHAnsi"/>
          <w:snapToGrid w:val="0"/>
          <w:lang w:val="en-GB"/>
        </w:rPr>
        <w:t xml:space="preserve">was an unmet clinical need for </w:t>
      </w:r>
      <w:r w:rsidR="00AE7FBB">
        <w:rPr>
          <w:rFonts w:asciiTheme="minorHAnsi" w:hAnsiTheme="minorHAnsi"/>
          <w:snapToGrid w:val="0"/>
          <w:lang w:val="en-GB"/>
        </w:rPr>
        <w:t>the proposed patient population</w:t>
      </w:r>
      <w:r w:rsidR="001E77A3">
        <w:rPr>
          <w:rFonts w:asciiTheme="minorHAnsi" w:hAnsiTheme="minorHAnsi"/>
          <w:snapToGrid w:val="0"/>
          <w:lang w:val="en-GB"/>
        </w:rPr>
        <w:t>.</w:t>
      </w:r>
      <w:r w:rsidR="001E77A3" w:rsidRPr="001E77A3">
        <w:rPr>
          <w:rFonts w:asciiTheme="minorHAnsi" w:hAnsiTheme="minorHAnsi"/>
          <w:snapToGrid w:val="0"/>
          <w:lang w:val="en-GB"/>
        </w:rPr>
        <w:t xml:space="preserve"> </w:t>
      </w:r>
      <w:r w:rsidR="001E77A3" w:rsidRPr="00CE42B4">
        <w:rPr>
          <w:rFonts w:asciiTheme="minorHAnsi" w:hAnsiTheme="minorHAnsi"/>
          <w:snapToGrid w:val="0"/>
          <w:lang w:val="en-GB"/>
        </w:rPr>
        <w:t xml:space="preserve">The PBAC </w:t>
      </w:r>
      <w:r w:rsidR="00D03762">
        <w:rPr>
          <w:rFonts w:asciiTheme="minorHAnsi" w:hAnsiTheme="minorHAnsi"/>
          <w:snapToGrid w:val="0"/>
          <w:lang w:val="en-GB"/>
        </w:rPr>
        <w:t>wa</w:t>
      </w:r>
      <w:r w:rsidR="001E77A3" w:rsidRPr="00CE42B4">
        <w:rPr>
          <w:rFonts w:asciiTheme="minorHAnsi" w:hAnsiTheme="minorHAnsi"/>
          <w:snapToGrid w:val="0"/>
          <w:lang w:val="en-GB"/>
        </w:rPr>
        <w:t xml:space="preserve">s satisfied that </w:t>
      </w:r>
      <w:r w:rsidR="001E77A3">
        <w:rPr>
          <w:rFonts w:asciiTheme="minorHAnsi" w:hAnsiTheme="minorHAnsi"/>
          <w:snapToGrid w:val="0"/>
          <w:lang w:val="en-GB"/>
        </w:rPr>
        <w:t xml:space="preserve">Glofit-GemOx </w:t>
      </w:r>
      <w:r w:rsidR="001E77A3" w:rsidRPr="00CE42B4">
        <w:rPr>
          <w:rFonts w:asciiTheme="minorHAnsi" w:hAnsiTheme="minorHAnsi"/>
          <w:snapToGrid w:val="0"/>
          <w:lang w:val="en-GB"/>
        </w:rPr>
        <w:t>provides, for some patients, a significant improvement in efficacy</w:t>
      </w:r>
      <w:r w:rsidR="001E77A3">
        <w:rPr>
          <w:rFonts w:asciiTheme="minorHAnsi" w:hAnsiTheme="minorHAnsi"/>
          <w:snapToGrid w:val="0"/>
          <w:lang w:val="en-GB"/>
        </w:rPr>
        <w:t>, both in terms of overall survival (OS) and progression-free survival (PFS)</w:t>
      </w:r>
      <w:r w:rsidR="001E77A3" w:rsidRPr="00CE42B4">
        <w:rPr>
          <w:rFonts w:asciiTheme="minorHAnsi" w:hAnsiTheme="minorHAnsi"/>
          <w:snapToGrid w:val="0"/>
          <w:lang w:val="en-GB"/>
        </w:rPr>
        <w:t xml:space="preserve"> over </w:t>
      </w:r>
      <w:r w:rsidR="001E77A3">
        <w:rPr>
          <w:rFonts w:asciiTheme="minorHAnsi" w:hAnsiTheme="minorHAnsi"/>
          <w:snapToGrid w:val="0"/>
          <w:lang w:val="en-GB"/>
        </w:rPr>
        <w:t>rituximab in combination with gemcitabine plus oxaliplatin (R-</w:t>
      </w:r>
      <w:proofErr w:type="spellStart"/>
      <w:r w:rsidR="001E77A3">
        <w:rPr>
          <w:rFonts w:asciiTheme="minorHAnsi" w:hAnsiTheme="minorHAnsi"/>
          <w:snapToGrid w:val="0"/>
          <w:lang w:val="en-GB"/>
        </w:rPr>
        <w:t>GemOx</w:t>
      </w:r>
      <w:proofErr w:type="spellEnd"/>
      <w:r w:rsidR="001E77A3">
        <w:rPr>
          <w:rFonts w:asciiTheme="minorHAnsi" w:hAnsiTheme="minorHAnsi"/>
          <w:snapToGrid w:val="0"/>
          <w:lang w:val="en-GB"/>
        </w:rPr>
        <w:t>).</w:t>
      </w:r>
      <w:r w:rsidR="003D4568">
        <w:rPr>
          <w:rFonts w:asciiTheme="minorHAnsi" w:hAnsiTheme="minorHAnsi"/>
          <w:snapToGrid w:val="0"/>
          <w:lang w:val="en-GB"/>
        </w:rPr>
        <w:t xml:space="preserve"> </w:t>
      </w:r>
      <w:r w:rsidR="00316E13">
        <w:rPr>
          <w:rFonts w:asciiTheme="minorHAnsi" w:hAnsiTheme="minorHAnsi"/>
          <w:snapToGrid w:val="0"/>
          <w:lang w:val="en-GB"/>
        </w:rPr>
        <w:t xml:space="preserve">The PBAC considered the listing would be cost effective with a price reduction to </w:t>
      </w:r>
      <w:r w:rsidR="00485DAF">
        <w:rPr>
          <w:rFonts w:asciiTheme="minorHAnsi" w:hAnsiTheme="minorHAnsi"/>
          <w:snapToGrid w:val="0"/>
          <w:lang w:val="en-GB"/>
        </w:rPr>
        <w:t xml:space="preserve">achieve an ICER of up to </w:t>
      </w:r>
      <w:r w:rsidR="00506F3B" w:rsidRPr="00506F3B">
        <w:rPr>
          <w:rFonts w:asciiTheme="minorHAnsi" w:hAnsiTheme="minorHAnsi"/>
          <w:snapToGrid w:val="0"/>
          <w:lang w:val="en-GB"/>
        </w:rPr>
        <w:t xml:space="preserve">$55,000 to &lt; $75,000 </w:t>
      </w:r>
      <w:r w:rsidR="00485DAF">
        <w:rPr>
          <w:rFonts w:asciiTheme="minorHAnsi" w:hAnsiTheme="minorHAnsi"/>
          <w:snapToGrid w:val="0"/>
          <w:lang w:val="en-GB"/>
        </w:rPr>
        <w:t xml:space="preserve">per QALY gained, based on </w:t>
      </w:r>
      <w:r w:rsidR="005F7C6E">
        <w:rPr>
          <w:rFonts w:asciiTheme="minorHAnsi" w:hAnsiTheme="minorHAnsi"/>
          <w:snapToGrid w:val="0"/>
          <w:lang w:val="en-GB"/>
        </w:rPr>
        <w:t>a revised economic model</w:t>
      </w:r>
      <w:r w:rsidR="0004525A">
        <w:rPr>
          <w:rFonts w:asciiTheme="minorHAnsi" w:hAnsiTheme="minorHAnsi"/>
          <w:snapToGrid w:val="0"/>
          <w:lang w:val="en-GB"/>
        </w:rPr>
        <w:t xml:space="preserve"> using inputs suggested by the ESC and a 20-year model time horizon.</w:t>
      </w:r>
      <w:r w:rsidR="00960E43">
        <w:rPr>
          <w:rFonts w:asciiTheme="minorHAnsi" w:hAnsiTheme="minorHAnsi"/>
          <w:snapToGrid w:val="0"/>
          <w:lang w:val="en-GB"/>
        </w:rPr>
        <w:t xml:space="preserve"> </w:t>
      </w:r>
      <w:r w:rsidR="002167C9" w:rsidRPr="002167C9">
        <w:rPr>
          <w:rFonts w:asciiTheme="minorHAnsi" w:hAnsiTheme="minorHAnsi"/>
          <w:snapToGrid w:val="0"/>
          <w:lang w:val="en-GB"/>
        </w:rPr>
        <w:t xml:space="preserve">The PBAC considered a </w:t>
      </w:r>
      <w:r w:rsidR="003B314F">
        <w:rPr>
          <w:rFonts w:asciiTheme="minorHAnsi" w:hAnsiTheme="minorHAnsi"/>
          <w:snapToGrid w:val="0"/>
          <w:lang w:val="en-GB"/>
        </w:rPr>
        <w:t>r</w:t>
      </w:r>
      <w:r w:rsidR="002167C9" w:rsidRPr="002167C9">
        <w:rPr>
          <w:rFonts w:asciiTheme="minorHAnsi" w:hAnsiTheme="minorHAnsi"/>
          <w:snapToGrid w:val="0"/>
          <w:lang w:val="en-GB"/>
        </w:rPr>
        <w:t xml:space="preserve">isk </w:t>
      </w:r>
      <w:r w:rsidR="003B314F">
        <w:rPr>
          <w:rFonts w:asciiTheme="minorHAnsi" w:hAnsiTheme="minorHAnsi"/>
          <w:snapToGrid w:val="0"/>
          <w:lang w:val="en-GB"/>
        </w:rPr>
        <w:t>s</w:t>
      </w:r>
      <w:r w:rsidR="002167C9" w:rsidRPr="002167C9">
        <w:rPr>
          <w:rFonts w:asciiTheme="minorHAnsi" w:hAnsiTheme="minorHAnsi"/>
          <w:snapToGrid w:val="0"/>
          <w:lang w:val="en-GB"/>
        </w:rPr>
        <w:t xml:space="preserve">haring </w:t>
      </w:r>
      <w:r w:rsidR="003B314F">
        <w:rPr>
          <w:rFonts w:asciiTheme="minorHAnsi" w:hAnsiTheme="minorHAnsi"/>
          <w:snapToGrid w:val="0"/>
          <w:lang w:val="en-GB"/>
        </w:rPr>
        <w:t>a</w:t>
      </w:r>
      <w:r w:rsidR="002167C9" w:rsidRPr="002167C9">
        <w:rPr>
          <w:rFonts w:asciiTheme="minorHAnsi" w:hAnsiTheme="minorHAnsi"/>
          <w:snapToGrid w:val="0"/>
          <w:lang w:val="en-GB"/>
        </w:rPr>
        <w:t>rrangement would be appropriate to address any residual uncertainty regarding estimated patient numbers.</w:t>
      </w:r>
      <w:bookmarkEnd w:id="114"/>
    </w:p>
    <w:p w14:paraId="23F367FB" w14:textId="58016738" w:rsidR="00EB4DC4" w:rsidRDefault="005E7AB5" w:rsidP="0090420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5269A1">
        <w:rPr>
          <w:rFonts w:asciiTheme="minorHAnsi" w:hAnsiTheme="minorHAnsi"/>
          <w:snapToGrid w:val="0"/>
          <w:lang w:val="en-GB"/>
        </w:rPr>
        <w:t>noted the input</w:t>
      </w:r>
      <w:r>
        <w:rPr>
          <w:rFonts w:asciiTheme="minorHAnsi" w:hAnsiTheme="minorHAnsi"/>
          <w:snapToGrid w:val="0"/>
          <w:lang w:val="en-GB"/>
        </w:rPr>
        <w:t xml:space="preserve"> from health</w:t>
      </w:r>
      <w:r w:rsidR="00DC4A85">
        <w:rPr>
          <w:rFonts w:asciiTheme="minorHAnsi" w:hAnsiTheme="minorHAnsi"/>
          <w:snapToGrid w:val="0"/>
          <w:lang w:val="en-GB"/>
        </w:rPr>
        <w:t xml:space="preserve"> care</w:t>
      </w:r>
      <w:r>
        <w:rPr>
          <w:rFonts w:asciiTheme="minorHAnsi" w:hAnsiTheme="minorHAnsi"/>
          <w:snapToGrid w:val="0"/>
          <w:lang w:val="en-GB"/>
        </w:rPr>
        <w:t xml:space="preserve"> professionals</w:t>
      </w:r>
      <w:r w:rsidR="00F07758">
        <w:rPr>
          <w:rFonts w:asciiTheme="minorHAnsi" w:hAnsiTheme="minorHAnsi"/>
          <w:snapToGrid w:val="0"/>
          <w:lang w:val="en-GB"/>
        </w:rPr>
        <w:t xml:space="preserve">, </w:t>
      </w:r>
      <w:r w:rsidR="005E49AE">
        <w:rPr>
          <w:rFonts w:asciiTheme="minorHAnsi" w:hAnsiTheme="minorHAnsi"/>
          <w:snapToGrid w:val="0"/>
          <w:lang w:val="en-GB"/>
        </w:rPr>
        <w:t xml:space="preserve">Rare Cancers Australia, Leukaemia Foundation, Lymphoma Australia and the </w:t>
      </w:r>
      <w:r w:rsidR="00483E15">
        <w:rPr>
          <w:rFonts w:asciiTheme="minorHAnsi" w:hAnsiTheme="minorHAnsi"/>
          <w:snapToGrid w:val="0"/>
          <w:lang w:val="en-GB"/>
        </w:rPr>
        <w:t>Australasian</w:t>
      </w:r>
      <w:r w:rsidR="005E49AE">
        <w:rPr>
          <w:rFonts w:asciiTheme="minorHAnsi" w:hAnsiTheme="minorHAnsi"/>
          <w:snapToGrid w:val="0"/>
          <w:lang w:val="en-GB"/>
        </w:rPr>
        <w:t xml:space="preserve"> Leuk</w:t>
      </w:r>
      <w:r w:rsidR="004C762E">
        <w:rPr>
          <w:rFonts w:asciiTheme="minorHAnsi" w:hAnsiTheme="minorHAnsi"/>
          <w:snapToGrid w:val="0"/>
          <w:lang w:val="en-GB"/>
        </w:rPr>
        <w:t xml:space="preserve">aemia and Lymphoma group </w:t>
      </w:r>
      <w:r>
        <w:rPr>
          <w:rFonts w:asciiTheme="minorHAnsi" w:hAnsiTheme="minorHAnsi"/>
          <w:snapToGrid w:val="0"/>
          <w:lang w:val="en-GB"/>
        </w:rPr>
        <w:t>support</w:t>
      </w:r>
      <w:r w:rsidR="004C762E">
        <w:rPr>
          <w:rFonts w:asciiTheme="minorHAnsi" w:hAnsiTheme="minorHAnsi"/>
          <w:snapToGrid w:val="0"/>
          <w:lang w:val="en-GB"/>
        </w:rPr>
        <w:t>ing</w:t>
      </w:r>
      <w:r>
        <w:rPr>
          <w:rFonts w:asciiTheme="minorHAnsi" w:hAnsiTheme="minorHAnsi"/>
          <w:snapToGrid w:val="0"/>
          <w:lang w:val="en-GB"/>
        </w:rPr>
        <w:t xml:space="preserve"> the </w:t>
      </w:r>
      <w:r w:rsidR="006A4AB9">
        <w:rPr>
          <w:rFonts w:asciiTheme="minorHAnsi" w:hAnsiTheme="minorHAnsi"/>
          <w:snapToGrid w:val="0"/>
          <w:lang w:val="en-GB"/>
        </w:rPr>
        <w:t>listing</w:t>
      </w:r>
      <w:r w:rsidR="004C762E">
        <w:rPr>
          <w:rFonts w:asciiTheme="minorHAnsi" w:hAnsiTheme="minorHAnsi"/>
          <w:snapToGrid w:val="0"/>
          <w:lang w:val="en-GB"/>
        </w:rPr>
        <w:t xml:space="preserve">. The </w:t>
      </w:r>
      <w:r w:rsidR="008D48E5">
        <w:rPr>
          <w:rFonts w:asciiTheme="minorHAnsi" w:hAnsiTheme="minorHAnsi"/>
          <w:snapToGrid w:val="0"/>
          <w:lang w:val="en-GB"/>
        </w:rPr>
        <w:t>PBAC noted the input</w:t>
      </w:r>
      <w:r w:rsidR="006A4AB9">
        <w:rPr>
          <w:rFonts w:asciiTheme="minorHAnsi" w:hAnsiTheme="minorHAnsi"/>
          <w:snapToGrid w:val="0"/>
          <w:lang w:val="en-GB"/>
        </w:rPr>
        <w:t xml:space="preserve"> highligh</w:t>
      </w:r>
      <w:r w:rsidR="008D48E5">
        <w:rPr>
          <w:rFonts w:asciiTheme="minorHAnsi" w:hAnsiTheme="minorHAnsi"/>
          <w:snapToGrid w:val="0"/>
          <w:lang w:val="en-GB"/>
        </w:rPr>
        <w:t>ted</w:t>
      </w:r>
      <w:r w:rsidR="006A4AB9">
        <w:rPr>
          <w:rFonts w:asciiTheme="minorHAnsi" w:hAnsiTheme="minorHAnsi"/>
          <w:snapToGrid w:val="0"/>
          <w:lang w:val="en-GB"/>
        </w:rPr>
        <w:t xml:space="preserve"> the</w:t>
      </w:r>
      <w:r w:rsidR="00FB1CD8">
        <w:rPr>
          <w:rFonts w:asciiTheme="minorHAnsi" w:hAnsiTheme="minorHAnsi"/>
          <w:snapToGrid w:val="0"/>
          <w:lang w:val="en-GB"/>
        </w:rPr>
        <w:t xml:space="preserve"> </w:t>
      </w:r>
      <w:r w:rsidR="00B32125">
        <w:rPr>
          <w:rFonts w:asciiTheme="minorHAnsi" w:hAnsiTheme="minorHAnsi"/>
          <w:snapToGrid w:val="0"/>
          <w:lang w:val="en-GB"/>
        </w:rPr>
        <w:t xml:space="preserve">need for </w:t>
      </w:r>
      <w:r w:rsidR="00F9465E">
        <w:rPr>
          <w:rFonts w:asciiTheme="minorHAnsi" w:hAnsiTheme="minorHAnsi"/>
          <w:snapToGrid w:val="0"/>
          <w:lang w:val="en-GB"/>
        </w:rPr>
        <w:t xml:space="preserve">additional treatment options for </w:t>
      </w:r>
      <w:r w:rsidR="00FB1CD8">
        <w:rPr>
          <w:rFonts w:asciiTheme="minorHAnsi" w:hAnsiTheme="minorHAnsi"/>
          <w:snapToGrid w:val="0"/>
          <w:lang w:val="en-GB"/>
        </w:rPr>
        <w:t xml:space="preserve">patients who are </w:t>
      </w:r>
      <w:r w:rsidR="00923634">
        <w:rPr>
          <w:rFonts w:asciiTheme="minorHAnsi" w:hAnsiTheme="minorHAnsi"/>
          <w:snapToGrid w:val="0"/>
          <w:lang w:val="en-GB"/>
        </w:rPr>
        <w:t xml:space="preserve">not </w:t>
      </w:r>
      <w:r w:rsidR="00FB1CD8">
        <w:rPr>
          <w:rFonts w:asciiTheme="minorHAnsi" w:hAnsiTheme="minorHAnsi"/>
          <w:snapToGrid w:val="0"/>
          <w:lang w:val="en-GB"/>
        </w:rPr>
        <w:t xml:space="preserve">suitable for ASCT </w:t>
      </w:r>
      <w:r w:rsidR="0055580C">
        <w:rPr>
          <w:rFonts w:asciiTheme="minorHAnsi" w:hAnsiTheme="minorHAnsi"/>
          <w:snapToGrid w:val="0"/>
          <w:lang w:val="en-GB"/>
        </w:rPr>
        <w:t>and</w:t>
      </w:r>
      <w:r w:rsidR="00FB1CD8">
        <w:rPr>
          <w:rFonts w:asciiTheme="minorHAnsi" w:hAnsiTheme="minorHAnsi"/>
          <w:snapToGrid w:val="0"/>
          <w:lang w:val="en-GB"/>
        </w:rPr>
        <w:t xml:space="preserve"> </w:t>
      </w:r>
      <w:r w:rsidR="00AD64AF">
        <w:rPr>
          <w:rFonts w:asciiTheme="minorHAnsi" w:hAnsiTheme="minorHAnsi"/>
          <w:snapToGrid w:val="0"/>
          <w:lang w:val="en-GB"/>
        </w:rPr>
        <w:t>ineligible</w:t>
      </w:r>
      <w:r w:rsidR="0055580C">
        <w:rPr>
          <w:rFonts w:asciiTheme="minorHAnsi" w:hAnsiTheme="minorHAnsi"/>
          <w:snapToGrid w:val="0"/>
          <w:lang w:val="en-GB"/>
        </w:rPr>
        <w:t xml:space="preserve"> or can’t </w:t>
      </w:r>
      <w:r w:rsidR="00A26797">
        <w:rPr>
          <w:rFonts w:asciiTheme="minorHAnsi" w:hAnsiTheme="minorHAnsi"/>
          <w:snapToGrid w:val="0"/>
          <w:lang w:val="en-GB"/>
        </w:rPr>
        <w:t xml:space="preserve">access </w:t>
      </w:r>
      <w:r w:rsidR="000940C3">
        <w:rPr>
          <w:rFonts w:asciiTheme="minorHAnsi" w:hAnsiTheme="minorHAnsi"/>
          <w:snapToGrid w:val="0"/>
          <w:lang w:val="en-GB"/>
        </w:rPr>
        <w:t>CAR-T cell therapy</w:t>
      </w:r>
      <w:r w:rsidR="00923634">
        <w:rPr>
          <w:rFonts w:asciiTheme="minorHAnsi" w:hAnsiTheme="minorHAnsi"/>
          <w:snapToGrid w:val="0"/>
          <w:lang w:val="en-GB"/>
        </w:rPr>
        <w:t xml:space="preserve">. </w:t>
      </w:r>
      <w:r w:rsidR="00FB1CD8">
        <w:rPr>
          <w:rFonts w:asciiTheme="minorHAnsi" w:hAnsiTheme="minorHAnsi"/>
          <w:snapToGrid w:val="0"/>
          <w:lang w:val="en-GB"/>
        </w:rPr>
        <w:t xml:space="preserve"> </w:t>
      </w:r>
    </w:p>
    <w:p w14:paraId="70BE6BBF" w14:textId="0DA5DB4C" w:rsidR="00D22019" w:rsidRDefault="008D4D11" w:rsidP="0090420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With regard to the proposed restriction, the PBAC advised that:</w:t>
      </w:r>
    </w:p>
    <w:p w14:paraId="3D38EDFC" w14:textId="77777777" w:rsidR="001E2817" w:rsidRDefault="00AE17DD" w:rsidP="008D4D11">
      <w:pPr>
        <w:pStyle w:val="3-BodyText"/>
        <w:numPr>
          <w:ilvl w:val="0"/>
          <w:numId w:val="15"/>
        </w:numPr>
        <w:spacing w:after="120"/>
        <w:rPr>
          <w:lang w:val="en-GB"/>
        </w:rPr>
      </w:pPr>
      <w:r>
        <w:rPr>
          <w:lang w:val="en-GB"/>
        </w:rPr>
        <w:t>An Authority Required (</w:t>
      </w:r>
      <w:r w:rsidR="00451D5C">
        <w:rPr>
          <w:lang w:val="en-GB"/>
        </w:rPr>
        <w:t>Telephone</w:t>
      </w:r>
      <w:r w:rsidR="00616487">
        <w:rPr>
          <w:lang w:val="en-GB"/>
        </w:rPr>
        <w:t xml:space="preserve">/Online PBS Authorities system) listing was appropriate for the </w:t>
      </w:r>
      <w:r w:rsidR="007E2D46">
        <w:rPr>
          <w:lang w:val="en-GB"/>
        </w:rPr>
        <w:t xml:space="preserve">initial, continuing and grandfathering </w:t>
      </w:r>
      <w:r w:rsidR="001E2817">
        <w:rPr>
          <w:lang w:val="en-GB"/>
        </w:rPr>
        <w:t xml:space="preserve">treatment </w:t>
      </w:r>
      <w:r w:rsidR="007E2D46">
        <w:rPr>
          <w:lang w:val="en-GB"/>
        </w:rPr>
        <w:t xml:space="preserve">listings of glofitamab. </w:t>
      </w:r>
    </w:p>
    <w:p w14:paraId="2A7FB3B0" w14:textId="43C1B9CE" w:rsidR="00C234BD" w:rsidRPr="00C234BD" w:rsidRDefault="00C234BD" w:rsidP="00C234BD">
      <w:pPr>
        <w:pStyle w:val="3-BodyText"/>
        <w:numPr>
          <w:ilvl w:val="0"/>
          <w:numId w:val="15"/>
        </w:numPr>
        <w:spacing w:after="120"/>
        <w:rPr>
          <w:lang w:val="en-GB"/>
        </w:rPr>
      </w:pPr>
      <w:r>
        <w:rPr>
          <w:lang w:val="en-GB"/>
        </w:rPr>
        <w:t xml:space="preserve">The maximum amounts should be specified in micrograms (see paragraph </w:t>
      </w:r>
      <w:r>
        <w:rPr>
          <w:lang w:val="en-GB"/>
        </w:rPr>
        <w:fldChar w:fldCharType="begin" w:fldLock="1"/>
      </w:r>
      <w:r>
        <w:rPr>
          <w:lang w:val="en-GB"/>
        </w:rPr>
        <w:instrText xml:space="preserve"> REF _Ref203660057 \r \h </w:instrText>
      </w:r>
      <w:r>
        <w:rPr>
          <w:lang w:val="en-GB"/>
        </w:rPr>
      </w:r>
      <w:r>
        <w:rPr>
          <w:lang w:val="en-GB"/>
        </w:rPr>
        <w:fldChar w:fldCharType="separate"/>
      </w:r>
      <w:r w:rsidR="008C7E69">
        <w:rPr>
          <w:lang w:val="en-GB"/>
        </w:rPr>
        <w:t>3.4</w:t>
      </w:r>
      <w:r>
        <w:rPr>
          <w:lang w:val="en-GB"/>
        </w:rPr>
        <w:fldChar w:fldCharType="end"/>
      </w:r>
      <w:r>
        <w:rPr>
          <w:lang w:val="en-GB"/>
        </w:rPr>
        <w:t xml:space="preserve">). </w:t>
      </w:r>
    </w:p>
    <w:p w14:paraId="6C14B9B0" w14:textId="595DEE31" w:rsidR="007747EC" w:rsidRPr="00391CFA" w:rsidRDefault="00DC5F2F" w:rsidP="00391CFA">
      <w:pPr>
        <w:pStyle w:val="3-BodyText"/>
        <w:numPr>
          <w:ilvl w:val="0"/>
          <w:numId w:val="15"/>
        </w:numPr>
        <w:spacing w:after="120"/>
        <w:rPr>
          <w:lang w:val="en-GB"/>
        </w:rPr>
      </w:pPr>
      <w:r>
        <w:rPr>
          <w:lang w:val="en-GB"/>
        </w:rPr>
        <w:t>The initial treatment restriction should be divided into two</w:t>
      </w:r>
      <w:r w:rsidR="009D530D">
        <w:rPr>
          <w:lang w:val="en-GB"/>
        </w:rPr>
        <w:t xml:space="preserve"> </w:t>
      </w:r>
      <w:r w:rsidR="007233D7">
        <w:rPr>
          <w:lang w:val="en-GB"/>
        </w:rPr>
        <w:t>prescriptions</w:t>
      </w:r>
      <w:r w:rsidR="00396723">
        <w:rPr>
          <w:lang w:val="en-GB"/>
        </w:rPr>
        <w:t xml:space="preserve"> </w:t>
      </w:r>
      <w:r w:rsidR="00917626">
        <w:rPr>
          <w:lang w:val="en-GB"/>
        </w:rPr>
        <w:t xml:space="preserve">with no repeats </w:t>
      </w:r>
      <w:r w:rsidR="001F4303">
        <w:rPr>
          <w:lang w:val="en-GB"/>
        </w:rPr>
        <w:t>to accommodate the</w:t>
      </w:r>
      <w:r w:rsidR="00E0241F">
        <w:rPr>
          <w:lang w:val="en-GB"/>
        </w:rPr>
        <w:t xml:space="preserve"> variance in dosing in </w:t>
      </w:r>
      <w:r w:rsidR="002F4193">
        <w:rPr>
          <w:lang w:val="en-GB"/>
        </w:rPr>
        <w:t>Cycle 1</w:t>
      </w:r>
      <w:r w:rsidR="00E0241F">
        <w:rPr>
          <w:lang w:val="en-GB"/>
        </w:rPr>
        <w:t xml:space="preserve"> </w:t>
      </w:r>
      <w:r w:rsidR="00396723">
        <w:rPr>
          <w:lang w:val="en-GB"/>
        </w:rPr>
        <w:t xml:space="preserve">(see paragraph </w:t>
      </w:r>
      <w:r w:rsidR="00396723">
        <w:rPr>
          <w:lang w:val="en-GB"/>
        </w:rPr>
        <w:fldChar w:fldCharType="begin" w:fldLock="1"/>
      </w:r>
      <w:r w:rsidR="00396723">
        <w:rPr>
          <w:lang w:val="en-GB"/>
        </w:rPr>
        <w:instrText xml:space="preserve"> REF _Ref203655360 \r \h </w:instrText>
      </w:r>
      <w:r w:rsidR="00396723">
        <w:rPr>
          <w:lang w:val="en-GB"/>
        </w:rPr>
      </w:r>
      <w:r w:rsidR="00396723">
        <w:rPr>
          <w:lang w:val="en-GB"/>
        </w:rPr>
        <w:fldChar w:fldCharType="separate"/>
      </w:r>
      <w:r w:rsidR="001570D0">
        <w:rPr>
          <w:lang w:val="en-GB"/>
        </w:rPr>
        <w:t>3.3</w:t>
      </w:r>
      <w:r w:rsidR="00396723">
        <w:rPr>
          <w:lang w:val="en-GB"/>
        </w:rPr>
        <w:fldChar w:fldCharType="end"/>
      </w:r>
      <w:r w:rsidR="00396723">
        <w:rPr>
          <w:lang w:val="en-GB"/>
        </w:rPr>
        <w:t>)</w:t>
      </w:r>
      <w:r w:rsidR="00942126">
        <w:rPr>
          <w:lang w:val="en-GB"/>
        </w:rPr>
        <w:t>.</w:t>
      </w:r>
      <w:r w:rsidR="00935BD5">
        <w:rPr>
          <w:lang w:val="en-GB"/>
        </w:rPr>
        <w:t xml:space="preserve"> </w:t>
      </w:r>
      <w:r w:rsidR="00B6562B" w:rsidRPr="00391CFA">
        <w:rPr>
          <w:lang w:val="en-GB"/>
        </w:rPr>
        <w:t xml:space="preserve">The continuing treatment restriction </w:t>
      </w:r>
      <w:r w:rsidR="00C72E06" w:rsidRPr="00391CFA">
        <w:rPr>
          <w:lang w:val="en-GB"/>
        </w:rPr>
        <w:t xml:space="preserve">should be amended to </w:t>
      </w:r>
      <w:r w:rsidR="00FE61B1" w:rsidRPr="00391CFA">
        <w:rPr>
          <w:lang w:val="en-GB"/>
        </w:rPr>
        <w:t>have 10 repeats t</w:t>
      </w:r>
      <w:r w:rsidR="007747EC" w:rsidRPr="00391CFA">
        <w:rPr>
          <w:lang w:val="en-GB"/>
        </w:rPr>
        <w:t xml:space="preserve">o allow </w:t>
      </w:r>
      <w:r w:rsidR="000F1526" w:rsidRPr="00391CFA">
        <w:rPr>
          <w:lang w:val="en-GB"/>
        </w:rPr>
        <w:t xml:space="preserve">the remaining doses from Cycle 2 to Cycle 12 to be provided. </w:t>
      </w:r>
    </w:p>
    <w:p w14:paraId="54C30FA6" w14:textId="33306FF0" w:rsidR="000F1526" w:rsidRDefault="001B4791" w:rsidP="000F1526">
      <w:pPr>
        <w:pStyle w:val="3-BodyText"/>
        <w:numPr>
          <w:ilvl w:val="0"/>
          <w:numId w:val="15"/>
        </w:numPr>
        <w:spacing w:after="120"/>
        <w:rPr>
          <w:lang w:val="en-GB"/>
        </w:rPr>
      </w:pPr>
      <w:r>
        <w:rPr>
          <w:lang w:val="en-GB"/>
        </w:rPr>
        <w:t>Clinical criteri</w:t>
      </w:r>
      <w:r w:rsidR="008B6220">
        <w:rPr>
          <w:lang w:val="en-GB"/>
        </w:rPr>
        <w:t>on</w:t>
      </w:r>
      <w:r>
        <w:rPr>
          <w:lang w:val="en-GB"/>
        </w:rPr>
        <w:t xml:space="preserve"> stating that the ‘Patient must be </w:t>
      </w:r>
      <w:r w:rsidR="007D2B76">
        <w:rPr>
          <w:lang w:val="en-GB"/>
        </w:rPr>
        <w:t xml:space="preserve">currently unable to receive treatment with </w:t>
      </w:r>
      <w:r w:rsidR="00FD17E7">
        <w:rPr>
          <w:lang w:val="en-GB"/>
        </w:rPr>
        <w:t>chi</w:t>
      </w:r>
      <w:r w:rsidR="003B6189">
        <w:rPr>
          <w:lang w:val="en-GB"/>
        </w:rPr>
        <w:t>meric antigen receptor-T (</w:t>
      </w:r>
      <w:r w:rsidR="007D2B76">
        <w:rPr>
          <w:lang w:val="en-GB"/>
        </w:rPr>
        <w:t>CAR-T</w:t>
      </w:r>
      <w:r w:rsidR="003B6189">
        <w:rPr>
          <w:lang w:val="en-GB"/>
        </w:rPr>
        <w:t>)</w:t>
      </w:r>
      <w:r w:rsidR="007D2B76">
        <w:rPr>
          <w:lang w:val="en-GB"/>
        </w:rPr>
        <w:t xml:space="preserve"> cell therapy for this condition</w:t>
      </w:r>
      <w:r w:rsidR="003B6189">
        <w:rPr>
          <w:lang w:val="en-GB"/>
        </w:rPr>
        <w:t xml:space="preserve">’ should be included in the </w:t>
      </w:r>
      <w:r w:rsidR="00D74552">
        <w:rPr>
          <w:lang w:val="en-GB"/>
        </w:rPr>
        <w:t>initial and grandfathering treatment restrictions</w:t>
      </w:r>
      <w:r w:rsidR="001B4130">
        <w:rPr>
          <w:lang w:val="en-GB"/>
        </w:rPr>
        <w:t xml:space="preserve"> to clarify the intended eligible patient population</w:t>
      </w:r>
      <w:r w:rsidR="00D74552">
        <w:rPr>
          <w:lang w:val="en-GB"/>
        </w:rPr>
        <w:t xml:space="preserve">. </w:t>
      </w:r>
    </w:p>
    <w:p w14:paraId="0ECBBB69" w14:textId="0695EBFC" w:rsidR="00C8254C" w:rsidRDefault="008B6220" w:rsidP="000F1526">
      <w:pPr>
        <w:pStyle w:val="3-BodyText"/>
        <w:numPr>
          <w:ilvl w:val="0"/>
          <w:numId w:val="15"/>
        </w:numPr>
        <w:spacing w:after="120"/>
        <w:rPr>
          <w:lang w:val="en-GB"/>
        </w:rPr>
      </w:pPr>
      <w:r>
        <w:rPr>
          <w:lang w:val="en-GB"/>
        </w:rPr>
        <w:t>The</w:t>
      </w:r>
      <w:r w:rsidR="002F1680">
        <w:rPr>
          <w:lang w:val="en-GB"/>
        </w:rPr>
        <w:t xml:space="preserve"> </w:t>
      </w:r>
      <w:r>
        <w:rPr>
          <w:lang w:val="en-GB"/>
        </w:rPr>
        <w:t>clinical criterion specifying that</w:t>
      </w:r>
      <w:r w:rsidR="00ED3D5E">
        <w:rPr>
          <w:lang w:val="en-GB"/>
        </w:rPr>
        <w:t xml:space="preserve"> ‘Patient must have relapsed or become refractory to at least one prior systemic therapy’ should be re</w:t>
      </w:r>
      <w:r w:rsidR="002F1680">
        <w:rPr>
          <w:lang w:val="en-GB"/>
        </w:rPr>
        <w:t xml:space="preserve">moved </w:t>
      </w:r>
      <w:r w:rsidR="000D7723">
        <w:rPr>
          <w:lang w:val="en-GB"/>
        </w:rPr>
        <w:t xml:space="preserve">(see paragraph </w:t>
      </w:r>
      <w:r w:rsidR="00C8254C">
        <w:rPr>
          <w:lang w:val="en-GB"/>
        </w:rPr>
        <w:fldChar w:fldCharType="begin" w:fldLock="1"/>
      </w:r>
      <w:r w:rsidR="00C8254C">
        <w:rPr>
          <w:lang w:val="en-GB"/>
        </w:rPr>
        <w:instrText xml:space="preserve"> REF _Ref203658544 \r \h </w:instrText>
      </w:r>
      <w:r w:rsidR="00C8254C">
        <w:rPr>
          <w:lang w:val="en-GB"/>
        </w:rPr>
      </w:r>
      <w:r w:rsidR="00C8254C">
        <w:rPr>
          <w:lang w:val="en-GB"/>
        </w:rPr>
        <w:fldChar w:fldCharType="separate"/>
      </w:r>
      <w:r w:rsidR="001570D0">
        <w:rPr>
          <w:lang w:val="en-GB"/>
        </w:rPr>
        <w:t>3.7</w:t>
      </w:r>
      <w:r w:rsidR="00C8254C">
        <w:rPr>
          <w:lang w:val="en-GB"/>
        </w:rPr>
        <w:fldChar w:fldCharType="end"/>
      </w:r>
      <w:r w:rsidR="00C8254C">
        <w:rPr>
          <w:lang w:val="en-GB"/>
        </w:rPr>
        <w:t xml:space="preserve">). </w:t>
      </w:r>
    </w:p>
    <w:p w14:paraId="347A77CD" w14:textId="7B3C6988" w:rsidR="00D74552" w:rsidRDefault="0046215C" w:rsidP="000F1526">
      <w:pPr>
        <w:pStyle w:val="3-BodyText"/>
        <w:numPr>
          <w:ilvl w:val="0"/>
          <w:numId w:val="15"/>
        </w:numPr>
        <w:spacing w:after="120"/>
        <w:rPr>
          <w:lang w:val="en-GB"/>
        </w:rPr>
      </w:pPr>
      <w:r>
        <w:rPr>
          <w:lang w:val="en-GB"/>
        </w:rPr>
        <w:t>Given the A</w:t>
      </w:r>
      <w:r w:rsidR="005A17FA">
        <w:rPr>
          <w:lang w:val="en-GB"/>
        </w:rPr>
        <w:t xml:space="preserve">dvisory Committee on Medicines (ACM) advice </w:t>
      </w:r>
      <w:r w:rsidR="009801E4">
        <w:rPr>
          <w:lang w:val="en-GB"/>
        </w:rPr>
        <w:t xml:space="preserve">that </w:t>
      </w:r>
      <w:r w:rsidR="00BD6E95" w:rsidRPr="00DB2C39">
        <w:rPr>
          <w:color w:val="000000"/>
          <w:w w:val="60"/>
          <w:shd w:val="solid" w:color="000000" w:fill="000000"/>
          <w:fitText w:val="466" w:id="-632053237"/>
          <w:lang w:val="en-GB"/>
          <w14:textFill>
            <w14:solidFill>
              <w14:srgbClr w14:val="000000">
                <w14:alpha w14:val="100000"/>
              </w14:srgbClr>
            </w14:solidFill>
          </w14:textFill>
        </w:rPr>
        <w:t>|||  ||</w:t>
      </w:r>
      <w:r w:rsidR="00BD6E95" w:rsidRPr="00DB2C39">
        <w:rPr>
          <w:color w:val="000000"/>
          <w:spacing w:val="2"/>
          <w:w w:val="60"/>
          <w:shd w:val="solid" w:color="000000" w:fill="000000"/>
          <w:fitText w:val="466" w:id="-632053237"/>
          <w:lang w:val="en-GB"/>
          <w14:textFill>
            <w14:solidFill>
              <w14:srgbClr w14:val="000000">
                <w14:alpha w14:val="100000"/>
              </w14:srgbClr>
            </w14:solidFill>
          </w14:textFill>
        </w:rPr>
        <w:t>|</w:t>
      </w:r>
      <w:r w:rsidR="004A2DAF">
        <w:rPr>
          <w:lang w:val="en-GB"/>
        </w:rPr>
        <w:t xml:space="preserve"> </w:t>
      </w:r>
      <w:r w:rsidR="003F2A1E">
        <w:rPr>
          <w:lang w:val="en-GB"/>
        </w:rPr>
        <w:t>(see paragraph</w:t>
      </w:r>
      <w:r w:rsidR="008B6220">
        <w:rPr>
          <w:lang w:val="en-GB"/>
        </w:rPr>
        <w:t xml:space="preserve"> </w:t>
      </w:r>
      <w:r w:rsidR="002D112D">
        <w:rPr>
          <w:lang w:val="en-GB"/>
        </w:rPr>
        <w:fldChar w:fldCharType="begin" w:fldLock="1"/>
      </w:r>
      <w:r w:rsidR="002D112D">
        <w:rPr>
          <w:lang w:val="en-GB"/>
        </w:rPr>
        <w:instrText xml:space="preserve"> REF _Ref203659117 \r \h </w:instrText>
      </w:r>
      <w:r w:rsidR="002D112D">
        <w:rPr>
          <w:lang w:val="en-GB"/>
        </w:rPr>
      </w:r>
      <w:r w:rsidR="002D112D">
        <w:rPr>
          <w:lang w:val="en-GB"/>
        </w:rPr>
        <w:fldChar w:fldCharType="separate"/>
      </w:r>
      <w:r w:rsidR="001570D0">
        <w:rPr>
          <w:lang w:val="en-GB"/>
        </w:rPr>
        <w:t>2.2</w:t>
      </w:r>
      <w:r w:rsidR="002D112D">
        <w:rPr>
          <w:lang w:val="en-GB"/>
        </w:rPr>
        <w:fldChar w:fldCharType="end"/>
      </w:r>
      <w:r w:rsidR="002D112D">
        <w:rPr>
          <w:lang w:val="en-GB"/>
        </w:rPr>
        <w:t>)</w:t>
      </w:r>
      <w:r w:rsidR="007A1FC3">
        <w:rPr>
          <w:lang w:val="en-GB"/>
        </w:rPr>
        <w:t>,</w:t>
      </w:r>
      <w:r w:rsidR="002D112D">
        <w:rPr>
          <w:lang w:val="en-GB"/>
        </w:rPr>
        <w:t xml:space="preserve"> the following prescribing instruction </w:t>
      </w:r>
      <w:r w:rsidR="000259CA">
        <w:rPr>
          <w:lang w:val="en-GB"/>
        </w:rPr>
        <w:t>‘This drug is not PBS-subsidised if it is administered to an in</w:t>
      </w:r>
      <w:r w:rsidR="00256FCA">
        <w:rPr>
          <w:lang w:val="en-GB"/>
        </w:rPr>
        <w:t xml:space="preserve">-patient in a public hospital setting’ should be included in the Initial treatment (cycle 1 – day 8) restriction. </w:t>
      </w:r>
    </w:p>
    <w:p w14:paraId="7AFB1FBA" w14:textId="7516AE09" w:rsidR="00610F25" w:rsidRDefault="00610F25" w:rsidP="008014A3">
      <w:pPr>
        <w:pStyle w:val="3-BodyText"/>
        <w:numPr>
          <w:ilvl w:val="0"/>
          <w:numId w:val="15"/>
        </w:numPr>
        <w:spacing w:after="120"/>
        <w:rPr>
          <w:lang w:val="en-GB"/>
        </w:rPr>
      </w:pPr>
      <w:r>
        <w:rPr>
          <w:lang w:val="en-GB"/>
        </w:rPr>
        <w:t xml:space="preserve">Clinical criteria should be included in the </w:t>
      </w:r>
      <w:r w:rsidR="00384FE5">
        <w:rPr>
          <w:lang w:val="en-GB"/>
        </w:rPr>
        <w:t xml:space="preserve">glofitamab </w:t>
      </w:r>
      <w:r>
        <w:rPr>
          <w:lang w:val="en-GB"/>
        </w:rPr>
        <w:t>restriction</w:t>
      </w:r>
      <w:r w:rsidR="00384FE5">
        <w:rPr>
          <w:lang w:val="en-GB"/>
        </w:rPr>
        <w:t>s</w:t>
      </w:r>
      <w:r>
        <w:rPr>
          <w:lang w:val="en-GB"/>
        </w:rPr>
        <w:t xml:space="preserve"> to</w:t>
      </w:r>
      <w:r w:rsidR="00752AD1">
        <w:rPr>
          <w:lang w:val="en-GB"/>
        </w:rPr>
        <w:t xml:space="preserve"> allow for de</w:t>
      </w:r>
      <w:r>
        <w:rPr>
          <w:lang w:val="en-GB"/>
        </w:rPr>
        <w:t>-escalation</w:t>
      </w:r>
      <w:r w:rsidR="00384FE5">
        <w:rPr>
          <w:lang w:val="en-GB"/>
        </w:rPr>
        <w:t xml:space="preserve"> where appropriate</w:t>
      </w:r>
      <w:r>
        <w:rPr>
          <w:lang w:val="en-GB"/>
        </w:rPr>
        <w:t xml:space="preserve"> of one or both chemotherapy components. </w:t>
      </w:r>
    </w:p>
    <w:p w14:paraId="5DDD3CF9" w14:textId="3ED6A2AB" w:rsidR="008014A3" w:rsidRDefault="008014A3" w:rsidP="008014A3">
      <w:pPr>
        <w:pStyle w:val="3-BodyText"/>
        <w:numPr>
          <w:ilvl w:val="0"/>
          <w:numId w:val="15"/>
        </w:numPr>
        <w:spacing w:after="120"/>
        <w:rPr>
          <w:lang w:val="en-GB"/>
        </w:rPr>
      </w:pPr>
      <w:r>
        <w:rPr>
          <w:lang w:val="en-GB"/>
        </w:rPr>
        <w:t>Clinical criterion specifying patients must not have developed disease progression should be included in the continuing</w:t>
      </w:r>
      <w:r w:rsidR="00B32AE9">
        <w:rPr>
          <w:lang w:val="en-GB"/>
        </w:rPr>
        <w:t xml:space="preserve"> and grandfathering</w:t>
      </w:r>
      <w:r>
        <w:rPr>
          <w:lang w:val="en-GB"/>
        </w:rPr>
        <w:t xml:space="preserve"> treatment restriction</w:t>
      </w:r>
      <w:r w:rsidR="00B32AE9">
        <w:rPr>
          <w:lang w:val="en-GB"/>
        </w:rPr>
        <w:t>s</w:t>
      </w:r>
      <w:r>
        <w:rPr>
          <w:lang w:val="en-GB"/>
        </w:rPr>
        <w:t xml:space="preserve">. </w:t>
      </w:r>
    </w:p>
    <w:p w14:paraId="4EB68354" w14:textId="357FC780" w:rsidR="00D61D53" w:rsidRDefault="00D61D53" w:rsidP="008014A3">
      <w:pPr>
        <w:pStyle w:val="3-BodyText"/>
        <w:numPr>
          <w:ilvl w:val="0"/>
          <w:numId w:val="15"/>
        </w:numPr>
        <w:spacing w:after="120"/>
        <w:rPr>
          <w:lang w:val="en-GB"/>
        </w:rPr>
      </w:pPr>
      <w:r>
        <w:rPr>
          <w:lang w:val="en-GB"/>
        </w:rPr>
        <w:t xml:space="preserve">A grandfathering restriction would be required for patients currently accessing glofitamab through an existing access program. </w:t>
      </w:r>
    </w:p>
    <w:p w14:paraId="1DF574CA" w14:textId="1BC23ADF" w:rsidR="00D61D53" w:rsidRDefault="00D61D53" w:rsidP="00D61D53">
      <w:pPr>
        <w:pStyle w:val="3-BodyText"/>
        <w:numPr>
          <w:ilvl w:val="0"/>
          <w:numId w:val="15"/>
        </w:numPr>
        <w:spacing w:after="120"/>
        <w:rPr>
          <w:lang w:val="en-GB"/>
        </w:rPr>
      </w:pPr>
      <w:r>
        <w:rPr>
          <w:lang w:val="en-GB"/>
        </w:rPr>
        <w:t xml:space="preserve">An Authority Required (Streamlined) Section 100 Efficient Funding of Chemotherapy listing was appropriate for the ‘Pre-treatment prior to initiation of glofitamab’ listing of obinutuzumab as the risk of use outside of the intended indication was low. </w:t>
      </w:r>
    </w:p>
    <w:p w14:paraId="77E2C740" w14:textId="396C721D" w:rsidR="00372E65" w:rsidRDefault="009B6FCA" w:rsidP="008014A3">
      <w:pPr>
        <w:pStyle w:val="3-BodyText"/>
        <w:numPr>
          <w:ilvl w:val="0"/>
          <w:numId w:val="15"/>
        </w:numPr>
        <w:spacing w:after="120"/>
        <w:rPr>
          <w:lang w:val="en-GB"/>
        </w:rPr>
      </w:pPr>
      <w:r>
        <w:rPr>
          <w:lang w:val="en-GB"/>
        </w:rPr>
        <w:t xml:space="preserve">Flow on changes to </w:t>
      </w:r>
      <w:r w:rsidR="004B769E">
        <w:rPr>
          <w:lang w:val="en-GB"/>
        </w:rPr>
        <w:t>the current epcoritamab listing w</w:t>
      </w:r>
      <w:r w:rsidR="00E9423C">
        <w:rPr>
          <w:lang w:val="en-GB"/>
        </w:rPr>
        <w:t>ould be</w:t>
      </w:r>
      <w:r w:rsidR="004B769E">
        <w:rPr>
          <w:lang w:val="en-GB"/>
        </w:rPr>
        <w:t xml:space="preserve"> required </w:t>
      </w:r>
      <w:r w:rsidR="00E9423C">
        <w:rPr>
          <w:lang w:val="en-GB"/>
        </w:rPr>
        <w:t>to exclude use after second-line glofitamab.</w:t>
      </w:r>
      <w:r w:rsidR="004B769E">
        <w:rPr>
          <w:lang w:val="en-GB"/>
        </w:rPr>
        <w:t xml:space="preserve"> </w:t>
      </w:r>
    </w:p>
    <w:p w14:paraId="6BE50A3B" w14:textId="1649490C" w:rsidR="0076031C" w:rsidRPr="0076031C" w:rsidRDefault="0076031C" w:rsidP="0076031C">
      <w:pPr>
        <w:widowControl w:val="0"/>
        <w:numPr>
          <w:ilvl w:val="1"/>
          <w:numId w:val="1"/>
        </w:numPr>
        <w:spacing w:after="120"/>
        <w:rPr>
          <w:rFonts w:asciiTheme="minorHAnsi" w:hAnsiTheme="minorHAnsi"/>
          <w:snapToGrid w:val="0"/>
          <w:lang w:val="en-GB"/>
        </w:rPr>
      </w:pPr>
      <w:r w:rsidRPr="0076031C">
        <w:rPr>
          <w:rFonts w:asciiTheme="minorHAnsi" w:hAnsiTheme="minorHAnsi"/>
          <w:snapToGrid w:val="0"/>
          <w:lang w:val="en-GB"/>
        </w:rPr>
        <w:t xml:space="preserve">The PBAC considered that amendment of the proposed restriction to include reference to </w:t>
      </w:r>
      <w:r w:rsidR="000940C3">
        <w:rPr>
          <w:rFonts w:asciiTheme="minorHAnsi" w:hAnsiTheme="minorHAnsi"/>
          <w:snapToGrid w:val="0"/>
          <w:lang w:val="en-GB"/>
        </w:rPr>
        <w:t>CAR-T cell therapy</w:t>
      </w:r>
      <w:r w:rsidRPr="0076031C">
        <w:rPr>
          <w:rFonts w:asciiTheme="minorHAnsi" w:hAnsiTheme="minorHAnsi"/>
          <w:snapToGrid w:val="0"/>
          <w:lang w:val="en-GB"/>
        </w:rPr>
        <w:t xml:space="preserve"> suitability clarified the intended eligible PBS population and agreed with the ESC that R-</w:t>
      </w:r>
      <w:proofErr w:type="spellStart"/>
      <w:r w:rsidRPr="0076031C">
        <w:rPr>
          <w:rFonts w:asciiTheme="minorHAnsi" w:hAnsiTheme="minorHAnsi"/>
          <w:snapToGrid w:val="0"/>
          <w:lang w:val="en-GB"/>
        </w:rPr>
        <w:t>GemOx</w:t>
      </w:r>
      <w:proofErr w:type="spellEnd"/>
      <w:r w:rsidRPr="0076031C">
        <w:rPr>
          <w:rFonts w:asciiTheme="minorHAnsi" w:hAnsiTheme="minorHAnsi"/>
          <w:snapToGrid w:val="0"/>
          <w:lang w:val="en-GB"/>
        </w:rPr>
        <w:t xml:space="preserve"> as the main comparator was appropriate. </w:t>
      </w:r>
    </w:p>
    <w:p w14:paraId="6EFFE38D" w14:textId="49F4869D" w:rsidR="00196764" w:rsidRPr="001C64D6" w:rsidRDefault="00196764" w:rsidP="001C64D6">
      <w:pPr>
        <w:widowControl w:val="0"/>
        <w:numPr>
          <w:ilvl w:val="1"/>
          <w:numId w:val="1"/>
        </w:numPr>
        <w:spacing w:after="120"/>
        <w:rPr>
          <w:rFonts w:asciiTheme="minorHAnsi" w:hAnsiTheme="minorHAnsi"/>
          <w:snapToGrid w:val="0"/>
          <w:lang w:val="en-GB"/>
        </w:rPr>
      </w:pPr>
      <w:r w:rsidRPr="00196764">
        <w:rPr>
          <w:rFonts w:asciiTheme="minorHAnsi" w:hAnsiTheme="minorHAnsi"/>
          <w:snapToGrid w:val="0"/>
          <w:lang w:val="en-GB"/>
        </w:rPr>
        <w:t xml:space="preserve">The PBAC noted the submission was supported by </w:t>
      </w:r>
      <w:r w:rsidR="00E35EB7">
        <w:rPr>
          <w:rFonts w:asciiTheme="minorHAnsi" w:hAnsiTheme="minorHAnsi"/>
          <w:snapToGrid w:val="0"/>
          <w:lang w:val="en-GB"/>
        </w:rPr>
        <w:t>the STARGLO trial, a</w:t>
      </w:r>
      <w:r w:rsidRPr="00196764">
        <w:rPr>
          <w:rFonts w:asciiTheme="minorHAnsi" w:hAnsiTheme="minorHAnsi"/>
          <w:snapToGrid w:val="0"/>
          <w:lang w:val="en-GB"/>
        </w:rPr>
        <w:t xml:space="preserve"> Phase </w:t>
      </w:r>
      <w:proofErr w:type="gramStart"/>
      <w:r w:rsidRPr="00196764">
        <w:rPr>
          <w:rFonts w:asciiTheme="minorHAnsi" w:hAnsiTheme="minorHAnsi"/>
          <w:snapToGrid w:val="0"/>
          <w:lang w:val="en-GB"/>
        </w:rPr>
        <w:t>III</w:t>
      </w:r>
      <w:r w:rsidR="000C3468">
        <w:rPr>
          <w:rFonts w:asciiTheme="minorHAnsi" w:hAnsiTheme="minorHAnsi"/>
          <w:snapToGrid w:val="0"/>
          <w:lang w:val="en-GB"/>
        </w:rPr>
        <w:t xml:space="preserve"> </w:t>
      </w:r>
      <w:r w:rsidRPr="00196764">
        <w:rPr>
          <w:rFonts w:asciiTheme="minorHAnsi" w:hAnsiTheme="minorHAnsi"/>
          <w:snapToGrid w:val="0"/>
          <w:lang w:val="en-GB"/>
        </w:rPr>
        <w:t xml:space="preserve"> randomised</w:t>
      </w:r>
      <w:proofErr w:type="gramEnd"/>
      <w:r w:rsidRPr="00196764">
        <w:rPr>
          <w:rFonts w:asciiTheme="minorHAnsi" w:hAnsiTheme="minorHAnsi"/>
          <w:snapToGrid w:val="0"/>
          <w:lang w:val="en-GB"/>
        </w:rPr>
        <w:t>, open label trial comparing Glofit-GemOx with R-</w:t>
      </w:r>
      <w:proofErr w:type="spellStart"/>
      <w:r w:rsidRPr="00196764">
        <w:rPr>
          <w:rFonts w:asciiTheme="minorHAnsi" w:hAnsiTheme="minorHAnsi"/>
          <w:snapToGrid w:val="0"/>
          <w:lang w:val="en-GB"/>
        </w:rPr>
        <w:t>GemOx</w:t>
      </w:r>
      <w:proofErr w:type="spellEnd"/>
      <w:r w:rsidR="00EB541E">
        <w:rPr>
          <w:rFonts w:asciiTheme="minorHAnsi" w:hAnsiTheme="minorHAnsi"/>
          <w:snapToGrid w:val="0"/>
          <w:lang w:val="en-GB"/>
        </w:rPr>
        <w:t>.</w:t>
      </w:r>
      <w:r w:rsidR="000C3468">
        <w:rPr>
          <w:rFonts w:asciiTheme="minorHAnsi" w:hAnsiTheme="minorHAnsi"/>
          <w:snapToGrid w:val="0"/>
          <w:lang w:val="en-GB"/>
        </w:rPr>
        <w:t xml:space="preserve"> </w:t>
      </w:r>
      <w:r w:rsidR="00EE420B">
        <w:rPr>
          <w:rFonts w:asciiTheme="minorHAnsi" w:hAnsiTheme="minorHAnsi"/>
          <w:snapToGrid w:val="0"/>
          <w:lang w:val="en-GB"/>
        </w:rPr>
        <w:t xml:space="preserve">The PBAC noted concerns </w:t>
      </w:r>
      <w:r w:rsidR="002C5C19">
        <w:rPr>
          <w:rFonts w:asciiTheme="minorHAnsi" w:hAnsiTheme="minorHAnsi"/>
          <w:snapToGrid w:val="0"/>
          <w:lang w:val="en-GB"/>
        </w:rPr>
        <w:t xml:space="preserve">raised </w:t>
      </w:r>
      <w:r w:rsidR="00270441">
        <w:rPr>
          <w:rFonts w:asciiTheme="minorHAnsi" w:hAnsiTheme="minorHAnsi"/>
          <w:snapToGrid w:val="0"/>
          <w:lang w:val="en-GB"/>
        </w:rPr>
        <w:t>during the evaluation</w:t>
      </w:r>
      <w:r w:rsidR="002C5C19">
        <w:rPr>
          <w:rFonts w:asciiTheme="minorHAnsi" w:hAnsiTheme="minorHAnsi"/>
          <w:snapToGrid w:val="0"/>
          <w:lang w:val="en-GB"/>
        </w:rPr>
        <w:t xml:space="preserve"> </w:t>
      </w:r>
      <w:r w:rsidR="00AE14DB">
        <w:rPr>
          <w:rFonts w:asciiTheme="minorHAnsi" w:hAnsiTheme="minorHAnsi"/>
          <w:snapToGrid w:val="0"/>
          <w:lang w:val="en-GB"/>
        </w:rPr>
        <w:t>that patient</w:t>
      </w:r>
      <w:r w:rsidR="00593481">
        <w:rPr>
          <w:rFonts w:asciiTheme="minorHAnsi" w:hAnsiTheme="minorHAnsi"/>
          <w:snapToGrid w:val="0"/>
          <w:lang w:val="en-GB"/>
        </w:rPr>
        <w:t xml:space="preserve"> in the comparator arm of STARGLO </w:t>
      </w:r>
      <w:r w:rsidR="00013A9F">
        <w:rPr>
          <w:rFonts w:asciiTheme="minorHAnsi" w:hAnsiTheme="minorHAnsi"/>
          <w:snapToGrid w:val="0"/>
          <w:lang w:val="en-GB"/>
        </w:rPr>
        <w:t>(R-</w:t>
      </w:r>
      <w:proofErr w:type="spellStart"/>
      <w:r w:rsidR="00013A9F">
        <w:rPr>
          <w:rFonts w:asciiTheme="minorHAnsi" w:hAnsiTheme="minorHAnsi"/>
          <w:snapToGrid w:val="0"/>
          <w:lang w:val="en-GB"/>
        </w:rPr>
        <w:t>GemOx</w:t>
      </w:r>
      <w:proofErr w:type="spellEnd"/>
      <w:r w:rsidR="00013A9F">
        <w:rPr>
          <w:rFonts w:asciiTheme="minorHAnsi" w:hAnsiTheme="minorHAnsi"/>
          <w:snapToGrid w:val="0"/>
          <w:lang w:val="en-GB"/>
        </w:rPr>
        <w:t xml:space="preserve"> administered over 21-day cycles) received a lower dose of </w:t>
      </w:r>
      <w:r w:rsidR="002C6FC3">
        <w:rPr>
          <w:rFonts w:asciiTheme="minorHAnsi" w:hAnsiTheme="minorHAnsi"/>
          <w:snapToGrid w:val="0"/>
          <w:lang w:val="en-GB"/>
        </w:rPr>
        <w:t>R-</w:t>
      </w:r>
      <w:proofErr w:type="spellStart"/>
      <w:r w:rsidR="002C6FC3">
        <w:rPr>
          <w:rFonts w:asciiTheme="minorHAnsi" w:hAnsiTheme="minorHAnsi"/>
          <w:snapToGrid w:val="0"/>
          <w:lang w:val="en-GB"/>
        </w:rPr>
        <w:t>GemOx</w:t>
      </w:r>
      <w:proofErr w:type="spellEnd"/>
      <w:r w:rsidR="002C6FC3">
        <w:rPr>
          <w:rFonts w:asciiTheme="minorHAnsi" w:hAnsiTheme="minorHAnsi"/>
          <w:snapToGrid w:val="0"/>
          <w:lang w:val="en-GB"/>
        </w:rPr>
        <w:t xml:space="preserve"> than recommended in Australian guidelines (R-</w:t>
      </w:r>
      <w:proofErr w:type="spellStart"/>
      <w:r w:rsidR="002C6FC3">
        <w:rPr>
          <w:rFonts w:asciiTheme="minorHAnsi" w:hAnsiTheme="minorHAnsi"/>
          <w:snapToGrid w:val="0"/>
          <w:lang w:val="en-GB"/>
        </w:rPr>
        <w:t>GemOx</w:t>
      </w:r>
      <w:proofErr w:type="spellEnd"/>
      <w:r w:rsidR="00F777F2">
        <w:rPr>
          <w:rFonts w:asciiTheme="minorHAnsi" w:hAnsiTheme="minorHAnsi"/>
          <w:snapToGrid w:val="0"/>
          <w:lang w:val="en-GB"/>
        </w:rPr>
        <w:t xml:space="preserve"> administered over 14-day cycles). </w:t>
      </w:r>
      <w:r w:rsidR="004E71AF">
        <w:rPr>
          <w:rFonts w:asciiTheme="minorHAnsi" w:hAnsiTheme="minorHAnsi"/>
          <w:snapToGrid w:val="0"/>
        </w:rPr>
        <w:t xml:space="preserve">The PBAC agreed with the </w:t>
      </w:r>
      <w:r w:rsidR="008850FA">
        <w:rPr>
          <w:rFonts w:asciiTheme="minorHAnsi" w:hAnsiTheme="minorHAnsi"/>
          <w:snapToGrid w:val="0"/>
        </w:rPr>
        <w:t xml:space="preserve">ESC and </w:t>
      </w:r>
      <w:r w:rsidR="008850FA" w:rsidRPr="00FA7958">
        <w:rPr>
          <w:rFonts w:asciiTheme="minorHAnsi" w:hAnsiTheme="minorHAnsi"/>
          <w:snapToGrid w:val="0"/>
        </w:rPr>
        <w:t>ACM</w:t>
      </w:r>
      <w:r w:rsidR="008850FA">
        <w:rPr>
          <w:rFonts w:asciiTheme="minorHAnsi" w:hAnsiTheme="minorHAnsi"/>
          <w:snapToGrid w:val="0"/>
        </w:rPr>
        <w:t xml:space="preserve"> </w:t>
      </w:r>
      <w:r w:rsidR="004E71AF">
        <w:rPr>
          <w:rFonts w:asciiTheme="minorHAnsi" w:hAnsiTheme="minorHAnsi"/>
          <w:snapToGrid w:val="0"/>
        </w:rPr>
        <w:t xml:space="preserve">that </w:t>
      </w:r>
      <w:r w:rsidR="00994976">
        <w:rPr>
          <w:rFonts w:asciiTheme="minorHAnsi" w:hAnsiTheme="minorHAnsi"/>
          <w:snapToGrid w:val="0"/>
        </w:rPr>
        <w:t xml:space="preserve">tolerability </w:t>
      </w:r>
      <w:r w:rsidR="0019381A">
        <w:rPr>
          <w:rFonts w:asciiTheme="minorHAnsi" w:hAnsiTheme="minorHAnsi"/>
          <w:snapToGrid w:val="0"/>
        </w:rPr>
        <w:t xml:space="preserve">issues meant that </w:t>
      </w:r>
      <w:r w:rsidR="00931966">
        <w:rPr>
          <w:rFonts w:asciiTheme="minorHAnsi" w:hAnsiTheme="minorHAnsi"/>
          <w:snapToGrid w:val="0"/>
        </w:rPr>
        <w:t>21-day</w:t>
      </w:r>
      <w:r w:rsidR="004E71AF">
        <w:rPr>
          <w:rFonts w:asciiTheme="minorHAnsi" w:hAnsiTheme="minorHAnsi"/>
          <w:snapToGrid w:val="0"/>
        </w:rPr>
        <w:t xml:space="preserve"> R-</w:t>
      </w:r>
      <w:proofErr w:type="spellStart"/>
      <w:r w:rsidR="004E71AF">
        <w:rPr>
          <w:rFonts w:asciiTheme="minorHAnsi" w:hAnsiTheme="minorHAnsi"/>
          <w:snapToGrid w:val="0"/>
        </w:rPr>
        <w:t>GemOx</w:t>
      </w:r>
      <w:proofErr w:type="spellEnd"/>
      <w:r w:rsidR="004E71AF">
        <w:rPr>
          <w:rFonts w:asciiTheme="minorHAnsi" w:hAnsiTheme="minorHAnsi"/>
          <w:snapToGrid w:val="0"/>
        </w:rPr>
        <w:t xml:space="preserve"> cycles were </w:t>
      </w:r>
      <w:r w:rsidR="0019381A">
        <w:rPr>
          <w:rFonts w:asciiTheme="minorHAnsi" w:hAnsiTheme="minorHAnsi"/>
          <w:snapToGrid w:val="0"/>
        </w:rPr>
        <w:t xml:space="preserve">common in Australian </w:t>
      </w:r>
      <w:r w:rsidR="00A76EE4">
        <w:rPr>
          <w:rFonts w:asciiTheme="minorHAnsi" w:hAnsiTheme="minorHAnsi"/>
          <w:snapToGrid w:val="0"/>
        </w:rPr>
        <w:t>clinical practice</w:t>
      </w:r>
      <w:r w:rsidR="00A50A12">
        <w:rPr>
          <w:rFonts w:asciiTheme="minorHAnsi" w:hAnsiTheme="minorHAnsi"/>
          <w:snapToGrid w:val="0"/>
        </w:rPr>
        <w:t xml:space="preserve"> (see pa</w:t>
      </w:r>
      <w:r w:rsidR="003C0571">
        <w:rPr>
          <w:rFonts w:asciiTheme="minorHAnsi" w:hAnsiTheme="minorHAnsi"/>
          <w:snapToGrid w:val="0"/>
        </w:rPr>
        <w:t xml:space="preserve">ragraph </w:t>
      </w:r>
      <w:r w:rsidR="00D36A80">
        <w:rPr>
          <w:rFonts w:asciiTheme="minorHAnsi" w:hAnsiTheme="minorHAnsi"/>
          <w:snapToGrid w:val="0"/>
        </w:rPr>
        <w:fldChar w:fldCharType="begin" w:fldLock="1"/>
      </w:r>
      <w:r w:rsidR="00D36A80">
        <w:rPr>
          <w:rFonts w:asciiTheme="minorHAnsi" w:hAnsiTheme="minorHAnsi"/>
          <w:snapToGrid w:val="0"/>
        </w:rPr>
        <w:instrText xml:space="preserve"> REF _Ref203659117 \r \h </w:instrText>
      </w:r>
      <w:r w:rsidR="00D36A80">
        <w:rPr>
          <w:rFonts w:asciiTheme="minorHAnsi" w:hAnsiTheme="minorHAnsi"/>
          <w:snapToGrid w:val="0"/>
        </w:rPr>
      </w:r>
      <w:r w:rsidR="00D36A80">
        <w:rPr>
          <w:rFonts w:asciiTheme="minorHAnsi" w:hAnsiTheme="minorHAnsi"/>
          <w:snapToGrid w:val="0"/>
        </w:rPr>
        <w:fldChar w:fldCharType="separate"/>
      </w:r>
      <w:r w:rsidR="00AE14DB">
        <w:rPr>
          <w:rFonts w:asciiTheme="minorHAnsi" w:hAnsiTheme="minorHAnsi"/>
          <w:snapToGrid w:val="0"/>
        </w:rPr>
        <w:t>2.2</w:t>
      </w:r>
      <w:r w:rsidR="00D36A80">
        <w:rPr>
          <w:rFonts w:asciiTheme="minorHAnsi" w:hAnsiTheme="minorHAnsi"/>
          <w:snapToGrid w:val="0"/>
        </w:rPr>
        <w:fldChar w:fldCharType="end"/>
      </w:r>
      <w:r w:rsidR="00D36A80">
        <w:rPr>
          <w:rFonts w:asciiTheme="minorHAnsi" w:hAnsiTheme="minorHAnsi"/>
          <w:snapToGrid w:val="0"/>
        </w:rPr>
        <w:t xml:space="preserve"> and </w:t>
      </w:r>
      <w:r w:rsidR="00366758">
        <w:rPr>
          <w:rFonts w:asciiTheme="minorHAnsi" w:hAnsiTheme="minorHAnsi"/>
          <w:snapToGrid w:val="0"/>
        </w:rPr>
        <w:fldChar w:fldCharType="begin" w:fldLock="1"/>
      </w:r>
      <w:r w:rsidR="00366758">
        <w:rPr>
          <w:rFonts w:asciiTheme="minorHAnsi" w:hAnsiTheme="minorHAnsi"/>
          <w:snapToGrid w:val="0"/>
        </w:rPr>
        <w:instrText xml:space="preserve"> REF _Ref203990536 \r \h </w:instrText>
      </w:r>
      <w:r w:rsidR="00366758">
        <w:rPr>
          <w:rFonts w:asciiTheme="minorHAnsi" w:hAnsiTheme="minorHAnsi"/>
          <w:snapToGrid w:val="0"/>
        </w:rPr>
      </w:r>
      <w:r w:rsidR="00366758">
        <w:rPr>
          <w:rFonts w:asciiTheme="minorHAnsi" w:hAnsiTheme="minorHAnsi"/>
          <w:snapToGrid w:val="0"/>
        </w:rPr>
        <w:fldChar w:fldCharType="separate"/>
      </w:r>
      <w:r w:rsidR="00AE14DB">
        <w:rPr>
          <w:rFonts w:asciiTheme="minorHAnsi" w:hAnsiTheme="minorHAnsi"/>
          <w:snapToGrid w:val="0"/>
        </w:rPr>
        <w:t>5.1</w:t>
      </w:r>
      <w:r w:rsidR="00366758">
        <w:rPr>
          <w:rFonts w:asciiTheme="minorHAnsi" w:hAnsiTheme="minorHAnsi"/>
          <w:snapToGrid w:val="0"/>
        </w:rPr>
        <w:fldChar w:fldCharType="end"/>
      </w:r>
      <w:r w:rsidR="00366758">
        <w:rPr>
          <w:rFonts w:asciiTheme="minorHAnsi" w:hAnsiTheme="minorHAnsi"/>
          <w:snapToGrid w:val="0"/>
        </w:rPr>
        <w:t>)</w:t>
      </w:r>
      <w:r w:rsidR="005B03BA">
        <w:rPr>
          <w:rFonts w:asciiTheme="minorHAnsi" w:hAnsiTheme="minorHAnsi"/>
          <w:snapToGrid w:val="0"/>
        </w:rPr>
        <w:t xml:space="preserve"> and considered that it was </w:t>
      </w:r>
      <w:r w:rsidR="006971DF">
        <w:rPr>
          <w:rFonts w:asciiTheme="minorHAnsi" w:hAnsiTheme="minorHAnsi"/>
          <w:snapToGrid w:val="0"/>
        </w:rPr>
        <w:t>unlikely that there was any practical difference between 21-day and 14-day cycles in this instance</w:t>
      </w:r>
      <w:r w:rsidR="00A50A12">
        <w:rPr>
          <w:rFonts w:asciiTheme="minorHAnsi" w:hAnsiTheme="minorHAnsi"/>
          <w:snapToGrid w:val="0"/>
        </w:rPr>
        <w:t xml:space="preserve">. </w:t>
      </w:r>
      <w:r w:rsidR="00547EBE">
        <w:rPr>
          <w:rFonts w:asciiTheme="minorHAnsi" w:hAnsiTheme="minorHAnsi"/>
          <w:snapToGrid w:val="0"/>
        </w:rPr>
        <w:t xml:space="preserve">In addition, </w:t>
      </w:r>
      <w:r w:rsidR="001C64D6">
        <w:rPr>
          <w:rFonts w:asciiTheme="minorHAnsi" w:hAnsiTheme="minorHAnsi"/>
          <w:snapToGrid w:val="0"/>
        </w:rPr>
        <w:t xml:space="preserve">the </w:t>
      </w:r>
      <w:r w:rsidRPr="001C64D6">
        <w:rPr>
          <w:rFonts w:asciiTheme="minorHAnsi" w:hAnsiTheme="minorHAnsi"/>
          <w:snapToGrid w:val="0"/>
          <w:lang w:val="en-GB"/>
        </w:rPr>
        <w:t xml:space="preserve">Committee noted </w:t>
      </w:r>
      <w:r w:rsidR="004410C5">
        <w:rPr>
          <w:rFonts w:asciiTheme="minorHAnsi" w:hAnsiTheme="minorHAnsi"/>
          <w:snapToGrid w:val="0"/>
          <w:lang w:val="en-GB"/>
        </w:rPr>
        <w:t xml:space="preserve">that the </w:t>
      </w:r>
      <w:r w:rsidRPr="001C64D6">
        <w:rPr>
          <w:rFonts w:asciiTheme="minorHAnsi" w:hAnsiTheme="minorHAnsi"/>
          <w:snapToGrid w:val="0"/>
          <w:lang w:val="en-GB"/>
        </w:rPr>
        <w:t xml:space="preserve">ACM </w:t>
      </w:r>
      <w:r w:rsidR="00326105">
        <w:rPr>
          <w:rFonts w:asciiTheme="minorHAnsi" w:hAnsiTheme="minorHAnsi"/>
          <w:snapToGrid w:val="0"/>
          <w:lang w:val="en-GB"/>
        </w:rPr>
        <w:t xml:space="preserve">held the view that the efficacy data from the </w:t>
      </w:r>
      <w:r w:rsidRPr="001C64D6">
        <w:rPr>
          <w:rFonts w:asciiTheme="minorHAnsi" w:hAnsiTheme="minorHAnsi"/>
          <w:snapToGrid w:val="0"/>
          <w:lang w:val="en-GB"/>
        </w:rPr>
        <w:t>intention-to-treat analyses of the STARGLO trial</w:t>
      </w:r>
      <w:r w:rsidR="0054443A">
        <w:rPr>
          <w:rFonts w:asciiTheme="minorHAnsi" w:hAnsiTheme="minorHAnsi"/>
          <w:snapToGrid w:val="0"/>
          <w:lang w:val="en-GB"/>
        </w:rPr>
        <w:t xml:space="preserve"> w</w:t>
      </w:r>
      <w:r w:rsidR="00980916">
        <w:rPr>
          <w:rFonts w:asciiTheme="minorHAnsi" w:hAnsiTheme="minorHAnsi"/>
          <w:snapToGrid w:val="0"/>
          <w:lang w:val="en-GB"/>
        </w:rPr>
        <w:t>ere</w:t>
      </w:r>
      <w:r w:rsidR="0054443A">
        <w:rPr>
          <w:rFonts w:asciiTheme="minorHAnsi" w:hAnsiTheme="minorHAnsi"/>
          <w:snapToGrid w:val="0"/>
          <w:lang w:val="en-GB"/>
        </w:rPr>
        <w:t xml:space="preserve"> adequate to support use in the Australian population</w:t>
      </w:r>
      <w:r w:rsidRPr="001C64D6">
        <w:rPr>
          <w:rFonts w:asciiTheme="minorHAnsi" w:hAnsiTheme="minorHAnsi"/>
          <w:snapToGrid w:val="0"/>
          <w:lang w:val="en-GB"/>
        </w:rPr>
        <w:t xml:space="preserve">. </w:t>
      </w:r>
    </w:p>
    <w:p w14:paraId="7428F384" w14:textId="271B4B46" w:rsidR="00196764" w:rsidRPr="00196764" w:rsidRDefault="00196764" w:rsidP="00196764">
      <w:pPr>
        <w:widowControl w:val="0"/>
        <w:numPr>
          <w:ilvl w:val="1"/>
          <w:numId w:val="1"/>
        </w:numPr>
        <w:spacing w:after="120"/>
        <w:rPr>
          <w:rFonts w:asciiTheme="minorHAnsi" w:hAnsiTheme="minorHAnsi"/>
          <w:snapToGrid w:val="0"/>
          <w:lang w:val="en-GB"/>
        </w:rPr>
      </w:pPr>
      <w:r w:rsidRPr="00196764">
        <w:rPr>
          <w:rFonts w:asciiTheme="minorHAnsi" w:hAnsiTheme="minorHAnsi"/>
          <w:snapToGrid w:val="0"/>
          <w:lang w:val="en-GB"/>
        </w:rPr>
        <w:t xml:space="preserve">The </w:t>
      </w:r>
      <w:r w:rsidR="00921D88">
        <w:rPr>
          <w:rFonts w:asciiTheme="minorHAnsi" w:hAnsiTheme="minorHAnsi"/>
          <w:snapToGrid w:val="0"/>
          <w:lang w:val="en-GB"/>
        </w:rPr>
        <w:t>PBAC</w:t>
      </w:r>
      <w:r w:rsidRPr="00196764">
        <w:rPr>
          <w:rFonts w:asciiTheme="minorHAnsi" w:hAnsiTheme="minorHAnsi"/>
          <w:snapToGrid w:val="0"/>
          <w:lang w:val="en-GB"/>
        </w:rPr>
        <w:t xml:space="preserve"> noted the results of the STARGLO trial showed Glofit-GemOx was associated with improved outcomes in terms of OS</w:t>
      </w:r>
      <w:r w:rsidR="00D56A90">
        <w:rPr>
          <w:rFonts w:asciiTheme="minorHAnsi" w:hAnsiTheme="minorHAnsi"/>
          <w:snapToGrid w:val="0"/>
          <w:lang w:val="en-GB"/>
        </w:rPr>
        <w:t xml:space="preserve"> and </w:t>
      </w:r>
      <w:r w:rsidRPr="00196764">
        <w:rPr>
          <w:rFonts w:asciiTheme="minorHAnsi" w:hAnsiTheme="minorHAnsi"/>
          <w:snapToGrid w:val="0"/>
          <w:lang w:val="en-GB"/>
        </w:rPr>
        <w:t>PFS</w:t>
      </w:r>
      <w:r w:rsidR="00BC4645">
        <w:rPr>
          <w:rFonts w:asciiTheme="minorHAnsi" w:hAnsiTheme="minorHAnsi"/>
          <w:snapToGrid w:val="0"/>
          <w:lang w:val="en-GB"/>
        </w:rPr>
        <w:t xml:space="preserve"> </w:t>
      </w:r>
      <w:r w:rsidR="00D36639">
        <w:rPr>
          <w:rFonts w:asciiTheme="minorHAnsi" w:hAnsiTheme="minorHAnsi"/>
          <w:snapToGrid w:val="0"/>
          <w:lang w:val="en-GB"/>
        </w:rPr>
        <w:t>over R-</w:t>
      </w:r>
      <w:proofErr w:type="spellStart"/>
      <w:r w:rsidR="00D36639">
        <w:rPr>
          <w:rFonts w:asciiTheme="minorHAnsi" w:hAnsiTheme="minorHAnsi"/>
          <w:snapToGrid w:val="0"/>
          <w:lang w:val="en-GB"/>
        </w:rPr>
        <w:t>GemOx</w:t>
      </w:r>
      <w:proofErr w:type="spellEnd"/>
      <w:r w:rsidRPr="00196764">
        <w:rPr>
          <w:rFonts w:asciiTheme="minorHAnsi" w:hAnsiTheme="minorHAnsi"/>
          <w:snapToGrid w:val="0"/>
          <w:lang w:val="en-GB"/>
        </w:rPr>
        <w:t>. The PBAC noted</w:t>
      </w:r>
      <w:r w:rsidR="001F5C2C">
        <w:rPr>
          <w:rFonts w:asciiTheme="minorHAnsi" w:hAnsiTheme="minorHAnsi"/>
          <w:snapToGrid w:val="0"/>
          <w:lang w:val="en-GB"/>
        </w:rPr>
        <w:t xml:space="preserve"> that</w:t>
      </w:r>
      <w:r w:rsidR="00CB6127">
        <w:rPr>
          <w:rFonts w:asciiTheme="minorHAnsi" w:hAnsiTheme="minorHAnsi"/>
          <w:snapToGrid w:val="0"/>
          <w:lang w:val="en-GB"/>
        </w:rPr>
        <w:t xml:space="preserve">, consistent with the primary analysis, the </w:t>
      </w:r>
      <w:r w:rsidR="00312534">
        <w:rPr>
          <w:rFonts w:asciiTheme="minorHAnsi" w:hAnsiTheme="minorHAnsi"/>
          <w:snapToGrid w:val="0"/>
          <w:lang w:val="en-GB"/>
        </w:rPr>
        <w:t xml:space="preserve">updated analysis (February 15, </w:t>
      </w:r>
      <w:proofErr w:type="gramStart"/>
      <w:r w:rsidR="00312534">
        <w:rPr>
          <w:rFonts w:asciiTheme="minorHAnsi" w:hAnsiTheme="minorHAnsi"/>
          <w:snapToGrid w:val="0"/>
          <w:lang w:val="en-GB"/>
        </w:rPr>
        <w:t>2024</w:t>
      </w:r>
      <w:proofErr w:type="gramEnd"/>
      <w:r w:rsidR="00312534">
        <w:rPr>
          <w:rFonts w:asciiTheme="minorHAnsi" w:hAnsiTheme="minorHAnsi"/>
          <w:snapToGrid w:val="0"/>
          <w:lang w:val="en-GB"/>
        </w:rPr>
        <w:t xml:space="preserve"> data cut) reported </w:t>
      </w:r>
      <w:r w:rsidR="005B65AF">
        <w:rPr>
          <w:rFonts w:asciiTheme="minorHAnsi" w:hAnsiTheme="minorHAnsi"/>
          <w:snapToGrid w:val="0"/>
          <w:lang w:val="en-GB"/>
        </w:rPr>
        <w:t xml:space="preserve">a statistically </w:t>
      </w:r>
      <w:r w:rsidR="001670C2">
        <w:rPr>
          <w:rFonts w:asciiTheme="minorHAnsi" w:hAnsiTheme="minorHAnsi"/>
          <w:snapToGrid w:val="0"/>
          <w:lang w:val="en-GB"/>
        </w:rPr>
        <w:t>significant reduction in the risk of death (stratified HR=0.62</w:t>
      </w:r>
      <w:r w:rsidR="006F4B28">
        <w:rPr>
          <w:rFonts w:asciiTheme="minorHAnsi" w:hAnsiTheme="minorHAnsi"/>
          <w:snapToGrid w:val="0"/>
          <w:lang w:val="en-GB"/>
        </w:rPr>
        <w:t>, 95% CI: 0.43, 0.88) and risk of progression (</w:t>
      </w:r>
      <w:r w:rsidR="00A24E7E">
        <w:rPr>
          <w:rFonts w:asciiTheme="minorHAnsi" w:hAnsiTheme="minorHAnsi"/>
          <w:snapToGrid w:val="0"/>
          <w:lang w:val="en-GB"/>
        </w:rPr>
        <w:t>stratified HR=0.40, 95% CI:</w:t>
      </w:r>
      <w:r w:rsidR="00A71B43">
        <w:rPr>
          <w:rFonts w:asciiTheme="minorHAnsi" w:hAnsiTheme="minorHAnsi"/>
          <w:snapToGrid w:val="0"/>
          <w:lang w:val="en-GB"/>
        </w:rPr>
        <w:t xml:space="preserve"> </w:t>
      </w:r>
      <w:r w:rsidR="00A24E7E">
        <w:rPr>
          <w:rFonts w:asciiTheme="minorHAnsi" w:hAnsiTheme="minorHAnsi"/>
          <w:snapToGrid w:val="0"/>
          <w:lang w:val="en-GB"/>
        </w:rPr>
        <w:t xml:space="preserve">0.28, 0.57). </w:t>
      </w:r>
      <w:r w:rsidR="009669A5">
        <w:rPr>
          <w:rFonts w:asciiTheme="minorHAnsi" w:hAnsiTheme="minorHAnsi"/>
          <w:snapToGrid w:val="0"/>
          <w:lang w:val="en-GB"/>
        </w:rPr>
        <w:t xml:space="preserve">The PBAC noted that at the updated analysis, </w:t>
      </w:r>
      <w:r w:rsidR="004A3056">
        <w:rPr>
          <w:rFonts w:asciiTheme="minorHAnsi" w:hAnsiTheme="minorHAnsi"/>
          <w:snapToGrid w:val="0"/>
          <w:lang w:val="en-GB"/>
        </w:rPr>
        <w:t xml:space="preserve">the absolute difference </w:t>
      </w:r>
      <w:r w:rsidR="00D45AF0">
        <w:rPr>
          <w:rFonts w:asciiTheme="minorHAnsi" w:hAnsiTheme="minorHAnsi"/>
          <w:snapToGrid w:val="0"/>
          <w:lang w:val="en-GB"/>
        </w:rPr>
        <w:t>in OS at 24 months was 19.2% (</w:t>
      </w:r>
      <w:r w:rsidR="002B336C">
        <w:rPr>
          <w:rFonts w:asciiTheme="minorHAnsi" w:hAnsiTheme="minorHAnsi"/>
          <w:snapToGrid w:val="0"/>
          <w:lang w:val="en-GB"/>
        </w:rPr>
        <w:t xml:space="preserve">95% CI: </w:t>
      </w:r>
      <w:r w:rsidR="00D45AF0">
        <w:rPr>
          <w:rFonts w:asciiTheme="minorHAnsi" w:hAnsiTheme="minorHAnsi"/>
          <w:snapToGrid w:val="0"/>
          <w:lang w:val="en-GB"/>
        </w:rPr>
        <w:t>5.38,</w:t>
      </w:r>
      <w:r w:rsidR="002B336C">
        <w:rPr>
          <w:rFonts w:asciiTheme="minorHAnsi" w:hAnsiTheme="minorHAnsi"/>
          <w:snapToGrid w:val="0"/>
          <w:lang w:val="en-GB"/>
        </w:rPr>
        <w:t xml:space="preserve"> </w:t>
      </w:r>
      <w:r w:rsidR="00D45AF0">
        <w:rPr>
          <w:rFonts w:asciiTheme="minorHAnsi" w:hAnsiTheme="minorHAnsi"/>
          <w:snapToGrid w:val="0"/>
          <w:lang w:val="en-GB"/>
        </w:rPr>
        <w:t>33</w:t>
      </w:r>
      <w:r w:rsidR="002B336C">
        <w:rPr>
          <w:rFonts w:asciiTheme="minorHAnsi" w:hAnsiTheme="minorHAnsi"/>
          <w:snapToGrid w:val="0"/>
          <w:lang w:val="en-GB"/>
        </w:rPr>
        <w:t xml:space="preserve">.05) and in PFS at </w:t>
      </w:r>
      <w:proofErr w:type="gramStart"/>
      <w:r w:rsidR="002B336C">
        <w:rPr>
          <w:rFonts w:asciiTheme="minorHAnsi" w:hAnsiTheme="minorHAnsi"/>
          <w:snapToGrid w:val="0"/>
          <w:lang w:val="en-GB"/>
        </w:rPr>
        <w:t xml:space="preserve">24 </w:t>
      </w:r>
      <w:r w:rsidR="001246EA">
        <w:rPr>
          <w:rFonts w:asciiTheme="minorHAnsi" w:hAnsiTheme="minorHAnsi"/>
          <w:snapToGrid w:val="0"/>
          <w:lang w:val="en-GB"/>
        </w:rPr>
        <w:t xml:space="preserve"> months</w:t>
      </w:r>
      <w:proofErr w:type="gramEnd"/>
      <w:r w:rsidR="001246EA">
        <w:rPr>
          <w:rFonts w:asciiTheme="minorHAnsi" w:hAnsiTheme="minorHAnsi"/>
          <w:snapToGrid w:val="0"/>
          <w:lang w:val="en-GB"/>
        </w:rPr>
        <w:t xml:space="preserve"> was 19.2% (95% CI: 4.69,</w:t>
      </w:r>
      <w:r w:rsidR="00A57540">
        <w:rPr>
          <w:rFonts w:asciiTheme="minorHAnsi" w:hAnsiTheme="minorHAnsi"/>
          <w:snapToGrid w:val="0"/>
          <w:lang w:val="en-GB"/>
        </w:rPr>
        <w:t xml:space="preserve"> </w:t>
      </w:r>
      <w:r w:rsidR="001246EA">
        <w:rPr>
          <w:rFonts w:asciiTheme="minorHAnsi" w:hAnsiTheme="minorHAnsi"/>
          <w:snapToGrid w:val="0"/>
          <w:lang w:val="en-GB"/>
        </w:rPr>
        <w:t>33.8)</w:t>
      </w:r>
      <w:r w:rsidR="00BF1C6E">
        <w:rPr>
          <w:rFonts w:asciiTheme="minorHAnsi" w:hAnsiTheme="minorHAnsi"/>
          <w:snapToGrid w:val="0"/>
          <w:lang w:val="en-GB"/>
        </w:rPr>
        <w:t xml:space="preserve">. </w:t>
      </w:r>
      <w:r w:rsidR="00515E05">
        <w:rPr>
          <w:rFonts w:asciiTheme="minorHAnsi" w:hAnsiTheme="minorHAnsi"/>
          <w:snapToGrid w:val="0"/>
          <w:lang w:val="en-GB"/>
        </w:rPr>
        <w:t>T</w:t>
      </w:r>
      <w:r w:rsidRPr="00196764">
        <w:rPr>
          <w:rFonts w:asciiTheme="minorHAnsi" w:hAnsiTheme="minorHAnsi"/>
          <w:snapToGrid w:val="0"/>
          <w:lang w:val="en-GB"/>
        </w:rPr>
        <w:t xml:space="preserve">he </w:t>
      </w:r>
      <w:r w:rsidR="00C41264">
        <w:rPr>
          <w:rFonts w:asciiTheme="minorHAnsi" w:hAnsiTheme="minorHAnsi"/>
          <w:snapToGrid w:val="0"/>
          <w:lang w:val="en-GB"/>
        </w:rPr>
        <w:t>PBAC</w:t>
      </w:r>
      <w:r w:rsidRPr="00196764">
        <w:rPr>
          <w:rFonts w:asciiTheme="minorHAnsi" w:hAnsiTheme="minorHAnsi"/>
          <w:snapToGrid w:val="0"/>
          <w:lang w:val="en-GB"/>
        </w:rPr>
        <w:t xml:space="preserve"> considered the STARGLO results were both statistically and clinically significant and therefore the claim of superior comparative effectiveness to R-</w:t>
      </w:r>
      <w:proofErr w:type="spellStart"/>
      <w:r w:rsidRPr="00196764">
        <w:rPr>
          <w:rFonts w:asciiTheme="minorHAnsi" w:hAnsiTheme="minorHAnsi"/>
          <w:snapToGrid w:val="0"/>
          <w:lang w:val="en-GB"/>
        </w:rPr>
        <w:t>GemOx</w:t>
      </w:r>
      <w:proofErr w:type="spellEnd"/>
      <w:r w:rsidRPr="00196764">
        <w:rPr>
          <w:rFonts w:asciiTheme="minorHAnsi" w:hAnsiTheme="minorHAnsi"/>
          <w:snapToGrid w:val="0"/>
          <w:lang w:val="en-GB"/>
        </w:rPr>
        <w:t xml:space="preserve"> was adequately supported.</w:t>
      </w:r>
    </w:p>
    <w:p w14:paraId="20F6F9EE" w14:textId="752D79E0" w:rsidR="00196764" w:rsidRDefault="00196764" w:rsidP="00196764">
      <w:pPr>
        <w:widowControl w:val="0"/>
        <w:numPr>
          <w:ilvl w:val="1"/>
          <w:numId w:val="1"/>
        </w:numPr>
        <w:spacing w:after="120"/>
        <w:rPr>
          <w:rFonts w:asciiTheme="minorHAnsi" w:hAnsiTheme="minorHAnsi"/>
          <w:snapToGrid w:val="0"/>
          <w:lang w:val="en-GB"/>
        </w:rPr>
      </w:pPr>
      <w:r w:rsidRPr="00196764">
        <w:rPr>
          <w:rFonts w:asciiTheme="minorHAnsi" w:hAnsiTheme="minorHAnsi"/>
          <w:snapToGrid w:val="0"/>
          <w:lang w:val="en-GB"/>
        </w:rPr>
        <w:t>With respect to the claim of non-inferior comparative safety, the PBAC considered this was not supported as the Glofit-GemOx arm of the STARGLO trial showed an increased risk of cytokine release syndrome (44.2% in the Glofit-GemOx arm vs 0% in the R-</w:t>
      </w:r>
      <w:proofErr w:type="spellStart"/>
      <w:r w:rsidRPr="00196764">
        <w:rPr>
          <w:rFonts w:asciiTheme="minorHAnsi" w:hAnsiTheme="minorHAnsi"/>
          <w:snapToGrid w:val="0"/>
          <w:lang w:val="en-GB"/>
        </w:rPr>
        <w:t>GemOx</w:t>
      </w:r>
      <w:proofErr w:type="spellEnd"/>
      <w:r w:rsidRPr="00196764">
        <w:rPr>
          <w:rFonts w:asciiTheme="minorHAnsi" w:hAnsiTheme="minorHAnsi"/>
          <w:snapToGrid w:val="0"/>
          <w:lang w:val="en-GB"/>
        </w:rPr>
        <w:t xml:space="preserve"> arm)</w:t>
      </w:r>
      <w:r w:rsidR="00456D0F">
        <w:rPr>
          <w:rFonts w:asciiTheme="minorHAnsi" w:hAnsiTheme="minorHAnsi"/>
          <w:snapToGrid w:val="0"/>
          <w:lang w:val="en-GB"/>
        </w:rPr>
        <w:t xml:space="preserve"> and serious infections (</w:t>
      </w:r>
      <w:r w:rsidR="00E97BAB">
        <w:rPr>
          <w:rFonts w:asciiTheme="minorHAnsi" w:hAnsiTheme="minorHAnsi"/>
          <w:snapToGrid w:val="0"/>
          <w:lang w:val="en-GB"/>
        </w:rPr>
        <w:t>22.7% vs 12.5%)</w:t>
      </w:r>
      <w:r w:rsidRPr="00196764">
        <w:rPr>
          <w:rFonts w:asciiTheme="minorHAnsi" w:hAnsiTheme="minorHAnsi"/>
          <w:snapToGrid w:val="0"/>
          <w:lang w:val="en-GB"/>
        </w:rPr>
        <w:t xml:space="preserve">, as well as numerically higher rates of </w:t>
      </w:r>
      <w:r w:rsidR="00625DC4">
        <w:rPr>
          <w:rFonts w:asciiTheme="minorHAnsi" w:hAnsiTheme="minorHAnsi"/>
          <w:snapToGrid w:val="0"/>
          <w:lang w:val="en-GB"/>
        </w:rPr>
        <w:t>severe adverse events (AEs) and Grade 3-5 AEs</w:t>
      </w:r>
      <w:r w:rsidR="00E97BAB">
        <w:rPr>
          <w:rFonts w:asciiTheme="minorHAnsi" w:hAnsiTheme="minorHAnsi"/>
          <w:snapToGrid w:val="0"/>
          <w:lang w:val="en-GB"/>
        </w:rPr>
        <w:t xml:space="preserve">. </w:t>
      </w:r>
      <w:r w:rsidR="00EC63B9">
        <w:rPr>
          <w:rFonts w:asciiTheme="minorHAnsi" w:hAnsiTheme="minorHAnsi"/>
          <w:snapToGrid w:val="0"/>
          <w:lang w:val="en-GB"/>
        </w:rPr>
        <w:t>The PBAC agreed with the ESC that the comparative safety of Glofit-GemOx was inferior to R-</w:t>
      </w:r>
      <w:proofErr w:type="spellStart"/>
      <w:r w:rsidR="00EC63B9">
        <w:rPr>
          <w:rFonts w:asciiTheme="minorHAnsi" w:hAnsiTheme="minorHAnsi"/>
          <w:snapToGrid w:val="0"/>
          <w:lang w:val="en-GB"/>
        </w:rPr>
        <w:t>GemOx</w:t>
      </w:r>
      <w:proofErr w:type="spellEnd"/>
      <w:r w:rsidRPr="00196764">
        <w:rPr>
          <w:rFonts w:asciiTheme="minorHAnsi" w:hAnsiTheme="minorHAnsi"/>
          <w:snapToGrid w:val="0"/>
          <w:lang w:val="en-GB"/>
        </w:rPr>
        <w:t>.</w:t>
      </w:r>
      <w:r w:rsidR="00923DFA">
        <w:rPr>
          <w:rFonts w:asciiTheme="minorHAnsi" w:hAnsiTheme="minorHAnsi"/>
          <w:snapToGrid w:val="0"/>
          <w:lang w:val="en-GB"/>
        </w:rPr>
        <w:t xml:space="preserve"> </w:t>
      </w:r>
    </w:p>
    <w:p w14:paraId="07F83A95" w14:textId="62068798" w:rsidR="000C0AD9" w:rsidRDefault="00923DFA" w:rsidP="00196764">
      <w:pPr>
        <w:widowControl w:val="0"/>
        <w:numPr>
          <w:ilvl w:val="1"/>
          <w:numId w:val="1"/>
        </w:numPr>
        <w:spacing w:after="120"/>
        <w:rPr>
          <w:rFonts w:asciiTheme="minorHAnsi" w:hAnsiTheme="minorHAnsi"/>
          <w:snapToGrid w:val="0"/>
          <w:lang w:val="en-GB"/>
        </w:rPr>
      </w:pPr>
      <w:r w:rsidRPr="00923DFA">
        <w:rPr>
          <w:rFonts w:asciiTheme="minorHAnsi" w:hAnsiTheme="minorHAnsi"/>
          <w:snapToGrid w:val="0"/>
          <w:lang w:val="en-GB"/>
        </w:rPr>
        <w:t xml:space="preserve">The </w:t>
      </w:r>
      <w:r w:rsidR="00437B90">
        <w:rPr>
          <w:rFonts w:asciiTheme="minorHAnsi" w:hAnsiTheme="minorHAnsi"/>
          <w:snapToGrid w:val="0"/>
          <w:lang w:val="en-GB"/>
        </w:rPr>
        <w:t xml:space="preserve">submission presented a cost-utility analysis </w:t>
      </w:r>
      <w:r w:rsidR="00E513EA">
        <w:rPr>
          <w:rFonts w:asciiTheme="minorHAnsi" w:hAnsiTheme="minorHAnsi"/>
          <w:snapToGrid w:val="0"/>
          <w:lang w:val="en-GB"/>
        </w:rPr>
        <w:t>comparing Glofit-GemOx versus R-</w:t>
      </w:r>
      <w:proofErr w:type="spellStart"/>
      <w:r w:rsidR="00E513EA">
        <w:rPr>
          <w:rFonts w:asciiTheme="minorHAnsi" w:hAnsiTheme="minorHAnsi"/>
          <w:snapToGrid w:val="0"/>
          <w:lang w:val="en-GB"/>
        </w:rPr>
        <w:t>GemOx</w:t>
      </w:r>
      <w:proofErr w:type="spellEnd"/>
      <w:r w:rsidR="00E513EA">
        <w:rPr>
          <w:rFonts w:asciiTheme="minorHAnsi" w:hAnsiTheme="minorHAnsi"/>
          <w:snapToGrid w:val="0"/>
          <w:lang w:val="en-GB"/>
        </w:rPr>
        <w:t xml:space="preserve"> with</w:t>
      </w:r>
      <w:r w:rsidR="00DC58B9">
        <w:rPr>
          <w:rFonts w:asciiTheme="minorHAnsi" w:hAnsiTheme="minorHAnsi"/>
          <w:snapToGrid w:val="0"/>
          <w:lang w:val="en-GB"/>
        </w:rPr>
        <w:t xml:space="preserve"> the base case reporting an ICER of </w:t>
      </w:r>
      <w:r w:rsidR="004A22ED" w:rsidRPr="004A22ED">
        <w:rPr>
          <w:rFonts w:asciiTheme="minorHAnsi" w:hAnsiTheme="minorHAnsi"/>
          <w:snapToGrid w:val="0"/>
          <w:lang w:val="en-GB"/>
        </w:rPr>
        <w:t>$35,000 to &lt; $45,000</w:t>
      </w:r>
      <w:r w:rsidR="00E34B57">
        <w:rPr>
          <w:rFonts w:asciiTheme="minorHAnsi" w:hAnsiTheme="minorHAnsi"/>
          <w:snapToGrid w:val="0"/>
          <w:lang w:val="en-GB"/>
        </w:rPr>
        <w:t xml:space="preserve">per QALY gained. </w:t>
      </w:r>
      <w:r w:rsidR="009A2B3B">
        <w:rPr>
          <w:rFonts w:asciiTheme="minorHAnsi" w:hAnsiTheme="minorHAnsi"/>
          <w:snapToGrid w:val="0"/>
          <w:lang w:val="en-GB"/>
        </w:rPr>
        <w:t xml:space="preserve">The PBAC noted the </w:t>
      </w:r>
      <w:r w:rsidR="00F51ECC">
        <w:rPr>
          <w:rFonts w:asciiTheme="minorHAnsi" w:hAnsiTheme="minorHAnsi"/>
          <w:snapToGrid w:val="0"/>
          <w:lang w:val="en-GB"/>
        </w:rPr>
        <w:t xml:space="preserve">PSCR </w:t>
      </w:r>
      <w:r w:rsidR="009A2B3B">
        <w:rPr>
          <w:rFonts w:asciiTheme="minorHAnsi" w:hAnsiTheme="minorHAnsi"/>
          <w:snapToGrid w:val="0"/>
          <w:lang w:val="en-GB"/>
        </w:rPr>
        <w:t xml:space="preserve">provided a revised economic model that </w:t>
      </w:r>
      <w:r w:rsidR="00DA75BE">
        <w:rPr>
          <w:rFonts w:asciiTheme="minorHAnsi" w:hAnsiTheme="minorHAnsi"/>
          <w:snapToGrid w:val="0"/>
          <w:lang w:val="en-GB"/>
        </w:rPr>
        <w:t xml:space="preserve">removed the half-cycle correction and </w:t>
      </w:r>
      <w:r w:rsidR="00823CC6">
        <w:rPr>
          <w:rFonts w:asciiTheme="minorHAnsi" w:hAnsiTheme="minorHAnsi"/>
          <w:snapToGrid w:val="0"/>
          <w:lang w:val="en-GB"/>
        </w:rPr>
        <w:t>addressed</w:t>
      </w:r>
      <w:r w:rsidR="009A2B3B">
        <w:rPr>
          <w:rFonts w:asciiTheme="minorHAnsi" w:hAnsiTheme="minorHAnsi"/>
          <w:snapToGrid w:val="0"/>
          <w:lang w:val="en-GB"/>
        </w:rPr>
        <w:t xml:space="preserve"> </w:t>
      </w:r>
      <w:r w:rsidR="00D00729">
        <w:rPr>
          <w:rFonts w:asciiTheme="minorHAnsi" w:hAnsiTheme="minorHAnsi"/>
          <w:snapToGrid w:val="0"/>
          <w:lang w:val="en-GB"/>
        </w:rPr>
        <w:t>a</w:t>
      </w:r>
      <w:r w:rsidR="004E1987">
        <w:rPr>
          <w:rFonts w:asciiTheme="minorHAnsi" w:hAnsiTheme="minorHAnsi"/>
          <w:snapToGrid w:val="0"/>
          <w:lang w:val="en-GB"/>
        </w:rPr>
        <w:t xml:space="preserve"> small number of errors</w:t>
      </w:r>
      <w:r w:rsidR="00823CC6">
        <w:rPr>
          <w:rFonts w:asciiTheme="minorHAnsi" w:hAnsiTheme="minorHAnsi"/>
          <w:snapToGrid w:val="0"/>
          <w:lang w:val="en-GB"/>
        </w:rPr>
        <w:t xml:space="preserve"> (see paragraph </w:t>
      </w:r>
      <w:r w:rsidR="0078520B">
        <w:rPr>
          <w:rFonts w:asciiTheme="minorHAnsi" w:hAnsiTheme="minorHAnsi"/>
          <w:snapToGrid w:val="0"/>
          <w:lang w:val="en-GB"/>
        </w:rPr>
        <w:fldChar w:fldCharType="begin" w:fldLock="1"/>
      </w:r>
      <w:r w:rsidR="0078520B">
        <w:rPr>
          <w:rFonts w:asciiTheme="minorHAnsi" w:hAnsiTheme="minorHAnsi"/>
          <w:snapToGrid w:val="0"/>
          <w:lang w:val="en-GB"/>
        </w:rPr>
        <w:instrText xml:space="preserve"> REF _Ref203994586 \r \h </w:instrText>
      </w:r>
      <w:r w:rsidR="0078520B">
        <w:rPr>
          <w:rFonts w:asciiTheme="minorHAnsi" w:hAnsiTheme="minorHAnsi"/>
          <w:snapToGrid w:val="0"/>
          <w:lang w:val="en-GB"/>
        </w:rPr>
      </w:r>
      <w:r w:rsidR="0078520B">
        <w:rPr>
          <w:rFonts w:asciiTheme="minorHAnsi" w:hAnsiTheme="minorHAnsi"/>
          <w:snapToGrid w:val="0"/>
          <w:lang w:val="en-GB"/>
        </w:rPr>
        <w:fldChar w:fldCharType="separate"/>
      </w:r>
      <w:r w:rsidR="00E052C0">
        <w:rPr>
          <w:rFonts w:asciiTheme="minorHAnsi" w:hAnsiTheme="minorHAnsi"/>
          <w:snapToGrid w:val="0"/>
          <w:lang w:val="en-GB"/>
        </w:rPr>
        <w:t>6.50</w:t>
      </w:r>
      <w:r w:rsidR="0078520B">
        <w:rPr>
          <w:rFonts w:asciiTheme="minorHAnsi" w:hAnsiTheme="minorHAnsi"/>
          <w:snapToGrid w:val="0"/>
          <w:lang w:val="en-GB"/>
        </w:rPr>
        <w:fldChar w:fldCharType="end"/>
      </w:r>
      <w:r w:rsidR="0078520B">
        <w:rPr>
          <w:rFonts w:asciiTheme="minorHAnsi" w:hAnsiTheme="minorHAnsi"/>
          <w:snapToGrid w:val="0"/>
          <w:lang w:val="en-GB"/>
        </w:rPr>
        <w:t>)</w:t>
      </w:r>
      <w:r w:rsidR="004E1987">
        <w:rPr>
          <w:rFonts w:asciiTheme="minorHAnsi" w:hAnsiTheme="minorHAnsi"/>
          <w:snapToGrid w:val="0"/>
          <w:lang w:val="en-GB"/>
        </w:rPr>
        <w:t xml:space="preserve">. </w:t>
      </w:r>
      <w:r w:rsidR="009B4325">
        <w:rPr>
          <w:rFonts w:asciiTheme="minorHAnsi" w:hAnsiTheme="minorHAnsi"/>
          <w:snapToGrid w:val="0"/>
          <w:lang w:val="en-GB"/>
        </w:rPr>
        <w:t xml:space="preserve">The PBAC noted the </w:t>
      </w:r>
      <w:r w:rsidR="004106C9">
        <w:rPr>
          <w:rFonts w:asciiTheme="minorHAnsi" w:hAnsiTheme="minorHAnsi"/>
          <w:snapToGrid w:val="0"/>
          <w:lang w:val="en-GB"/>
        </w:rPr>
        <w:t xml:space="preserve">ESC accepted the PSCR amendments </w:t>
      </w:r>
      <w:r w:rsidR="007442A2">
        <w:rPr>
          <w:rFonts w:asciiTheme="minorHAnsi" w:hAnsiTheme="minorHAnsi"/>
          <w:snapToGrid w:val="0"/>
          <w:lang w:val="en-GB"/>
        </w:rPr>
        <w:t xml:space="preserve">but considered additional </w:t>
      </w:r>
      <w:r w:rsidR="004C2021">
        <w:rPr>
          <w:rFonts w:asciiTheme="minorHAnsi" w:hAnsiTheme="minorHAnsi"/>
          <w:snapToGrid w:val="0"/>
          <w:lang w:val="en-GB"/>
        </w:rPr>
        <w:t xml:space="preserve">changes were required to the economic model. </w:t>
      </w:r>
    </w:p>
    <w:p w14:paraId="12399111" w14:textId="2E3B7C45" w:rsidR="00FC3DF2" w:rsidRDefault="00B90BA7" w:rsidP="00B37E8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w:t>
      </w:r>
      <w:r w:rsidR="002E44E6">
        <w:rPr>
          <w:rFonts w:asciiTheme="minorHAnsi" w:hAnsiTheme="minorHAnsi"/>
          <w:snapToGrid w:val="0"/>
          <w:lang w:val="en-GB"/>
        </w:rPr>
        <w:t xml:space="preserve">PBAC noted the </w:t>
      </w:r>
      <w:r>
        <w:rPr>
          <w:rFonts w:asciiTheme="minorHAnsi" w:hAnsiTheme="minorHAnsi"/>
          <w:snapToGrid w:val="0"/>
          <w:lang w:val="en-GB"/>
        </w:rPr>
        <w:t xml:space="preserve">ESC </w:t>
      </w:r>
      <w:r w:rsidR="00B52079">
        <w:rPr>
          <w:rFonts w:asciiTheme="minorHAnsi" w:hAnsiTheme="minorHAnsi"/>
          <w:snapToGrid w:val="0"/>
          <w:lang w:val="en-GB"/>
        </w:rPr>
        <w:t>provided a revised base case that</w:t>
      </w:r>
      <w:r w:rsidR="00906DE5">
        <w:rPr>
          <w:rFonts w:asciiTheme="minorHAnsi" w:hAnsiTheme="minorHAnsi"/>
          <w:snapToGrid w:val="0"/>
          <w:lang w:val="en-GB"/>
        </w:rPr>
        <w:t>,</w:t>
      </w:r>
      <w:r w:rsidR="00B52079">
        <w:rPr>
          <w:rFonts w:asciiTheme="minorHAnsi" w:hAnsiTheme="minorHAnsi"/>
          <w:snapToGrid w:val="0"/>
          <w:lang w:val="en-GB"/>
        </w:rPr>
        <w:t xml:space="preserve"> </w:t>
      </w:r>
      <w:r w:rsidR="00F51ECC">
        <w:rPr>
          <w:rFonts w:asciiTheme="minorHAnsi" w:hAnsiTheme="minorHAnsi"/>
          <w:snapToGrid w:val="0"/>
          <w:lang w:val="en-GB"/>
        </w:rPr>
        <w:t>in addition to the PSCR economic model changes</w:t>
      </w:r>
      <w:r w:rsidR="00906DE5">
        <w:rPr>
          <w:rFonts w:asciiTheme="minorHAnsi" w:hAnsiTheme="minorHAnsi"/>
          <w:snapToGrid w:val="0"/>
          <w:lang w:val="en-GB"/>
        </w:rPr>
        <w:t>,</w:t>
      </w:r>
      <w:r w:rsidR="00F51ECC">
        <w:rPr>
          <w:rFonts w:asciiTheme="minorHAnsi" w:hAnsiTheme="minorHAnsi"/>
          <w:snapToGrid w:val="0"/>
          <w:lang w:val="en-GB"/>
        </w:rPr>
        <w:t xml:space="preserve"> </w:t>
      </w:r>
      <w:r w:rsidR="00B52079">
        <w:rPr>
          <w:rFonts w:asciiTheme="minorHAnsi" w:hAnsiTheme="minorHAnsi"/>
          <w:snapToGrid w:val="0"/>
          <w:lang w:val="en-GB"/>
        </w:rPr>
        <w:t>incorporated</w:t>
      </w:r>
      <w:r w:rsidR="00E11231">
        <w:rPr>
          <w:rFonts w:asciiTheme="minorHAnsi" w:hAnsiTheme="minorHAnsi"/>
          <w:snapToGrid w:val="0"/>
          <w:lang w:val="en-GB"/>
        </w:rPr>
        <w:t>:</w:t>
      </w:r>
      <w:r w:rsidR="00B52079">
        <w:rPr>
          <w:rFonts w:asciiTheme="minorHAnsi" w:hAnsiTheme="minorHAnsi"/>
          <w:snapToGrid w:val="0"/>
          <w:lang w:val="en-GB"/>
        </w:rPr>
        <w:t xml:space="preserve"> </w:t>
      </w:r>
      <w:r w:rsidR="00DB33E5" w:rsidRPr="00923DFA">
        <w:rPr>
          <w:rFonts w:asciiTheme="minorHAnsi" w:hAnsiTheme="minorHAnsi"/>
          <w:snapToGrid w:val="0"/>
          <w:lang w:val="en-GB"/>
        </w:rPr>
        <w:t>combining PFS health states with a pooled utility value</w:t>
      </w:r>
      <w:r w:rsidR="00E11231">
        <w:rPr>
          <w:rFonts w:asciiTheme="minorHAnsi" w:hAnsiTheme="minorHAnsi"/>
          <w:snapToGrid w:val="0"/>
          <w:lang w:val="en-GB"/>
        </w:rPr>
        <w:t>;</w:t>
      </w:r>
      <w:r w:rsidR="00923DFA" w:rsidRPr="00923DFA">
        <w:rPr>
          <w:rFonts w:asciiTheme="minorHAnsi" w:hAnsiTheme="minorHAnsi"/>
          <w:snapToGrid w:val="0"/>
          <w:lang w:val="en-GB"/>
        </w:rPr>
        <w:t xml:space="preserve"> application of the 10% rule using the Pocock (2002) methodology </w:t>
      </w:r>
      <w:r w:rsidR="00576529">
        <w:rPr>
          <w:rFonts w:asciiTheme="minorHAnsi" w:hAnsiTheme="minorHAnsi"/>
          <w:snapToGrid w:val="0"/>
          <w:lang w:val="en-GB"/>
        </w:rPr>
        <w:t xml:space="preserve">to determine treatment specific truncation points </w:t>
      </w:r>
      <w:r w:rsidR="00923DFA" w:rsidRPr="00923DFA">
        <w:rPr>
          <w:rFonts w:asciiTheme="minorHAnsi" w:hAnsiTheme="minorHAnsi"/>
          <w:snapToGrid w:val="0"/>
          <w:lang w:val="en-GB"/>
        </w:rPr>
        <w:t>for PFS and OS</w:t>
      </w:r>
      <w:r w:rsidR="00576529">
        <w:rPr>
          <w:rFonts w:asciiTheme="minorHAnsi" w:hAnsiTheme="minorHAnsi"/>
          <w:snapToGrid w:val="0"/>
          <w:lang w:val="en-GB"/>
        </w:rPr>
        <w:t xml:space="preserve">; </w:t>
      </w:r>
      <w:r w:rsidR="00923DFA" w:rsidRPr="00923DFA">
        <w:rPr>
          <w:rFonts w:asciiTheme="minorHAnsi" w:hAnsiTheme="minorHAnsi"/>
          <w:snapToGrid w:val="0"/>
          <w:lang w:val="en-GB"/>
        </w:rPr>
        <w:t>use of the STARGLO-reported mean total time on treatment (TTOT) for treatment costs; use of the Weibull extrapolation for PFS and OS</w:t>
      </w:r>
      <w:r w:rsidR="00DB33E5">
        <w:rPr>
          <w:rFonts w:asciiTheme="minorHAnsi" w:hAnsiTheme="minorHAnsi"/>
          <w:snapToGrid w:val="0"/>
          <w:lang w:val="en-GB"/>
        </w:rPr>
        <w:t>; and a 15-year time horizon</w:t>
      </w:r>
      <w:r w:rsidR="00923DFA" w:rsidRPr="00923DFA">
        <w:rPr>
          <w:rFonts w:asciiTheme="minorHAnsi" w:hAnsiTheme="minorHAnsi"/>
          <w:snapToGrid w:val="0"/>
          <w:lang w:val="en-GB"/>
        </w:rPr>
        <w:t xml:space="preserve"> (</w:t>
      </w:r>
      <w:r w:rsidR="00B313D2">
        <w:rPr>
          <w:rFonts w:asciiTheme="minorHAnsi" w:hAnsiTheme="minorHAnsi"/>
          <w:snapToGrid w:val="0"/>
          <w:lang w:val="en-GB"/>
        </w:rPr>
        <w:t xml:space="preserve">see </w:t>
      </w:r>
      <w:r w:rsidR="00923DFA" w:rsidRPr="00923DFA">
        <w:rPr>
          <w:rFonts w:asciiTheme="minorHAnsi" w:hAnsiTheme="minorHAnsi"/>
          <w:snapToGrid w:val="0"/>
          <w:lang w:val="en-GB"/>
        </w:rPr>
        <w:t xml:space="preserve">paragraph </w:t>
      </w:r>
      <w:r w:rsidR="00867B60">
        <w:rPr>
          <w:rFonts w:asciiTheme="minorHAnsi" w:hAnsiTheme="minorHAnsi"/>
          <w:snapToGrid w:val="0"/>
          <w:lang w:val="en-GB"/>
        </w:rPr>
        <w:fldChar w:fldCharType="begin" w:fldLock="1"/>
      </w:r>
      <w:r w:rsidR="00867B60">
        <w:rPr>
          <w:rFonts w:asciiTheme="minorHAnsi" w:hAnsiTheme="minorHAnsi"/>
          <w:snapToGrid w:val="0"/>
          <w:lang w:val="en-GB"/>
        </w:rPr>
        <w:instrText xml:space="preserve"> REF _Ref201146331 \r \h </w:instrText>
      </w:r>
      <w:r w:rsidR="00867B60">
        <w:rPr>
          <w:rFonts w:asciiTheme="minorHAnsi" w:hAnsiTheme="minorHAnsi"/>
          <w:snapToGrid w:val="0"/>
          <w:lang w:val="en-GB"/>
        </w:rPr>
      </w:r>
      <w:r w:rsidR="00867B60">
        <w:rPr>
          <w:rFonts w:asciiTheme="minorHAnsi" w:hAnsiTheme="minorHAnsi"/>
          <w:snapToGrid w:val="0"/>
          <w:lang w:val="en-GB"/>
        </w:rPr>
        <w:fldChar w:fldCharType="separate"/>
      </w:r>
      <w:r w:rsidR="00FE3FDD">
        <w:rPr>
          <w:rFonts w:asciiTheme="minorHAnsi" w:hAnsiTheme="minorHAnsi"/>
          <w:snapToGrid w:val="0"/>
          <w:lang w:val="en-GB"/>
        </w:rPr>
        <w:t>6.51</w:t>
      </w:r>
      <w:r w:rsidR="00867B60">
        <w:rPr>
          <w:rFonts w:asciiTheme="minorHAnsi" w:hAnsiTheme="minorHAnsi"/>
          <w:snapToGrid w:val="0"/>
          <w:lang w:val="en-GB"/>
        </w:rPr>
        <w:fldChar w:fldCharType="end"/>
      </w:r>
      <w:r w:rsidR="00923DFA" w:rsidRPr="00923DFA">
        <w:rPr>
          <w:rFonts w:asciiTheme="minorHAnsi" w:hAnsiTheme="minorHAnsi"/>
          <w:snapToGrid w:val="0"/>
          <w:lang w:val="en-GB"/>
        </w:rPr>
        <w:t xml:space="preserve">). </w:t>
      </w:r>
      <w:r w:rsidR="00354A98" w:rsidRPr="00935CE1">
        <w:rPr>
          <w:iCs/>
        </w:rPr>
        <w:t xml:space="preserve">The </w:t>
      </w:r>
      <w:r w:rsidR="00354A98">
        <w:rPr>
          <w:iCs/>
        </w:rPr>
        <w:t>PBAC</w:t>
      </w:r>
      <w:r w:rsidR="00354A98" w:rsidRPr="00935CE1">
        <w:rPr>
          <w:iCs/>
        </w:rPr>
        <w:t xml:space="preserve"> noted that the </w:t>
      </w:r>
      <w:r w:rsidR="00354A98">
        <w:rPr>
          <w:iCs/>
        </w:rPr>
        <w:t xml:space="preserve">ESC </w:t>
      </w:r>
      <w:r w:rsidR="00354A98" w:rsidRPr="00935CE1">
        <w:rPr>
          <w:iCs/>
        </w:rPr>
        <w:t xml:space="preserve">revised base case increased the ICER to </w:t>
      </w:r>
      <w:r w:rsidR="00A1244C" w:rsidRPr="00A1244C">
        <w:rPr>
          <w:iCs/>
        </w:rPr>
        <w:t xml:space="preserve">$55,000 to &lt; $75,000 </w:t>
      </w:r>
      <w:r w:rsidR="00354A98" w:rsidRPr="00935CE1">
        <w:rPr>
          <w:iCs/>
        </w:rPr>
        <w:t>per QALY gained</w:t>
      </w:r>
      <w:r w:rsidR="00354A98">
        <w:rPr>
          <w:iCs/>
        </w:rPr>
        <w:t xml:space="preserve"> </w:t>
      </w:r>
      <w:r w:rsidR="00E9659E">
        <w:rPr>
          <w:iCs/>
        </w:rPr>
        <w:t xml:space="preserve">or </w:t>
      </w:r>
      <w:r w:rsidR="00E60A55" w:rsidRPr="00E60A55">
        <w:rPr>
          <w:iCs/>
        </w:rPr>
        <w:t>$75,000 to &lt; $95,000</w:t>
      </w:r>
      <w:r w:rsidR="00F9698A">
        <w:rPr>
          <w:iCs/>
        </w:rPr>
        <w:t xml:space="preserve"> </w:t>
      </w:r>
      <w:r w:rsidR="00EE197F">
        <w:rPr>
          <w:iCs/>
        </w:rPr>
        <w:t>per QALY gained when the cost of CAR-T cell therapy was assumed to be $</w:t>
      </w:r>
      <w:r w:rsidR="00EB7208">
        <w:rPr>
          <w:iCs/>
        </w:rPr>
        <w:t>500,000 or $</w:t>
      </w:r>
      <w:r w:rsidR="00EE197F">
        <w:rPr>
          <w:iCs/>
        </w:rPr>
        <w:t>300,000</w:t>
      </w:r>
      <w:r w:rsidR="00EB7208">
        <w:rPr>
          <w:iCs/>
        </w:rPr>
        <w:t xml:space="preserve"> respectively</w:t>
      </w:r>
      <w:r w:rsidR="00354A98" w:rsidRPr="00935CE1">
        <w:rPr>
          <w:iCs/>
        </w:rPr>
        <w:t>.</w:t>
      </w:r>
      <w:r w:rsidR="00BF01D0">
        <w:rPr>
          <w:iCs/>
        </w:rPr>
        <w:t xml:space="preserve"> </w:t>
      </w:r>
      <w:r w:rsidR="00293971">
        <w:rPr>
          <w:iCs/>
        </w:rPr>
        <w:t xml:space="preserve">The PBAC noted the pre-PBAC response </w:t>
      </w:r>
      <w:r w:rsidR="00806F80">
        <w:rPr>
          <w:iCs/>
        </w:rPr>
        <w:t xml:space="preserve">accepted </w:t>
      </w:r>
      <w:r w:rsidR="00DB33E5">
        <w:rPr>
          <w:iCs/>
        </w:rPr>
        <w:t>combining the PFS health states with a pooled utility value</w:t>
      </w:r>
      <w:r w:rsidR="00883080">
        <w:rPr>
          <w:iCs/>
        </w:rPr>
        <w:t xml:space="preserve"> but </w:t>
      </w:r>
      <w:r w:rsidR="00C953A9">
        <w:rPr>
          <w:iCs/>
        </w:rPr>
        <w:t xml:space="preserve">the pre-PBAC response </w:t>
      </w:r>
      <w:r w:rsidR="00883080">
        <w:rPr>
          <w:iCs/>
        </w:rPr>
        <w:t xml:space="preserve">argued against the </w:t>
      </w:r>
      <w:r w:rsidR="00333023">
        <w:rPr>
          <w:iCs/>
        </w:rPr>
        <w:t>remaining</w:t>
      </w:r>
      <w:r w:rsidR="006D0444">
        <w:rPr>
          <w:iCs/>
        </w:rPr>
        <w:t xml:space="preserve"> changes proposed by the ESC. The PBAC did not accept the pre-PBAC response proposal to </w:t>
      </w:r>
      <w:r w:rsidR="00EF45F5">
        <w:rPr>
          <w:iCs/>
        </w:rPr>
        <w:t xml:space="preserve">use </w:t>
      </w:r>
      <w:r w:rsidR="006D0444">
        <w:rPr>
          <w:iCs/>
        </w:rPr>
        <w:t xml:space="preserve">the </w:t>
      </w:r>
      <w:proofErr w:type="spellStart"/>
      <w:r w:rsidR="00333023">
        <w:rPr>
          <w:iCs/>
        </w:rPr>
        <w:t>Gebski</w:t>
      </w:r>
      <w:proofErr w:type="spellEnd"/>
      <w:r w:rsidR="00333023">
        <w:rPr>
          <w:iCs/>
        </w:rPr>
        <w:t xml:space="preserve"> (2018) appr</w:t>
      </w:r>
      <w:r w:rsidR="00D31D09">
        <w:rPr>
          <w:iCs/>
        </w:rPr>
        <w:t>oach to determine truncation points</w:t>
      </w:r>
      <w:r w:rsidR="005B4347">
        <w:rPr>
          <w:iCs/>
        </w:rPr>
        <w:t xml:space="preserve">, </w:t>
      </w:r>
      <w:r w:rsidR="0039698A">
        <w:rPr>
          <w:iCs/>
        </w:rPr>
        <w:t xml:space="preserve">noting </w:t>
      </w:r>
      <w:r w:rsidR="00F2560F">
        <w:rPr>
          <w:iCs/>
        </w:rPr>
        <w:t xml:space="preserve">ESC </w:t>
      </w:r>
      <w:r w:rsidR="00D31D09">
        <w:rPr>
          <w:iCs/>
        </w:rPr>
        <w:t xml:space="preserve">advice that </w:t>
      </w:r>
      <w:r w:rsidR="00916E66">
        <w:rPr>
          <w:iCs/>
        </w:rPr>
        <w:t>application of the 10% rule</w:t>
      </w:r>
      <w:r w:rsidR="00F2560F">
        <w:rPr>
          <w:iCs/>
        </w:rPr>
        <w:t xml:space="preserve"> produced survival functions that were more clinically plausible</w:t>
      </w:r>
      <w:r w:rsidR="00426D74">
        <w:rPr>
          <w:iCs/>
        </w:rPr>
        <w:t xml:space="preserve"> (see paragraph </w:t>
      </w:r>
      <w:r w:rsidR="006C75F9">
        <w:rPr>
          <w:iCs/>
        </w:rPr>
        <w:fldChar w:fldCharType="begin" w:fldLock="1"/>
      </w:r>
      <w:r w:rsidR="006C75F9">
        <w:rPr>
          <w:iCs/>
        </w:rPr>
        <w:instrText xml:space="preserve"> REF _Ref203997371 \r \h </w:instrText>
      </w:r>
      <w:r w:rsidR="006C75F9">
        <w:rPr>
          <w:iCs/>
        </w:rPr>
      </w:r>
      <w:r w:rsidR="006C75F9">
        <w:rPr>
          <w:iCs/>
        </w:rPr>
        <w:fldChar w:fldCharType="separate"/>
      </w:r>
      <w:r w:rsidR="00104864">
        <w:rPr>
          <w:iCs/>
        </w:rPr>
        <w:t>6.40</w:t>
      </w:r>
      <w:r w:rsidR="006C75F9">
        <w:rPr>
          <w:iCs/>
        </w:rPr>
        <w:fldChar w:fldCharType="end"/>
      </w:r>
      <w:r w:rsidR="006C75F9">
        <w:rPr>
          <w:iCs/>
        </w:rPr>
        <w:t>)</w:t>
      </w:r>
      <w:r w:rsidR="00F2560F">
        <w:rPr>
          <w:iCs/>
        </w:rPr>
        <w:t xml:space="preserve">. </w:t>
      </w:r>
      <w:r w:rsidR="007E170F">
        <w:rPr>
          <w:iCs/>
        </w:rPr>
        <w:t>The PBAC a</w:t>
      </w:r>
      <w:r w:rsidR="00B06410">
        <w:rPr>
          <w:iCs/>
        </w:rPr>
        <w:t xml:space="preserve">lso </w:t>
      </w:r>
      <w:r w:rsidR="00803F02">
        <w:rPr>
          <w:iCs/>
        </w:rPr>
        <w:t>a</w:t>
      </w:r>
      <w:r w:rsidR="00B06410">
        <w:rPr>
          <w:iCs/>
        </w:rPr>
        <w:t xml:space="preserve">greed with the ESC that the use </w:t>
      </w:r>
      <w:r w:rsidR="00632103">
        <w:rPr>
          <w:iCs/>
        </w:rPr>
        <w:t xml:space="preserve">of the STARGLO-reported </w:t>
      </w:r>
      <w:r w:rsidR="00BE53EB">
        <w:rPr>
          <w:iCs/>
        </w:rPr>
        <w:t xml:space="preserve">mean TOTT </w:t>
      </w:r>
      <w:r w:rsidR="00803F02">
        <w:rPr>
          <w:iCs/>
        </w:rPr>
        <w:t xml:space="preserve">was appropriate </w:t>
      </w:r>
      <w:r w:rsidR="008C4C8E">
        <w:rPr>
          <w:iCs/>
        </w:rPr>
        <w:t>given all patients in the trial had completed treatment</w:t>
      </w:r>
      <w:r w:rsidR="005F7294">
        <w:rPr>
          <w:iCs/>
        </w:rPr>
        <w:t>,</w:t>
      </w:r>
      <w:r w:rsidR="00646709">
        <w:rPr>
          <w:iCs/>
        </w:rPr>
        <w:t xml:space="preserve"> and that </w:t>
      </w:r>
      <w:r w:rsidR="00FE68ED">
        <w:rPr>
          <w:iCs/>
        </w:rPr>
        <w:t xml:space="preserve">the use of the </w:t>
      </w:r>
      <w:r w:rsidR="005D12CB">
        <w:rPr>
          <w:iCs/>
        </w:rPr>
        <w:t xml:space="preserve">more </w:t>
      </w:r>
      <w:r w:rsidR="00F4094F">
        <w:rPr>
          <w:iCs/>
        </w:rPr>
        <w:t xml:space="preserve">conservative Weibull function for both </w:t>
      </w:r>
      <w:r w:rsidR="00431EA2">
        <w:rPr>
          <w:iCs/>
        </w:rPr>
        <w:t xml:space="preserve">PFS and OS </w:t>
      </w:r>
      <w:r w:rsidR="00684ACE">
        <w:rPr>
          <w:iCs/>
        </w:rPr>
        <w:t xml:space="preserve">should be incorporated (see paragraphs </w:t>
      </w:r>
      <w:r w:rsidR="008D7C65">
        <w:rPr>
          <w:iCs/>
        </w:rPr>
        <w:fldChar w:fldCharType="begin" w:fldLock="1"/>
      </w:r>
      <w:r w:rsidR="008D7C65">
        <w:rPr>
          <w:iCs/>
        </w:rPr>
        <w:instrText xml:space="preserve"> REF _Ref203998804 \r \h </w:instrText>
      </w:r>
      <w:r w:rsidR="008D7C65">
        <w:rPr>
          <w:iCs/>
        </w:rPr>
      </w:r>
      <w:r w:rsidR="008D7C65">
        <w:rPr>
          <w:iCs/>
        </w:rPr>
        <w:fldChar w:fldCharType="separate"/>
      </w:r>
      <w:r w:rsidR="00104864">
        <w:rPr>
          <w:iCs/>
        </w:rPr>
        <w:t>6.39</w:t>
      </w:r>
      <w:r w:rsidR="008D7C65">
        <w:rPr>
          <w:iCs/>
        </w:rPr>
        <w:fldChar w:fldCharType="end"/>
      </w:r>
      <w:r w:rsidR="008D7C65">
        <w:rPr>
          <w:iCs/>
        </w:rPr>
        <w:t xml:space="preserve"> and </w:t>
      </w:r>
      <w:r w:rsidR="008C1DFD">
        <w:rPr>
          <w:iCs/>
        </w:rPr>
        <w:fldChar w:fldCharType="begin" w:fldLock="1"/>
      </w:r>
      <w:r w:rsidR="008C1DFD">
        <w:rPr>
          <w:iCs/>
        </w:rPr>
        <w:instrText xml:space="preserve"> REF _Ref201087453 \r \h </w:instrText>
      </w:r>
      <w:r w:rsidR="008C1DFD">
        <w:rPr>
          <w:iCs/>
        </w:rPr>
      </w:r>
      <w:r w:rsidR="008C1DFD">
        <w:rPr>
          <w:iCs/>
        </w:rPr>
        <w:fldChar w:fldCharType="separate"/>
      </w:r>
      <w:r w:rsidR="00104864">
        <w:rPr>
          <w:iCs/>
        </w:rPr>
        <w:t>6.41</w:t>
      </w:r>
      <w:r w:rsidR="008C1DFD">
        <w:rPr>
          <w:iCs/>
        </w:rPr>
        <w:fldChar w:fldCharType="end"/>
      </w:r>
      <w:r w:rsidR="008C1DFD">
        <w:rPr>
          <w:iCs/>
        </w:rPr>
        <w:t>).</w:t>
      </w:r>
      <w:r w:rsidR="002F7495">
        <w:rPr>
          <w:iCs/>
        </w:rPr>
        <w:t xml:space="preserve"> However, the PBAC did accept the pre-PBAC argument that </w:t>
      </w:r>
      <w:r w:rsidR="00B37E88">
        <w:rPr>
          <w:iCs/>
        </w:rPr>
        <w:t xml:space="preserve">a 20-year time horizon would be appropriate and </w:t>
      </w:r>
      <w:r w:rsidR="009B5604">
        <w:rPr>
          <w:iCs/>
        </w:rPr>
        <w:t xml:space="preserve">considered this was reasonable in the context </w:t>
      </w:r>
      <w:r w:rsidR="00082C80">
        <w:rPr>
          <w:iCs/>
        </w:rPr>
        <w:t xml:space="preserve">of the use of </w:t>
      </w:r>
      <w:r w:rsidR="008E4FFD">
        <w:rPr>
          <w:iCs/>
        </w:rPr>
        <w:t>the</w:t>
      </w:r>
      <w:r w:rsidR="00082C80">
        <w:rPr>
          <w:iCs/>
        </w:rPr>
        <w:t xml:space="preserve"> more conservative extrapolation function. In addition, the PBAC</w:t>
      </w:r>
      <w:r w:rsidR="00B37E88">
        <w:rPr>
          <w:iCs/>
        </w:rPr>
        <w:t xml:space="preserve"> noted that this would be </w:t>
      </w:r>
      <w:r w:rsidR="00923DFA" w:rsidRPr="00B37E88">
        <w:rPr>
          <w:rFonts w:asciiTheme="minorHAnsi" w:hAnsiTheme="minorHAnsi"/>
          <w:snapToGrid w:val="0"/>
          <w:lang w:val="en-GB"/>
        </w:rPr>
        <w:t>consistent with that accepted for epcoritamab for 3</w:t>
      </w:r>
      <w:r w:rsidR="006775BD">
        <w:rPr>
          <w:rFonts w:asciiTheme="minorHAnsi" w:hAnsiTheme="minorHAnsi"/>
          <w:snapToGrid w:val="0"/>
          <w:lang w:val="en-GB"/>
        </w:rPr>
        <w:t>L</w:t>
      </w:r>
      <w:r w:rsidR="00923DFA" w:rsidRPr="00B37E88">
        <w:rPr>
          <w:rFonts w:asciiTheme="minorHAnsi" w:hAnsiTheme="minorHAnsi"/>
          <w:snapToGrid w:val="0"/>
          <w:lang w:val="en-GB"/>
        </w:rPr>
        <w:t xml:space="preserve"> </w:t>
      </w:r>
      <w:r w:rsidR="00FC3DF2" w:rsidRPr="00C54A98">
        <w:rPr>
          <w:rFonts w:asciiTheme="minorHAnsi" w:hAnsiTheme="minorHAnsi"/>
          <w:snapToGrid w:val="0"/>
          <w:lang w:val="en-GB"/>
        </w:rPr>
        <w:t xml:space="preserve">relapsed or refractory </w:t>
      </w:r>
      <w:r w:rsidR="00923DFA" w:rsidRPr="00B37E88">
        <w:rPr>
          <w:rFonts w:asciiTheme="minorHAnsi" w:hAnsiTheme="minorHAnsi"/>
          <w:snapToGrid w:val="0"/>
          <w:lang w:val="en-GB"/>
        </w:rPr>
        <w:t xml:space="preserve">DLBCL (paragraph 7.9, epcoritamab PSD, November 2024 PBAC meeting). </w:t>
      </w:r>
    </w:p>
    <w:p w14:paraId="51224F10" w14:textId="3B1B2022" w:rsidR="00923DFA" w:rsidRPr="00B37E88" w:rsidRDefault="00CB32D4" w:rsidP="00B37E88">
      <w:pPr>
        <w:widowControl w:val="0"/>
        <w:numPr>
          <w:ilvl w:val="1"/>
          <w:numId w:val="1"/>
        </w:numPr>
        <w:spacing w:after="120"/>
        <w:rPr>
          <w:rFonts w:asciiTheme="minorHAnsi" w:hAnsiTheme="minorHAnsi"/>
          <w:snapToGrid w:val="0"/>
          <w:lang w:val="en-GB"/>
        </w:rPr>
      </w:pPr>
      <w:bookmarkStart w:id="115" w:name="_Ref204006039"/>
      <w:r>
        <w:rPr>
          <w:rFonts w:asciiTheme="minorHAnsi" w:hAnsiTheme="minorHAnsi"/>
          <w:snapToGrid w:val="0"/>
          <w:lang w:val="en-GB"/>
        </w:rPr>
        <w:t xml:space="preserve">Overall, the PBAC accepted </w:t>
      </w:r>
      <w:r w:rsidR="00E311E8">
        <w:rPr>
          <w:rFonts w:asciiTheme="minorHAnsi" w:hAnsiTheme="minorHAnsi"/>
          <w:snapToGrid w:val="0"/>
          <w:lang w:val="en-GB"/>
        </w:rPr>
        <w:t xml:space="preserve">a revised economic model using </w:t>
      </w:r>
      <w:r w:rsidR="007862AE">
        <w:rPr>
          <w:rFonts w:asciiTheme="minorHAnsi" w:hAnsiTheme="minorHAnsi"/>
          <w:snapToGrid w:val="0"/>
          <w:lang w:val="en-GB"/>
        </w:rPr>
        <w:t xml:space="preserve">the </w:t>
      </w:r>
      <w:r w:rsidR="00E311E8">
        <w:rPr>
          <w:rFonts w:asciiTheme="minorHAnsi" w:hAnsiTheme="minorHAnsi"/>
          <w:snapToGrid w:val="0"/>
          <w:lang w:val="en-GB"/>
        </w:rPr>
        <w:t xml:space="preserve">inputs </w:t>
      </w:r>
      <w:r w:rsidR="007862AE">
        <w:rPr>
          <w:rFonts w:asciiTheme="minorHAnsi" w:hAnsiTheme="minorHAnsi"/>
          <w:snapToGrid w:val="0"/>
          <w:lang w:val="en-GB"/>
        </w:rPr>
        <w:t>proposed</w:t>
      </w:r>
      <w:r w:rsidR="00E311E8">
        <w:rPr>
          <w:rFonts w:asciiTheme="minorHAnsi" w:hAnsiTheme="minorHAnsi"/>
          <w:snapToGrid w:val="0"/>
          <w:lang w:val="en-GB"/>
        </w:rPr>
        <w:t xml:space="preserve"> by the ESC and a 20-year model time horizon. </w:t>
      </w:r>
      <w:r w:rsidR="00DB2012">
        <w:rPr>
          <w:rFonts w:asciiTheme="minorHAnsi" w:hAnsiTheme="minorHAnsi"/>
          <w:snapToGrid w:val="0"/>
          <w:lang w:val="en-GB"/>
        </w:rPr>
        <w:t xml:space="preserve">The PBAC </w:t>
      </w:r>
      <w:r w:rsidR="00F46423">
        <w:rPr>
          <w:rFonts w:asciiTheme="minorHAnsi" w:hAnsiTheme="minorHAnsi"/>
          <w:snapToGrid w:val="0"/>
          <w:lang w:val="en-GB"/>
        </w:rPr>
        <w:t xml:space="preserve">advised that the effective price for epcoritamab and </w:t>
      </w:r>
      <w:r w:rsidR="002F42BB">
        <w:rPr>
          <w:rFonts w:asciiTheme="minorHAnsi" w:hAnsiTheme="minorHAnsi"/>
          <w:snapToGrid w:val="0"/>
          <w:lang w:val="en-GB"/>
        </w:rPr>
        <w:t xml:space="preserve">the estimated </w:t>
      </w:r>
      <w:r w:rsidR="00634B84">
        <w:rPr>
          <w:rFonts w:asciiTheme="minorHAnsi" w:hAnsiTheme="minorHAnsi"/>
          <w:snapToGrid w:val="0"/>
          <w:lang w:val="en-GB"/>
        </w:rPr>
        <w:t>average cost for</w:t>
      </w:r>
      <w:r w:rsidR="002F42BB">
        <w:rPr>
          <w:rFonts w:asciiTheme="minorHAnsi" w:hAnsiTheme="minorHAnsi"/>
          <w:snapToGrid w:val="0"/>
          <w:lang w:val="en-GB"/>
        </w:rPr>
        <w:t xml:space="preserve"> </w:t>
      </w:r>
      <w:r w:rsidR="00F46423">
        <w:rPr>
          <w:rFonts w:asciiTheme="minorHAnsi" w:hAnsiTheme="minorHAnsi"/>
          <w:snapToGrid w:val="0"/>
          <w:lang w:val="en-GB"/>
        </w:rPr>
        <w:t>CAR-T cell therapy should be included in the economic model</w:t>
      </w:r>
      <w:r w:rsidR="004669B7">
        <w:rPr>
          <w:rFonts w:asciiTheme="minorHAnsi" w:hAnsiTheme="minorHAnsi"/>
          <w:snapToGrid w:val="0"/>
          <w:lang w:val="en-GB"/>
        </w:rPr>
        <w:t xml:space="preserve">. </w:t>
      </w:r>
      <w:r w:rsidR="00923DFA" w:rsidRPr="00B37E88">
        <w:rPr>
          <w:rFonts w:asciiTheme="minorHAnsi" w:hAnsiTheme="minorHAnsi"/>
          <w:snapToGrid w:val="0"/>
          <w:lang w:val="en-GB"/>
        </w:rPr>
        <w:t xml:space="preserve">The PBAC considered that glofitamab would be acceptably cost effective under these parameters at an ICER of </w:t>
      </w:r>
      <w:r w:rsidR="009D246F">
        <w:rPr>
          <w:rFonts w:asciiTheme="minorHAnsi" w:hAnsiTheme="minorHAnsi"/>
          <w:snapToGrid w:val="0"/>
          <w:lang w:val="en-GB"/>
        </w:rPr>
        <w:t>up to</w:t>
      </w:r>
      <w:r w:rsidR="00923DFA" w:rsidRPr="00B37E88">
        <w:rPr>
          <w:rFonts w:asciiTheme="minorHAnsi" w:hAnsiTheme="minorHAnsi"/>
          <w:snapToGrid w:val="0"/>
          <w:lang w:val="en-GB"/>
        </w:rPr>
        <w:t xml:space="preserve"> </w:t>
      </w:r>
      <w:r w:rsidR="00647C83" w:rsidRPr="00647C83">
        <w:rPr>
          <w:rFonts w:asciiTheme="minorHAnsi" w:hAnsiTheme="minorHAnsi"/>
          <w:snapToGrid w:val="0"/>
          <w:lang w:val="en-GB"/>
        </w:rPr>
        <w:t xml:space="preserve">$55,000 to &lt; $75,000 </w:t>
      </w:r>
      <w:r w:rsidR="00923DFA" w:rsidRPr="00B37E88">
        <w:rPr>
          <w:rFonts w:asciiTheme="minorHAnsi" w:hAnsiTheme="minorHAnsi"/>
          <w:snapToGrid w:val="0"/>
          <w:lang w:val="en-GB"/>
        </w:rPr>
        <w:t xml:space="preserve">per </w:t>
      </w:r>
      <w:proofErr w:type="gramStart"/>
      <w:r w:rsidR="00923DFA" w:rsidRPr="00B37E88">
        <w:rPr>
          <w:rFonts w:asciiTheme="minorHAnsi" w:hAnsiTheme="minorHAnsi"/>
          <w:snapToGrid w:val="0"/>
          <w:lang w:val="en-GB"/>
        </w:rPr>
        <w:t>QALY, and</w:t>
      </w:r>
      <w:proofErr w:type="gramEnd"/>
      <w:r w:rsidR="004669B7">
        <w:rPr>
          <w:rFonts w:asciiTheme="minorHAnsi" w:hAnsiTheme="minorHAnsi"/>
          <w:snapToGrid w:val="0"/>
          <w:lang w:val="en-GB"/>
        </w:rPr>
        <w:t xml:space="preserve"> noted</w:t>
      </w:r>
      <w:r w:rsidR="00923DFA" w:rsidRPr="00B37E88">
        <w:rPr>
          <w:rFonts w:asciiTheme="minorHAnsi" w:hAnsiTheme="minorHAnsi"/>
          <w:snapToGrid w:val="0"/>
          <w:lang w:val="en-GB"/>
        </w:rPr>
        <w:t xml:space="preserve"> that a price reduction from that requested in the submission would be required.</w:t>
      </w:r>
      <w:bookmarkEnd w:id="115"/>
      <w:r w:rsidR="00FA0282" w:rsidRPr="00B37E88">
        <w:rPr>
          <w:rFonts w:asciiTheme="minorHAnsi" w:hAnsiTheme="minorHAnsi"/>
          <w:snapToGrid w:val="0"/>
          <w:lang w:val="en-GB"/>
        </w:rPr>
        <w:t xml:space="preserve"> </w:t>
      </w:r>
    </w:p>
    <w:p w14:paraId="187E8032" w14:textId="6F9A87E8" w:rsidR="00FA0282" w:rsidRPr="000316D5" w:rsidRDefault="00AA1535" w:rsidP="000316D5">
      <w:pPr>
        <w:numPr>
          <w:ilvl w:val="1"/>
          <w:numId w:val="1"/>
        </w:numPr>
        <w:spacing w:before="60" w:after="60"/>
      </w:pPr>
      <w:r>
        <w:rPr>
          <w:rFonts w:asciiTheme="minorHAnsi" w:hAnsiTheme="minorHAnsi"/>
          <w:snapToGrid w:val="0"/>
          <w:lang w:val="en-GB"/>
        </w:rPr>
        <w:t xml:space="preserve">In terms of the </w:t>
      </w:r>
      <w:r w:rsidR="00573398" w:rsidRPr="00573398">
        <w:rPr>
          <w:rFonts w:asciiTheme="minorHAnsi" w:hAnsiTheme="minorHAnsi"/>
          <w:snapToGrid w:val="0"/>
          <w:lang w:val="en-GB"/>
        </w:rPr>
        <w:t>financial estimates</w:t>
      </w:r>
      <w:r>
        <w:rPr>
          <w:rFonts w:asciiTheme="minorHAnsi" w:hAnsiTheme="minorHAnsi"/>
          <w:snapToGrid w:val="0"/>
          <w:lang w:val="en-GB"/>
        </w:rPr>
        <w:t>,</w:t>
      </w:r>
      <w:r w:rsidR="00E876AB">
        <w:rPr>
          <w:rFonts w:asciiTheme="minorHAnsi" w:hAnsiTheme="minorHAnsi"/>
          <w:snapToGrid w:val="0"/>
          <w:lang w:val="en-GB"/>
        </w:rPr>
        <w:t xml:space="preserve"> the </w:t>
      </w:r>
      <w:r>
        <w:rPr>
          <w:rFonts w:asciiTheme="minorHAnsi" w:hAnsiTheme="minorHAnsi"/>
          <w:snapToGrid w:val="0"/>
          <w:lang w:val="en-GB"/>
        </w:rPr>
        <w:t>PBAC accepted the PSCR proposal to in</w:t>
      </w:r>
      <w:r w:rsidR="00015C0C">
        <w:rPr>
          <w:rFonts w:asciiTheme="minorHAnsi" w:hAnsiTheme="minorHAnsi"/>
          <w:snapToGrid w:val="0"/>
          <w:lang w:val="en-GB"/>
        </w:rPr>
        <w:t>crease the proportion of patients who w</w:t>
      </w:r>
      <w:r w:rsidR="00BF03DE">
        <w:rPr>
          <w:rFonts w:asciiTheme="minorHAnsi" w:hAnsiTheme="minorHAnsi"/>
          <w:snapToGrid w:val="0"/>
          <w:lang w:val="en-GB"/>
        </w:rPr>
        <w:t>ere ineligible</w:t>
      </w:r>
      <w:r w:rsidR="00D01335">
        <w:rPr>
          <w:rFonts w:asciiTheme="minorHAnsi" w:hAnsiTheme="minorHAnsi"/>
          <w:snapToGrid w:val="0"/>
          <w:lang w:val="en-GB"/>
        </w:rPr>
        <w:t>/unsuitable</w:t>
      </w:r>
      <w:r w:rsidR="00BF03DE">
        <w:rPr>
          <w:rFonts w:asciiTheme="minorHAnsi" w:hAnsiTheme="minorHAnsi"/>
          <w:snapToGrid w:val="0"/>
          <w:lang w:val="en-GB"/>
        </w:rPr>
        <w:t xml:space="preserve"> for ASCT or CAR-T cell therapy from 50% to 60%. </w:t>
      </w:r>
      <w:r w:rsidR="00D01335">
        <w:rPr>
          <w:rFonts w:asciiTheme="minorHAnsi" w:hAnsiTheme="minorHAnsi"/>
          <w:snapToGrid w:val="0"/>
          <w:lang w:val="en-GB"/>
        </w:rPr>
        <w:t xml:space="preserve">The PBAC also </w:t>
      </w:r>
      <w:r w:rsidR="00196AEC">
        <w:rPr>
          <w:rFonts w:asciiTheme="minorHAnsi" w:hAnsiTheme="minorHAnsi"/>
          <w:snapToGrid w:val="0"/>
          <w:lang w:val="en-GB"/>
        </w:rPr>
        <w:t xml:space="preserve">agreed with the ESC that </w:t>
      </w:r>
      <w:r w:rsidR="00573398" w:rsidRPr="00573398">
        <w:rPr>
          <w:rFonts w:asciiTheme="minorHAnsi" w:hAnsiTheme="minorHAnsi"/>
          <w:snapToGrid w:val="0"/>
          <w:lang w:val="en-GB"/>
        </w:rPr>
        <w:t>the cost of treatment should be based on the mean number of glofitamab cycles from the STARGLO trial</w:t>
      </w:r>
      <w:r w:rsidR="00C6237D">
        <w:rPr>
          <w:rFonts w:asciiTheme="minorHAnsi" w:hAnsiTheme="minorHAnsi"/>
          <w:snapToGrid w:val="0"/>
          <w:lang w:val="en-GB"/>
        </w:rPr>
        <w:t xml:space="preserve"> and that</w:t>
      </w:r>
      <w:r w:rsidR="005F74C1">
        <w:rPr>
          <w:rFonts w:asciiTheme="minorHAnsi" w:hAnsiTheme="minorHAnsi"/>
          <w:snapToGrid w:val="0"/>
          <w:lang w:val="en-GB"/>
        </w:rPr>
        <w:t xml:space="preserve"> </w:t>
      </w:r>
      <w:proofErr w:type="spellStart"/>
      <w:r w:rsidR="005F74C1">
        <w:rPr>
          <w:rFonts w:asciiTheme="minorHAnsi" w:hAnsiTheme="minorHAnsi"/>
          <w:snapToGrid w:val="0"/>
          <w:lang w:val="en-GB"/>
        </w:rPr>
        <w:t>GemOx</w:t>
      </w:r>
      <w:proofErr w:type="spellEnd"/>
      <w:r w:rsidR="005F74C1">
        <w:rPr>
          <w:rFonts w:asciiTheme="minorHAnsi" w:hAnsiTheme="minorHAnsi"/>
          <w:snapToGrid w:val="0"/>
          <w:lang w:val="en-GB"/>
        </w:rPr>
        <w:t xml:space="preserve"> costs </w:t>
      </w:r>
      <w:r w:rsidR="00700A80">
        <w:rPr>
          <w:rFonts w:asciiTheme="minorHAnsi" w:hAnsiTheme="minorHAnsi"/>
          <w:snapToGrid w:val="0"/>
          <w:lang w:val="en-GB"/>
        </w:rPr>
        <w:t>should be included in the estimates</w:t>
      </w:r>
      <w:r w:rsidR="00B91D70">
        <w:rPr>
          <w:rFonts w:asciiTheme="minorHAnsi" w:hAnsiTheme="minorHAnsi"/>
          <w:snapToGrid w:val="0"/>
          <w:lang w:val="en-GB"/>
        </w:rPr>
        <w:t xml:space="preserve"> (see paragraph </w:t>
      </w:r>
      <w:r w:rsidR="00867B60">
        <w:rPr>
          <w:rFonts w:asciiTheme="minorHAnsi" w:hAnsiTheme="minorHAnsi"/>
          <w:snapToGrid w:val="0"/>
          <w:lang w:val="en-GB"/>
        </w:rPr>
        <w:fldChar w:fldCharType="begin" w:fldLock="1"/>
      </w:r>
      <w:r w:rsidR="00867B60">
        <w:rPr>
          <w:rFonts w:asciiTheme="minorHAnsi" w:hAnsiTheme="minorHAnsi"/>
          <w:snapToGrid w:val="0"/>
          <w:lang w:val="en-GB"/>
        </w:rPr>
        <w:instrText xml:space="preserve"> REF _Ref201147205 \r \h </w:instrText>
      </w:r>
      <w:r w:rsidR="00867B60">
        <w:rPr>
          <w:rFonts w:asciiTheme="minorHAnsi" w:hAnsiTheme="minorHAnsi"/>
          <w:snapToGrid w:val="0"/>
          <w:lang w:val="en-GB"/>
        </w:rPr>
      </w:r>
      <w:r w:rsidR="00867B60">
        <w:rPr>
          <w:rFonts w:asciiTheme="minorHAnsi" w:hAnsiTheme="minorHAnsi"/>
          <w:snapToGrid w:val="0"/>
          <w:lang w:val="en-GB"/>
        </w:rPr>
        <w:fldChar w:fldCharType="separate"/>
      </w:r>
      <w:r w:rsidR="005F648D">
        <w:rPr>
          <w:rFonts w:asciiTheme="minorHAnsi" w:hAnsiTheme="minorHAnsi"/>
          <w:snapToGrid w:val="0"/>
          <w:lang w:val="en-GB"/>
        </w:rPr>
        <w:t>6.62</w:t>
      </w:r>
      <w:r w:rsidR="00867B60">
        <w:rPr>
          <w:rFonts w:asciiTheme="minorHAnsi" w:hAnsiTheme="minorHAnsi"/>
          <w:snapToGrid w:val="0"/>
          <w:lang w:val="en-GB"/>
        </w:rPr>
        <w:fldChar w:fldCharType="end"/>
      </w:r>
      <w:r w:rsidR="00573398" w:rsidRPr="00573398">
        <w:rPr>
          <w:rFonts w:asciiTheme="minorHAnsi" w:hAnsiTheme="minorHAnsi"/>
          <w:snapToGrid w:val="0"/>
          <w:lang w:val="en-GB"/>
        </w:rPr>
        <w:t>).</w:t>
      </w:r>
      <w:r w:rsidR="00A077FC">
        <w:rPr>
          <w:rFonts w:asciiTheme="minorHAnsi" w:hAnsiTheme="minorHAnsi"/>
          <w:snapToGrid w:val="0"/>
          <w:lang w:val="en-GB"/>
        </w:rPr>
        <w:t xml:space="preserve"> </w:t>
      </w:r>
      <w:r w:rsidR="00A077FC">
        <w:rPr>
          <w:lang w:val="en-GB"/>
        </w:rPr>
        <w:t xml:space="preserve">The PBAC noted the first dose of Glofit-GemOx would not be PBS-subsidised if it was administered to an in-patient in a public hospital setting and considered that the financial estimates should be amended accordingly. </w:t>
      </w:r>
      <w:r w:rsidR="00DC453B">
        <w:rPr>
          <w:lang w:val="en-GB"/>
        </w:rPr>
        <w:t xml:space="preserve">The PBAC advised that once updated </w:t>
      </w:r>
      <w:r w:rsidR="002E0173">
        <w:rPr>
          <w:lang w:val="en-GB"/>
        </w:rPr>
        <w:t>with these amendments</w:t>
      </w:r>
      <w:r w:rsidR="00131F68">
        <w:rPr>
          <w:lang w:val="en-GB"/>
        </w:rPr>
        <w:t>,</w:t>
      </w:r>
      <w:r w:rsidR="002E0173">
        <w:rPr>
          <w:lang w:val="en-GB"/>
        </w:rPr>
        <w:t xml:space="preserve"> </w:t>
      </w:r>
      <w:r w:rsidR="009726CE">
        <w:rPr>
          <w:lang w:val="en-GB"/>
        </w:rPr>
        <w:t>with</w:t>
      </w:r>
      <w:r w:rsidR="002E0173">
        <w:rPr>
          <w:lang w:val="en-GB"/>
        </w:rPr>
        <w:t xml:space="preserve"> the outcome of the price reduction in paragraph </w:t>
      </w:r>
      <w:r w:rsidR="002E0173">
        <w:rPr>
          <w:lang w:val="en-GB"/>
        </w:rPr>
        <w:fldChar w:fldCharType="begin" w:fldLock="1"/>
      </w:r>
      <w:r w:rsidR="002E0173">
        <w:rPr>
          <w:lang w:val="en-GB"/>
        </w:rPr>
        <w:instrText xml:space="preserve"> REF _Ref204006039 \r \h </w:instrText>
      </w:r>
      <w:r w:rsidR="002E0173">
        <w:rPr>
          <w:lang w:val="en-GB"/>
        </w:rPr>
      </w:r>
      <w:r w:rsidR="002E0173">
        <w:rPr>
          <w:lang w:val="en-GB"/>
        </w:rPr>
        <w:fldChar w:fldCharType="separate"/>
      </w:r>
      <w:r w:rsidR="00C56154">
        <w:rPr>
          <w:lang w:val="en-GB"/>
        </w:rPr>
        <w:t>7.10</w:t>
      </w:r>
      <w:r w:rsidR="002E0173">
        <w:rPr>
          <w:lang w:val="en-GB"/>
        </w:rPr>
        <w:fldChar w:fldCharType="end"/>
      </w:r>
      <w:r w:rsidR="009726CE">
        <w:rPr>
          <w:lang w:val="en-GB"/>
        </w:rPr>
        <w:t xml:space="preserve"> in</w:t>
      </w:r>
      <w:r w:rsidR="000528C8">
        <w:rPr>
          <w:lang w:val="en-GB"/>
        </w:rPr>
        <w:t>corporated</w:t>
      </w:r>
      <w:r w:rsidR="00131F68">
        <w:rPr>
          <w:lang w:val="en-GB"/>
        </w:rPr>
        <w:t xml:space="preserve">, it would be reasonable to accept the financial estimates as the basis of a </w:t>
      </w:r>
      <w:r w:rsidR="000316D5">
        <w:rPr>
          <w:rFonts w:asciiTheme="minorHAnsi" w:hAnsiTheme="minorHAnsi"/>
          <w:snapToGrid w:val="0"/>
          <w:lang w:val="en-GB"/>
        </w:rPr>
        <w:t>r</w:t>
      </w:r>
      <w:r w:rsidR="000316D5" w:rsidRPr="002167C9">
        <w:rPr>
          <w:rFonts w:asciiTheme="minorHAnsi" w:hAnsiTheme="minorHAnsi"/>
          <w:snapToGrid w:val="0"/>
          <w:lang w:val="en-GB"/>
        </w:rPr>
        <w:t xml:space="preserve">isk </w:t>
      </w:r>
      <w:r w:rsidR="000316D5">
        <w:rPr>
          <w:rFonts w:asciiTheme="minorHAnsi" w:hAnsiTheme="minorHAnsi"/>
          <w:snapToGrid w:val="0"/>
          <w:lang w:val="en-GB"/>
        </w:rPr>
        <w:t>s</w:t>
      </w:r>
      <w:r w:rsidR="000316D5" w:rsidRPr="002167C9">
        <w:rPr>
          <w:rFonts w:asciiTheme="minorHAnsi" w:hAnsiTheme="minorHAnsi"/>
          <w:snapToGrid w:val="0"/>
          <w:lang w:val="en-GB"/>
        </w:rPr>
        <w:t xml:space="preserve">haring </w:t>
      </w:r>
      <w:r w:rsidR="000316D5">
        <w:rPr>
          <w:rFonts w:asciiTheme="minorHAnsi" w:hAnsiTheme="minorHAnsi"/>
          <w:snapToGrid w:val="0"/>
          <w:lang w:val="en-GB"/>
        </w:rPr>
        <w:t>a</w:t>
      </w:r>
      <w:r w:rsidR="000316D5" w:rsidRPr="002167C9">
        <w:rPr>
          <w:rFonts w:asciiTheme="minorHAnsi" w:hAnsiTheme="minorHAnsi"/>
          <w:snapToGrid w:val="0"/>
          <w:lang w:val="en-GB"/>
        </w:rPr>
        <w:t>rrangement</w:t>
      </w:r>
      <w:r w:rsidR="000316D5">
        <w:rPr>
          <w:lang w:val="en-GB"/>
        </w:rPr>
        <w:t xml:space="preserve">. </w:t>
      </w:r>
    </w:p>
    <w:p w14:paraId="1AB0DCEC" w14:textId="64E729C3" w:rsidR="00B9640C" w:rsidRPr="00B9640C" w:rsidRDefault="0000440A" w:rsidP="00573398">
      <w:pPr>
        <w:widowControl w:val="0"/>
        <w:numPr>
          <w:ilvl w:val="1"/>
          <w:numId w:val="1"/>
        </w:numPr>
        <w:spacing w:after="120"/>
        <w:rPr>
          <w:rFonts w:asciiTheme="minorHAnsi" w:hAnsiTheme="minorHAnsi"/>
          <w:bCs/>
          <w:snapToGrid w:val="0"/>
          <w:lang w:val="en-GB"/>
        </w:rPr>
      </w:pPr>
      <w:r>
        <w:rPr>
          <w:rFonts w:asciiTheme="minorHAnsi" w:hAnsiTheme="minorHAnsi"/>
          <w:snapToGrid w:val="0"/>
          <w:lang w:val="en-GB"/>
        </w:rPr>
        <w:t>While accepting the financial estimates, t</w:t>
      </w:r>
      <w:r w:rsidR="00184D9F" w:rsidRPr="00184D9F">
        <w:rPr>
          <w:rFonts w:asciiTheme="minorHAnsi" w:hAnsiTheme="minorHAnsi"/>
          <w:snapToGrid w:val="0"/>
          <w:lang w:val="en-GB"/>
        </w:rPr>
        <w:t xml:space="preserve">he PBAC considered </w:t>
      </w:r>
      <w:r>
        <w:rPr>
          <w:rFonts w:asciiTheme="minorHAnsi" w:hAnsiTheme="minorHAnsi"/>
          <w:snapToGrid w:val="0"/>
          <w:lang w:val="en-GB"/>
        </w:rPr>
        <w:t xml:space="preserve">some </w:t>
      </w:r>
      <w:r w:rsidR="003C3F6D">
        <w:rPr>
          <w:rFonts w:asciiTheme="minorHAnsi" w:hAnsiTheme="minorHAnsi"/>
          <w:snapToGrid w:val="0"/>
          <w:lang w:val="en-GB"/>
        </w:rPr>
        <w:t xml:space="preserve">uncertainty </w:t>
      </w:r>
      <w:r>
        <w:rPr>
          <w:rFonts w:asciiTheme="minorHAnsi" w:hAnsiTheme="minorHAnsi"/>
          <w:snapToGrid w:val="0"/>
          <w:lang w:val="en-GB"/>
        </w:rPr>
        <w:t>remained</w:t>
      </w:r>
      <w:r w:rsidR="00184D9F" w:rsidRPr="00184D9F">
        <w:rPr>
          <w:rFonts w:asciiTheme="minorHAnsi" w:hAnsiTheme="minorHAnsi"/>
          <w:snapToGrid w:val="0"/>
          <w:lang w:val="en-GB"/>
        </w:rPr>
        <w:t xml:space="preserve"> regarding the size of the </w:t>
      </w:r>
      <w:r w:rsidR="00ED3292">
        <w:rPr>
          <w:rFonts w:asciiTheme="minorHAnsi" w:hAnsiTheme="minorHAnsi"/>
          <w:snapToGrid w:val="0"/>
          <w:lang w:val="en-GB"/>
        </w:rPr>
        <w:t>population who are ineligible/unsuitable for ASCT or CAR-T cell therapy</w:t>
      </w:r>
      <w:r w:rsidR="00F430D1">
        <w:rPr>
          <w:rFonts w:asciiTheme="minorHAnsi" w:hAnsiTheme="minorHAnsi"/>
          <w:snapToGrid w:val="0"/>
          <w:lang w:val="en-GB"/>
        </w:rPr>
        <w:t xml:space="preserve"> given such decisions are </w:t>
      </w:r>
      <w:r w:rsidR="00626F74">
        <w:rPr>
          <w:rFonts w:asciiTheme="minorHAnsi" w:hAnsiTheme="minorHAnsi"/>
          <w:snapToGrid w:val="0"/>
          <w:lang w:val="en-GB"/>
        </w:rPr>
        <w:t>a matter of clinical decision-making</w:t>
      </w:r>
      <w:r w:rsidR="003528FE">
        <w:rPr>
          <w:rFonts w:asciiTheme="minorHAnsi" w:hAnsiTheme="minorHAnsi"/>
          <w:snapToGrid w:val="0"/>
          <w:lang w:val="en-GB"/>
        </w:rPr>
        <w:t xml:space="preserve">. </w:t>
      </w:r>
      <w:r w:rsidRPr="002167C9">
        <w:rPr>
          <w:rFonts w:asciiTheme="minorHAnsi" w:hAnsiTheme="minorHAnsi"/>
          <w:snapToGrid w:val="0"/>
          <w:lang w:val="en-GB"/>
        </w:rPr>
        <w:t xml:space="preserve">The PBAC considered a </w:t>
      </w:r>
      <w:r>
        <w:rPr>
          <w:rFonts w:asciiTheme="minorHAnsi" w:hAnsiTheme="minorHAnsi"/>
          <w:snapToGrid w:val="0"/>
          <w:lang w:val="en-GB"/>
        </w:rPr>
        <w:t>r</w:t>
      </w:r>
      <w:r w:rsidRPr="002167C9">
        <w:rPr>
          <w:rFonts w:asciiTheme="minorHAnsi" w:hAnsiTheme="minorHAnsi"/>
          <w:snapToGrid w:val="0"/>
          <w:lang w:val="en-GB"/>
        </w:rPr>
        <w:t xml:space="preserve">isk </w:t>
      </w:r>
      <w:r>
        <w:rPr>
          <w:rFonts w:asciiTheme="minorHAnsi" w:hAnsiTheme="minorHAnsi"/>
          <w:snapToGrid w:val="0"/>
          <w:lang w:val="en-GB"/>
        </w:rPr>
        <w:t>s</w:t>
      </w:r>
      <w:r w:rsidRPr="002167C9">
        <w:rPr>
          <w:rFonts w:asciiTheme="minorHAnsi" w:hAnsiTheme="minorHAnsi"/>
          <w:snapToGrid w:val="0"/>
          <w:lang w:val="en-GB"/>
        </w:rPr>
        <w:t xml:space="preserve">haring </w:t>
      </w:r>
      <w:r>
        <w:rPr>
          <w:rFonts w:asciiTheme="minorHAnsi" w:hAnsiTheme="minorHAnsi"/>
          <w:snapToGrid w:val="0"/>
          <w:lang w:val="en-GB"/>
        </w:rPr>
        <w:t>a</w:t>
      </w:r>
      <w:r w:rsidRPr="002167C9">
        <w:rPr>
          <w:rFonts w:asciiTheme="minorHAnsi" w:hAnsiTheme="minorHAnsi"/>
          <w:snapToGrid w:val="0"/>
          <w:lang w:val="en-GB"/>
        </w:rPr>
        <w:t>rrangement would be appropriate to address any residual uncertainty regarding estimated patient numbers</w:t>
      </w:r>
      <w:r w:rsidR="00B132E2">
        <w:rPr>
          <w:rFonts w:asciiTheme="minorHAnsi" w:hAnsiTheme="minorHAnsi"/>
          <w:snapToGrid w:val="0"/>
          <w:lang w:val="en-GB"/>
        </w:rPr>
        <w:t xml:space="preserve">. </w:t>
      </w:r>
      <w:r w:rsidR="00C57A30">
        <w:rPr>
          <w:rFonts w:asciiTheme="minorHAnsi" w:hAnsiTheme="minorHAnsi"/>
          <w:snapToGrid w:val="0"/>
          <w:lang w:val="en-GB"/>
        </w:rPr>
        <w:t xml:space="preserve">The PBAC considered </w:t>
      </w:r>
      <w:r w:rsidR="00AE39F9">
        <w:rPr>
          <w:rFonts w:asciiTheme="minorHAnsi" w:hAnsiTheme="minorHAnsi"/>
          <w:snapToGrid w:val="0"/>
          <w:lang w:val="en-GB"/>
        </w:rPr>
        <w:t xml:space="preserve">a </w:t>
      </w:r>
      <w:r w:rsidR="00AE39F9" w:rsidRPr="00A3700B">
        <w:rPr>
          <w:rFonts w:asciiTheme="minorHAnsi" w:hAnsiTheme="minorHAnsi"/>
          <w:snapToGrid w:val="0"/>
          <w:lang w:val="en-GB"/>
        </w:rPr>
        <w:t xml:space="preserve">rebate of less than </w:t>
      </w:r>
      <w:r w:rsidR="00BD6E95" w:rsidRPr="00DB2C39">
        <w:rPr>
          <w:rFonts w:asciiTheme="minorHAnsi" w:hAnsiTheme="minorHAnsi"/>
          <w:snapToGrid w:val="0"/>
          <w:color w:val="000000"/>
          <w:w w:val="61"/>
          <w:shd w:val="solid" w:color="000000" w:fill="000000"/>
          <w:fitText w:val="472" w:id="-632053236"/>
          <w:lang w:val="en-GB"/>
          <w14:textFill>
            <w14:solidFill>
              <w14:srgbClr w14:val="000000">
                <w14:alpha w14:val="100000"/>
              </w14:srgbClr>
            </w14:solidFill>
          </w14:textFill>
        </w:rPr>
        <w:t>||</w:t>
      </w:r>
      <w:proofErr w:type="gramStart"/>
      <w:r w:rsidR="00BD6E95" w:rsidRPr="00DB2C39">
        <w:rPr>
          <w:rFonts w:asciiTheme="minorHAnsi" w:hAnsiTheme="minorHAnsi"/>
          <w:snapToGrid w:val="0"/>
          <w:color w:val="000000"/>
          <w:w w:val="61"/>
          <w:shd w:val="solid" w:color="000000" w:fill="000000"/>
          <w:fitText w:val="472" w:id="-632053236"/>
          <w:lang w:val="en-GB"/>
          <w14:textFill>
            <w14:solidFill>
              <w14:srgbClr w14:val="000000">
                <w14:alpha w14:val="100000"/>
              </w14:srgbClr>
            </w14:solidFill>
          </w14:textFill>
        </w:rPr>
        <w:t>|  |</w:t>
      </w:r>
      <w:proofErr w:type="gramEnd"/>
      <w:r w:rsidR="00BD6E95" w:rsidRPr="00DB2C39">
        <w:rPr>
          <w:rFonts w:asciiTheme="minorHAnsi" w:hAnsiTheme="minorHAnsi"/>
          <w:snapToGrid w:val="0"/>
          <w:color w:val="000000"/>
          <w:w w:val="61"/>
          <w:shd w:val="solid" w:color="000000" w:fill="000000"/>
          <w:fitText w:val="472" w:id="-632053236"/>
          <w:lang w:val="en-GB"/>
          <w14:textFill>
            <w14:solidFill>
              <w14:srgbClr w14:val="000000">
                <w14:alpha w14:val="100000"/>
              </w14:srgbClr>
            </w14:solidFill>
          </w14:textFill>
        </w:rPr>
        <w:t>|</w:t>
      </w:r>
      <w:r w:rsidR="00BD6E95" w:rsidRPr="00DB2C39">
        <w:rPr>
          <w:rFonts w:asciiTheme="minorHAnsi" w:hAnsiTheme="minorHAnsi"/>
          <w:snapToGrid w:val="0"/>
          <w:color w:val="000000"/>
          <w:spacing w:val="2"/>
          <w:w w:val="61"/>
          <w:shd w:val="solid" w:color="000000" w:fill="000000"/>
          <w:fitText w:val="472" w:id="-632053236"/>
          <w:lang w:val="en-GB"/>
          <w14:textFill>
            <w14:solidFill>
              <w14:srgbClr w14:val="000000">
                <w14:alpha w14:val="100000"/>
              </w14:srgbClr>
            </w14:solidFill>
          </w14:textFill>
        </w:rPr>
        <w:t>|</w:t>
      </w:r>
      <w:r w:rsidR="00AE39F9" w:rsidRPr="00A3700B">
        <w:rPr>
          <w:rFonts w:asciiTheme="minorHAnsi" w:hAnsiTheme="minorHAnsi"/>
          <w:snapToGrid w:val="0"/>
          <w:lang w:val="en-GB"/>
        </w:rPr>
        <w:t>% for</w:t>
      </w:r>
      <w:r w:rsidR="00AE39F9">
        <w:rPr>
          <w:rFonts w:asciiTheme="minorHAnsi" w:hAnsiTheme="minorHAnsi"/>
          <w:snapToGrid w:val="0"/>
          <w:lang w:val="en-GB"/>
        </w:rPr>
        <w:t xml:space="preserve"> use above the expenditure caps may be appropriate</w:t>
      </w:r>
      <w:r w:rsidR="00201AE3">
        <w:rPr>
          <w:rFonts w:asciiTheme="minorHAnsi" w:hAnsiTheme="minorHAnsi"/>
          <w:snapToGrid w:val="0"/>
          <w:lang w:val="en-GB"/>
        </w:rPr>
        <w:t xml:space="preserve">, however any rebate would need to require the sponsor to rebate </w:t>
      </w:r>
      <w:proofErr w:type="gramStart"/>
      <w:r w:rsidR="00201AE3" w:rsidRPr="00A3700B">
        <w:rPr>
          <w:rFonts w:asciiTheme="minorHAnsi" w:hAnsiTheme="minorHAnsi"/>
          <w:snapToGrid w:val="0"/>
          <w:lang w:val="en-GB"/>
        </w:rPr>
        <w:t>the majority of</w:t>
      </w:r>
      <w:proofErr w:type="gramEnd"/>
      <w:r w:rsidR="00201AE3" w:rsidRPr="00A3700B">
        <w:rPr>
          <w:rFonts w:asciiTheme="minorHAnsi" w:hAnsiTheme="minorHAnsi"/>
          <w:snapToGrid w:val="0"/>
          <w:lang w:val="en-GB"/>
        </w:rPr>
        <w:t xml:space="preserve"> the</w:t>
      </w:r>
      <w:r w:rsidR="00201AE3">
        <w:rPr>
          <w:rFonts w:asciiTheme="minorHAnsi" w:hAnsiTheme="minorHAnsi"/>
          <w:snapToGrid w:val="0"/>
          <w:lang w:val="en-GB"/>
        </w:rPr>
        <w:t xml:space="preserve"> cost of use outside of the defined </w:t>
      </w:r>
      <w:r w:rsidR="006749AB">
        <w:rPr>
          <w:rFonts w:asciiTheme="minorHAnsi" w:hAnsiTheme="minorHAnsi"/>
          <w:snapToGrid w:val="0"/>
          <w:lang w:val="en-GB"/>
        </w:rPr>
        <w:t xml:space="preserve">risk sharing arrangement cap </w:t>
      </w:r>
      <w:r w:rsidR="003036CD">
        <w:rPr>
          <w:rFonts w:asciiTheme="minorHAnsi" w:hAnsiTheme="minorHAnsi"/>
          <w:snapToGrid w:val="0"/>
          <w:lang w:val="en-GB"/>
        </w:rPr>
        <w:t xml:space="preserve">to </w:t>
      </w:r>
      <w:r w:rsidR="00533B49">
        <w:rPr>
          <w:rFonts w:asciiTheme="minorHAnsi" w:hAnsiTheme="minorHAnsi"/>
          <w:snapToGrid w:val="0"/>
          <w:lang w:val="en-GB"/>
        </w:rPr>
        <w:t>mitigate the potential impact to the Commonwealth</w:t>
      </w:r>
      <w:r w:rsidR="00626F74">
        <w:rPr>
          <w:rFonts w:asciiTheme="minorHAnsi" w:hAnsiTheme="minorHAnsi"/>
          <w:snapToGrid w:val="0"/>
          <w:lang w:val="en-GB"/>
        </w:rPr>
        <w:t xml:space="preserve">. </w:t>
      </w:r>
      <w:r w:rsidR="000A37DA">
        <w:rPr>
          <w:rFonts w:asciiTheme="minorHAnsi" w:hAnsiTheme="minorHAnsi"/>
          <w:snapToGrid w:val="0"/>
          <w:lang w:val="en-GB"/>
        </w:rPr>
        <w:t xml:space="preserve"> </w:t>
      </w:r>
    </w:p>
    <w:p w14:paraId="11826699" w14:textId="3F1B7052" w:rsidR="00904200" w:rsidRPr="00573398" w:rsidRDefault="00904200" w:rsidP="00573398">
      <w:pPr>
        <w:widowControl w:val="0"/>
        <w:numPr>
          <w:ilvl w:val="1"/>
          <w:numId w:val="1"/>
        </w:numPr>
        <w:spacing w:after="120"/>
        <w:rPr>
          <w:rFonts w:asciiTheme="minorHAnsi" w:hAnsiTheme="minorHAnsi"/>
          <w:bCs/>
          <w:snapToGrid w:val="0"/>
          <w:lang w:val="en-GB"/>
        </w:rPr>
      </w:pPr>
      <w:r w:rsidRPr="00573398">
        <w:rPr>
          <w:rFonts w:asciiTheme="minorHAnsi" w:hAnsiTheme="minorHAnsi"/>
          <w:bCs/>
          <w:snapToGrid w:val="0"/>
          <w:lang w:val="en-GB"/>
        </w:rPr>
        <w:t xml:space="preserve">The PBAC </w:t>
      </w:r>
      <w:r w:rsidR="00573398">
        <w:rPr>
          <w:rFonts w:asciiTheme="minorHAnsi" w:hAnsiTheme="minorHAnsi"/>
          <w:bCs/>
          <w:snapToGrid w:val="0"/>
          <w:lang w:val="en-GB"/>
        </w:rPr>
        <w:t xml:space="preserve">advised </w:t>
      </w:r>
      <w:r w:rsidRPr="00573398">
        <w:rPr>
          <w:rFonts w:asciiTheme="minorHAnsi" w:hAnsiTheme="minorHAnsi"/>
          <w:bCs/>
          <w:snapToGrid w:val="0"/>
          <w:lang w:val="en-GB"/>
        </w:rPr>
        <w:t xml:space="preserve">that </w:t>
      </w:r>
      <w:r w:rsidR="001A1B57">
        <w:rPr>
          <w:rFonts w:asciiTheme="minorHAnsi" w:hAnsiTheme="minorHAnsi"/>
          <w:bCs/>
          <w:snapToGrid w:val="0"/>
          <w:lang w:val="en-GB"/>
        </w:rPr>
        <w:t>glofitamab</w:t>
      </w:r>
      <w:r w:rsidRPr="00573398">
        <w:rPr>
          <w:rFonts w:asciiTheme="minorHAnsi" w:hAnsiTheme="minorHAnsi"/>
          <w:bCs/>
          <w:snapToGrid w:val="0"/>
          <w:lang w:val="en-GB"/>
        </w:rPr>
        <w:t xml:space="preserve"> should not be treated as interchangeable with any other drugs</w:t>
      </w:r>
      <w:r w:rsidR="001A1B57">
        <w:rPr>
          <w:rFonts w:asciiTheme="minorHAnsi" w:hAnsiTheme="minorHAnsi"/>
          <w:bCs/>
          <w:snapToGrid w:val="0"/>
          <w:lang w:val="en-GB"/>
        </w:rPr>
        <w:t>.</w:t>
      </w:r>
    </w:p>
    <w:p w14:paraId="44256EF2" w14:textId="15276F02" w:rsidR="00904200" w:rsidRDefault="00904200" w:rsidP="00904200">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sidR="00E67D95">
        <w:rPr>
          <w:rFonts w:asciiTheme="minorHAnsi" w:hAnsiTheme="minorHAnsi"/>
          <w:bCs/>
          <w:snapToGrid w:val="0"/>
          <w:lang w:val="en-GB"/>
        </w:rPr>
        <w:t xml:space="preserve">glofitamab </w:t>
      </w:r>
      <w:r w:rsidRPr="00525B39">
        <w:rPr>
          <w:rFonts w:asciiTheme="minorHAnsi" w:hAnsiTheme="minorHAnsi"/>
          <w:bCs/>
          <w:snapToGrid w:val="0"/>
          <w:lang w:val="en-GB"/>
        </w:rPr>
        <w:t>is not suitable for presc</w:t>
      </w:r>
      <w:r>
        <w:rPr>
          <w:rFonts w:asciiTheme="minorHAnsi" w:hAnsiTheme="minorHAnsi"/>
          <w:bCs/>
          <w:snapToGrid w:val="0"/>
          <w:lang w:val="en-GB"/>
        </w:rPr>
        <w:t>ribing by nurse practitioners.</w:t>
      </w:r>
    </w:p>
    <w:p w14:paraId="6A6B58E2" w14:textId="3903421B" w:rsidR="00E67D95" w:rsidRPr="00525B39" w:rsidRDefault="00E67D95" w:rsidP="00904200">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recommended that the Early Supply Rule should not apply. </w:t>
      </w:r>
    </w:p>
    <w:p w14:paraId="5FE9A2D6" w14:textId="6473A9D9" w:rsidR="00904200" w:rsidRPr="008B2B9F" w:rsidRDefault="00904200" w:rsidP="008B2B9F">
      <w:pPr>
        <w:widowControl w:val="0"/>
        <w:numPr>
          <w:ilvl w:val="1"/>
          <w:numId w:val="1"/>
        </w:numPr>
        <w:spacing w:after="120"/>
        <w:rPr>
          <w:rFonts w:asciiTheme="minorHAnsi" w:hAnsiTheme="minorHAnsi"/>
          <w:bCs/>
          <w:snapToGrid w:val="0"/>
          <w:lang w:val="en-GB"/>
        </w:rPr>
      </w:pPr>
      <w:r w:rsidRPr="008B2B9F">
        <w:rPr>
          <w:rFonts w:asciiTheme="minorHAnsi" w:hAnsiTheme="minorHAnsi"/>
          <w:bCs/>
          <w:snapToGrid w:val="0"/>
          <w:lang w:val="en-GB"/>
        </w:rPr>
        <w:t xml:space="preserve">The PBAC found that the criteria prescribed by the </w:t>
      </w:r>
      <w:r w:rsidRPr="00856FA9">
        <w:rPr>
          <w:rFonts w:asciiTheme="minorHAnsi" w:hAnsiTheme="minorHAnsi"/>
          <w:bCs/>
          <w:i/>
          <w:iCs/>
          <w:snapToGrid w:val="0"/>
          <w:lang w:val="en-GB"/>
        </w:rPr>
        <w:t>National Health (Pharmaceuticals and Vaccines – Cost Recovery) Regulations 2022</w:t>
      </w:r>
      <w:r w:rsidRPr="008B2B9F">
        <w:rPr>
          <w:rFonts w:asciiTheme="minorHAnsi" w:hAnsiTheme="minorHAnsi"/>
          <w:bCs/>
          <w:snapToGrid w:val="0"/>
          <w:lang w:val="en-GB"/>
        </w:rPr>
        <w:t xml:space="preserve"> for Pricing Pathway A were not met. </w:t>
      </w:r>
      <w:r w:rsidR="000A084A" w:rsidRPr="008B2B9F">
        <w:rPr>
          <w:rFonts w:asciiTheme="minorHAnsi" w:hAnsiTheme="minorHAnsi"/>
          <w:bCs/>
          <w:snapToGrid w:val="0"/>
          <w:lang w:val="en-GB"/>
        </w:rPr>
        <w:t>Specifically,</w:t>
      </w:r>
      <w:r w:rsidRPr="008B2B9F">
        <w:rPr>
          <w:rFonts w:asciiTheme="minorHAnsi" w:hAnsiTheme="minorHAnsi"/>
          <w:bCs/>
          <w:snapToGrid w:val="0"/>
          <w:lang w:val="en-GB"/>
        </w:rPr>
        <w:t xml:space="preserve"> the PBAC found that in the circumstances of its recommendation for </w:t>
      </w:r>
      <w:r w:rsidR="00982FC3" w:rsidRPr="008B2B9F">
        <w:rPr>
          <w:rFonts w:asciiTheme="minorHAnsi" w:hAnsiTheme="minorHAnsi"/>
          <w:bCs/>
          <w:snapToGrid w:val="0"/>
          <w:lang w:val="en-GB"/>
        </w:rPr>
        <w:t>glofitamab</w:t>
      </w:r>
      <w:r w:rsidRPr="008B2B9F">
        <w:rPr>
          <w:rFonts w:asciiTheme="minorHAnsi" w:hAnsiTheme="minorHAnsi"/>
          <w:bCs/>
          <w:snapToGrid w:val="0"/>
          <w:lang w:val="en-GB"/>
        </w:rPr>
        <w:t>:</w:t>
      </w:r>
    </w:p>
    <w:p w14:paraId="2118D279" w14:textId="29E75432" w:rsidR="00904200" w:rsidRPr="00763DFB" w:rsidRDefault="00904200" w:rsidP="007368C9">
      <w:pPr>
        <w:widowControl w:val="0"/>
        <w:numPr>
          <w:ilvl w:val="1"/>
          <w:numId w:val="25"/>
        </w:numPr>
        <w:spacing w:after="120"/>
        <w:rPr>
          <w:rFonts w:asciiTheme="minorHAnsi" w:hAnsiTheme="minorHAnsi" w:cstheme="minorHAnsi"/>
          <w:lang w:val="en-GB"/>
        </w:rPr>
      </w:pPr>
      <w:r w:rsidRPr="00763DFB">
        <w:rPr>
          <w:rFonts w:asciiTheme="minorHAnsi" w:hAnsiTheme="minorHAnsi" w:cstheme="minorHAnsi"/>
          <w:lang w:val="en-GB"/>
        </w:rPr>
        <w:t xml:space="preserve">The treatment is expected to provide a substantial and clinically relevant improvement in efficacy, over alternative therapies, on the basis of </w:t>
      </w:r>
      <w:r w:rsidR="00982FC3">
        <w:rPr>
          <w:rFonts w:asciiTheme="minorHAnsi" w:hAnsiTheme="minorHAnsi" w:cstheme="minorHAnsi"/>
          <w:lang w:val="en-GB"/>
        </w:rPr>
        <w:t>the results of the STARGLO trial</w:t>
      </w:r>
      <w:r w:rsidR="001F37C5">
        <w:rPr>
          <w:rFonts w:asciiTheme="minorHAnsi" w:hAnsiTheme="minorHAnsi" w:cstheme="minorHAnsi"/>
          <w:lang w:val="en-GB"/>
        </w:rPr>
        <w:t>;</w:t>
      </w:r>
    </w:p>
    <w:p w14:paraId="504F208E" w14:textId="6F4AED79" w:rsidR="00904200" w:rsidRPr="0095744A" w:rsidRDefault="00904200" w:rsidP="007368C9">
      <w:pPr>
        <w:widowControl w:val="0"/>
        <w:numPr>
          <w:ilvl w:val="1"/>
          <w:numId w:val="25"/>
        </w:numPr>
        <w:spacing w:after="120"/>
        <w:rPr>
          <w:rFonts w:asciiTheme="minorHAnsi" w:hAnsiTheme="minorHAnsi" w:cstheme="minorHAnsi"/>
          <w:lang w:val="en-GB"/>
        </w:rPr>
      </w:pPr>
      <w:r w:rsidRPr="00A84156">
        <w:rPr>
          <w:rFonts w:asciiTheme="minorHAnsi" w:hAnsiTheme="minorHAnsi" w:cstheme="minorHAnsi"/>
          <w:lang w:val="en-GB"/>
        </w:rPr>
        <w:t>The treatment is not expected to address a high and urgent unmet clinical need</w:t>
      </w:r>
      <w:r w:rsidR="003A1D25" w:rsidRPr="00A84156">
        <w:rPr>
          <w:rFonts w:asciiTheme="minorHAnsi" w:hAnsiTheme="minorHAnsi" w:cstheme="minorHAnsi"/>
          <w:lang w:val="en-GB"/>
        </w:rPr>
        <w:t xml:space="preserve">, as </w:t>
      </w:r>
      <w:r w:rsidR="00994638">
        <w:rPr>
          <w:rFonts w:asciiTheme="minorHAnsi" w:hAnsiTheme="minorHAnsi" w:cstheme="minorHAnsi"/>
          <w:lang w:val="en-GB"/>
        </w:rPr>
        <w:t>while</w:t>
      </w:r>
      <w:r w:rsidR="00994638" w:rsidRPr="00A84156">
        <w:rPr>
          <w:rFonts w:asciiTheme="minorHAnsi" w:hAnsiTheme="minorHAnsi" w:cstheme="minorHAnsi"/>
          <w:lang w:val="en-GB"/>
        </w:rPr>
        <w:t xml:space="preserve"> </w:t>
      </w:r>
      <w:r w:rsidR="003A1D25" w:rsidRPr="00A84156">
        <w:rPr>
          <w:rFonts w:asciiTheme="minorHAnsi" w:hAnsiTheme="minorHAnsi" w:cstheme="minorHAnsi"/>
          <w:lang w:val="en-GB"/>
        </w:rPr>
        <w:t>the PBAC acknowledged the</w:t>
      </w:r>
      <w:r w:rsidR="00CC43D3" w:rsidRPr="00A84156">
        <w:rPr>
          <w:rFonts w:asciiTheme="minorHAnsi" w:hAnsiTheme="minorHAnsi" w:cstheme="minorHAnsi"/>
          <w:lang w:val="en-GB"/>
        </w:rPr>
        <w:t xml:space="preserve">re was an </w:t>
      </w:r>
      <w:r w:rsidR="00CC43D3" w:rsidRPr="0095744A">
        <w:rPr>
          <w:rFonts w:asciiTheme="minorHAnsi" w:hAnsiTheme="minorHAnsi" w:cstheme="minorHAnsi"/>
          <w:lang w:val="en-GB"/>
        </w:rPr>
        <w:t xml:space="preserve">unmet </w:t>
      </w:r>
      <w:r w:rsidR="003A1D25" w:rsidRPr="0095744A">
        <w:rPr>
          <w:rFonts w:asciiTheme="minorHAnsi" w:hAnsiTheme="minorHAnsi" w:cstheme="minorHAnsi"/>
          <w:lang w:val="en-GB"/>
        </w:rPr>
        <w:t xml:space="preserve">need </w:t>
      </w:r>
      <w:r w:rsidR="00CC43D3" w:rsidRPr="0095744A">
        <w:rPr>
          <w:rFonts w:asciiTheme="minorHAnsi" w:hAnsiTheme="minorHAnsi" w:cstheme="minorHAnsi"/>
          <w:lang w:val="en-GB"/>
        </w:rPr>
        <w:t>it was not considered high and urgent due to the availability of other t</w:t>
      </w:r>
      <w:r w:rsidR="00A84156" w:rsidRPr="0095744A">
        <w:rPr>
          <w:rFonts w:asciiTheme="minorHAnsi" w:hAnsiTheme="minorHAnsi" w:cstheme="minorHAnsi"/>
          <w:lang w:val="en-GB"/>
        </w:rPr>
        <w:t>herapies</w:t>
      </w:r>
      <w:r w:rsidR="001F37C5" w:rsidRPr="0095744A">
        <w:rPr>
          <w:rFonts w:asciiTheme="minorHAnsi" w:hAnsiTheme="minorHAnsi" w:cstheme="minorHAnsi"/>
          <w:lang w:val="en-GB"/>
        </w:rPr>
        <w:t>;</w:t>
      </w:r>
    </w:p>
    <w:p w14:paraId="131A647A" w14:textId="37070675" w:rsidR="00CB1C34" w:rsidRPr="0095744A" w:rsidRDefault="00904200" w:rsidP="007368C9">
      <w:pPr>
        <w:widowControl w:val="0"/>
        <w:numPr>
          <w:ilvl w:val="1"/>
          <w:numId w:val="25"/>
        </w:numPr>
        <w:spacing w:after="120"/>
        <w:rPr>
          <w:rFonts w:asciiTheme="minorHAnsi" w:hAnsiTheme="minorHAnsi" w:cstheme="minorHAnsi"/>
          <w:lang w:val="en-GB"/>
        </w:rPr>
      </w:pPr>
      <w:r w:rsidRPr="0095744A">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1F37C5" w:rsidRPr="0095744A">
        <w:rPr>
          <w:rFonts w:asciiTheme="minorHAnsi" w:hAnsiTheme="minorHAnsi" w:cstheme="minorHAnsi"/>
          <w:lang w:val="en-GB"/>
        </w:rPr>
        <w:t>.</w:t>
      </w:r>
    </w:p>
    <w:p w14:paraId="664F9283" w14:textId="76320ABB" w:rsidR="00904200" w:rsidRPr="0095744A" w:rsidRDefault="00904200" w:rsidP="00904200">
      <w:pPr>
        <w:widowControl w:val="0"/>
        <w:numPr>
          <w:ilvl w:val="1"/>
          <w:numId w:val="1"/>
        </w:numPr>
        <w:spacing w:after="120"/>
        <w:rPr>
          <w:rFonts w:asciiTheme="minorHAnsi" w:hAnsiTheme="minorHAnsi"/>
          <w:bCs/>
          <w:i/>
          <w:snapToGrid w:val="0"/>
          <w:lang w:val="en-GB"/>
        </w:rPr>
      </w:pPr>
      <w:r w:rsidRPr="0095744A">
        <w:rPr>
          <w:rFonts w:asciiTheme="minorHAnsi" w:hAnsiTheme="minorHAnsi"/>
          <w:bCs/>
          <w:snapToGrid w:val="0"/>
          <w:lang w:val="en-GB"/>
        </w:rPr>
        <w:t xml:space="preserve">The PBAC </w:t>
      </w:r>
      <w:r w:rsidR="00FC3238" w:rsidRPr="0095744A">
        <w:rPr>
          <w:rFonts w:asciiTheme="minorHAnsi" w:hAnsiTheme="minorHAnsi"/>
          <w:bCs/>
          <w:snapToGrid w:val="0"/>
          <w:lang w:val="en-GB"/>
        </w:rPr>
        <w:t>advised</w:t>
      </w:r>
      <w:r w:rsidRPr="0095744A">
        <w:rPr>
          <w:rFonts w:asciiTheme="minorHAnsi" w:hAnsiTheme="minorHAnsi"/>
          <w:bCs/>
          <w:snapToGrid w:val="0"/>
          <w:lang w:val="en-GB"/>
        </w:rPr>
        <w:t xml:space="preserve"> that this submission</w:t>
      </w:r>
      <w:r w:rsidR="000F7CD3" w:rsidRPr="0095744A">
        <w:rPr>
          <w:rFonts w:asciiTheme="minorHAnsi" w:hAnsiTheme="minorHAnsi"/>
          <w:bCs/>
          <w:snapToGrid w:val="0"/>
          <w:lang w:val="en-GB"/>
        </w:rPr>
        <w:t xml:space="preserve"> </w:t>
      </w:r>
      <w:proofErr w:type="gramStart"/>
      <w:r w:rsidR="000F7CD3" w:rsidRPr="0095744A">
        <w:rPr>
          <w:rFonts w:asciiTheme="minorHAnsi" w:hAnsiTheme="minorHAnsi"/>
          <w:bCs/>
          <w:snapToGrid w:val="0"/>
          <w:lang w:val="en-GB"/>
        </w:rPr>
        <w:t xml:space="preserve">would </w:t>
      </w:r>
      <w:r w:rsidRPr="0095744A">
        <w:rPr>
          <w:rFonts w:asciiTheme="minorHAnsi" w:hAnsiTheme="minorHAnsi"/>
          <w:bCs/>
          <w:snapToGrid w:val="0"/>
          <w:lang w:val="en-GB"/>
        </w:rPr>
        <w:t xml:space="preserve"> not</w:t>
      </w:r>
      <w:proofErr w:type="gramEnd"/>
      <w:r w:rsidRPr="0095744A">
        <w:rPr>
          <w:rFonts w:asciiTheme="minorHAnsi" w:hAnsiTheme="minorHAnsi"/>
          <w:bCs/>
          <w:snapToGrid w:val="0"/>
          <w:lang w:val="en-GB"/>
        </w:rPr>
        <w:t xml:space="preserve"> </w:t>
      </w:r>
      <w:r w:rsidR="000F7CD3" w:rsidRPr="0095744A">
        <w:rPr>
          <w:rFonts w:asciiTheme="minorHAnsi" w:hAnsiTheme="minorHAnsi"/>
          <w:bCs/>
          <w:snapToGrid w:val="0"/>
          <w:lang w:val="en-GB"/>
        </w:rPr>
        <w:t xml:space="preserve">be </w:t>
      </w:r>
      <w:r w:rsidRPr="0095744A">
        <w:rPr>
          <w:rFonts w:asciiTheme="minorHAnsi" w:hAnsiTheme="minorHAnsi"/>
          <w:bCs/>
          <w:snapToGrid w:val="0"/>
          <w:lang w:val="en-GB"/>
        </w:rPr>
        <w:t>eligible for an Independent Review</w:t>
      </w:r>
      <w:r w:rsidR="001F37C5" w:rsidRPr="0095744A">
        <w:rPr>
          <w:rFonts w:asciiTheme="minorHAnsi" w:hAnsiTheme="minorHAnsi"/>
          <w:bCs/>
          <w:snapToGrid w:val="0"/>
          <w:lang w:val="en-GB"/>
        </w:rPr>
        <w:t xml:space="preserve"> as it received a positive recommendation</w:t>
      </w:r>
      <w:r w:rsidRPr="0095744A">
        <w:rPr>
          <w:rFonts w:asciiTheme="minorHAnsi" w:hAnsiTheme="minorHAnsi"/>
          <w:bCs/>
          <w:snapToGrid w:val="0"/>
          <w:lang w:val="en-GB"/>
        </w:rPr>
        <w:t xml:space="preserve">. </w:t>
      </w:r>
    </w:p>
    <w:p w14:paraId="15B48C2D" w14:textId="77777777" w:rsidR="00904200" w:rsidRPr="00525B39" w:rsidRDefault="00904200" w:rsidP="00904200">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A7252FE" w14:textId="467EEDE5" w:rsidR="00904200" w:rsidRPr="00525B39" w:rsidRDefault="00904200" w:rsidP="00904200">
      <w:pPr>
        <w:rPr>
          <w:rFonts w:asciiTheme="minorHAnsi" w:hAnsiTheme="minorHAnsi"/>
          <w:bCs/>
          <w:snapToGrid w:val="0"/>
          <w:lang w:val="en-GB"/>
        </w:rPr>
      </w:pPr>
      <w:r w:rsidRPr="00525B39">
        <w:rPr>
          <w:rFonts w:asciiTheme="minorHAnsi" w:hAnsiTheme="minorHAnsi"/>
          <w:bCs/>
          <w:snapToGrid w:val="0"/>
          <w:lang w:val="en-GB"/>
        </w:rPr>
        <w:t>Recommended</w:t>
      </w:r>
    </w:p>
    <w:bookmarkEnd w:id="113"/>
    <w:p w14:paraId="764B4C20" w14:textId="77777777" w:rsidR="00904200" w:rsidRPr="00907671" w:rsidRDefault="00904200" w:rsidP="00904200">
      <w:pPr>
        <w:pStyle w:val="2-SectionHeading"/>
        <w:numPr>
          <w:ilvl w:val="0"/>
          <w:numId w:val="1"/>
        </w:numPr>
      </w:pPr>
      <w:r w:rsidRPr="00907671">
        <w:t>Recommended listing</w:t>
      </w:r>
    </w:p>
    <w:p w14:paraId="3D5CABAA" w14:textId="77777777" w:rsidR="00904200" w:rsidRPr="00457A45" w:rsidRDefault="00904200" w:rsidP="00457A45">
      <w:pPr>
        <w:widowControl w:val="0"/>
        <w:numPr>
          <w:ilvl w:val="1"/>
          <w:numId w:val="1"/>
        </w:numPr>
        <w:spacing w:after="120"/>
        <w:contextualSpacing/>
        <w:rPr>
          <w:rFonts w:asciiTheme="minorHAnsi" w:hAnsiTheme="minorHAnsi"/>
          <w:b/>
          <w:bCs/>
          <w:snapToGrid w:val="0"/>
        </w:rPr>
      </w:pPr>
      <w:r w:rsidRPr="00457A45">
        <w:rPr>
          <w:rFonts w:asciiTheme="minorHAnsi" w:hAnsiTheme="minorHAnsi"/>
          <w:bCs/>
          <w:snapToGrid w:val="0"/>
        </w:rPr>
        <w:t>Add new item:</w:t>
      </w:r>
    </w:p>
    <w:p w14:paraId="17666D9C" w14:textId="77777777" w:rsidR="00904200" w:rsidRDefault="00904200" w:rsidP="00A975A4">
      <w:pPr>
        <w:spacing w:before="60" w:after="60"/>
        <w:ind w:left="720"/>
        <w:rPr>
          <w:rFonts w:asciiTheme="minorHAnsi" w:hAnsiTheme="minorHAnsi"/>
          <w:bCs/>
          <w:snapToGrid w:val="0"/>
        </w:rPr>
      </w:pPr>
    </w:p>
    <w:p w14:paraId="298842F2" w14:textId="77777777" w:rsidR="00CC6405" w:rsidRPr="00E04F12" w:rsidRDefault="00CC6405" w:rsidP="00CC6405">
      <w:pPr>
        <w:keepNext/>
        <w:outlineLvl w:val="1"/>
        <w:rPr>
          <w:rFonts w:ascii="Arial" w:hAnsi="Arial"/>
          <w:b/>
          <w:bCs/>
          <w:szCs w:val="26"/>
        </w:rPr>
      </w:pPr>
      <w:r w:rsidRPr="00E04F12">
        <w:rPr>
          <w:b/>
          <w:bCs/>
          <w:snapToGrid w:val="0"/>
          <w:szCs w:val="26"/>
        </w:rPr>
        <w:t>Obinutuzumab – single pre-treatment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823"/>
        <w:gridCol w:w="1973"/>
        <w:gridCol w:w="1973"/>
        <w:gridCol w:w="1977"/>
      </w:tblGrid>
      <w:tr w:rsidR="00CC6405" w:rsidRPr="00E04F12" w14:paraId="6E5F6400" w14:textId="77777777" w:rsidTr="002178A9">
        <w:trPr>
          <w:cantSplit/>
          <w:trHeight w:val="20"/>
        </w:trPr>
        <w:tc>
          <w:tcPr>
            <w:tcW w:w="1716" w:type="pct"/>
            <w:gridSpan w:val="2"/>
            <w:vAlign w:val="center"/>
          </w:tcPr>
          <w:p w14:paraId="6B7CFEBA" w14:textId="77777777" w:rsidR="00CC6405" w:rsidRPr="00E04F12" w:rsidRDefault="00CC6405" w:rsidP="002178A9">
            <w:pPr>
              <w:keepNext/>
              <w:rPr>
                <w:rFonts w:ascii="Arial Narrow" w:eastAsia="Calibri" w:hAnsi="Arial Narrow"/>
                <w:b/>
                <w:bCs/>
                <w:sz w:val="20"/>
                <w:szCs w:val="20"/>
              </w:rPr>
            </w:pPr>
            <w:r w:rsidRPr="00E04F12">
              <w:rPr>
                <w:rFonts w:ascii="Arial Narrow" w:eastAsia="Calibri" w:hAnsi="Arial Narrow"/>
                <w:b/>
                <w:bCs/>
                <w:sz w:val="20"/>
                <w:szCs w:val="20"/>
              </w:rPr>
              <w:t>MEDICINAL PRODUCT</w:t>
            </w:r>
          </w:p>
          <w:p w14:paraId="354503FB"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Form</w:t>
            </w:r>
          </w:p>
        </w:tc>
        <w:tc>
          <w:tcPr>
            <w:tcW w:w="1094" w:type="pct"/>
            <w:vAlign w:val="center"/>
          </w:tcPr>
          <w:p w14:paraId="33B688EE"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PBS item code</w:t>
            </w:r>
          </w:p>
        </w:tc>
        <w:tc>
          <w:tcPr>
            <w:tcW w:w="1094" w:type="pct"/>
            <w:vAlign w:val="center"/>
          </w:tcPr>
          <w:p w14:paraId="7CAFD6A4"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Max. Amount</w:t>
            </w:r>
          </w:p>
        </w:tc>
        <w:tc>
          <w:tcPr>
            <w:tcW w:w="1096" w:type="pct"/>
            <w:vAlign w:val="center"/>
          </w:tcPr>
          <w:p w14:paraId="00CA5D06"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№.of Rpts</w:t>
            </w:r>
          </w:p>
        </w:tc>
      </w:tr>
      <w:tr w:rsidR="00CC6405" w:rsidRPr="00E04F12" w14:paraId="61669E27" w14:textId="77777777" w:rsidTr="002178A9">
        <w:trPr>
          <w:cantSplit/>
          <w:trHeight w:val="20"/>
        </w:trPr>
        <w:tc>
          <w:tcPr>
            <w:tcW w:w="1716" w:type="pct"/>
            <w:gridSpan w:val="2"/>
            <w:vAlign w:val="center"/>
          </w:tcPr>
          <w:p w14:paraId="5C8C5660"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sz w:val="20"/>
                <w:szCs w:val="20"/>
              </w:rPr>
              <w:t>OBINUTUZUMAB</w:t>
            </w:r>
            <w:r w:rsidRPr="00E04F12">
              <w:rPr>
                <w:rFonts w:ascii="Arial Narrow" w:eastAsia="Calibri" w:hAnsi="Arial Narrow"/>
                <w:color w:val="FF0000"/>
                <w:sz w:val="20"/>
                <w:szCs w:val="20"/>
              </w:rPr>
              <w:br/>
            </w:r>
            <w:r w:rsidRPr="00E04F12">
              <w:rPr>
                <w:rFonts w:ascii="Arial Narrow" w:eastAsia="Calibri" w:hAnsi="Arial Narrow" w:cs="Arial Narrow"/>
                <w:sz w:val="20"/>
                <w:szCs w:val="20"/>
              </w:rPr>
              <w:t>Injection</w:t>
            </w:r>
          </w:p>
        </w:tc>
        <w:tc>
          <w:tcPr>
            <w:tcW w:w="1094" w:type="pct"/>
            <w:vAlign w:val="center"/>
          </w:tcPr>
          <w:p w14:paraId="0EDA885B"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NEW (Public)</w:t>
            </w:r>
            <w:r w:rsidRPr="00E04F12">
              <w:rPr>
                <w:rFonts w:ascii="Arial Narrow" w:eastAsia="Calibri" w:hAnsi="Arial Narrow"/>
                <w:sz w:val="20"/>
                <w:szCs w:val="20"/>
              </w:rPr>
              <w:br/>
              <w:t>NEW (Private)</w:t>
            </w:r>
          </w:p>
        </w:tc>
        <w:tc>
          <w:tcPr>
            <w:tcW w:w="1094" w:type="pct"/>
            <w:vAlign w:val="center"/>
          </w:tcPr>
          <w:p w14:paraId="70ADB89D"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1000 mg</w:t>
            </w:r>
          </w:p>
        </w:tc>
        <w:tc>
          <w:tcPr>
            <w:tcW w:w="1096" w:type="pct"/>
            <w:vAlign w:val="center"/>
          </w:tcPr>
          <w:p w14:paraId="539049A8"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0</w:t>
            </w:r>
          </w:p>
        </w:tc>
      </w:tr>
      <w:tr w:rsidR="00CC6405" w:rsidRPr="00E04F12" w14:paraId="5619EF49" w14:textId="77777777" w:rsidTr="002178A9">
        <w:trPr>
          <w:cantSplit/>
          <w:trHeight w:val="20"/>
        </w:trPr>
        <w:tc>
          <w:tcPr>
            <w:tcW w:w="5000" w:type="pct"/>
            <w:gridSpan w:val="5"/>
            <w:vAlign w:val="center"/>
          </w:tcPr>
          <w:p w14:paraId="38CE1C21"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 xml:space="preserve">Available brands </w:t>
            </w:r>
          </w:p>
        </w:tc>
      </w:tr>
      <w:tr w:rsidR="00CC6405" w:rsidRPr="00E04F12" w14:paraId="0A0CFBA1" w14:textId="77777777" w:rsidTr="002178A9">
        <w:trPr>
          <w:cantSplit/>
          <w:trHeight w:val="20"/>
        </w:trPr>
        <w:tc>
          <w:tcPr>
            <w:tcW w:w="5000" w:type="pct"/>
            <w:gridSpan w:val="5"/>
            <w:vAlign w:val="center"/>
          </w:tcPr>
          <w:p w14:paraId="3BFDA06E" w14:textId="77777777" w:rsidR="00CC6405" w:rsidRPr="00E04F12" w:rsidRDefault="00CC6405" w:rsidP="002178A9">
            <w:pPr>
              <w:keepNext/>
              <w:rPr>
                <w:rFonts w:ascii="Arial Narrow" w:eastAsia="Calibri" w:hAnsi="Arial Narrow"/>
                <w:sz w:val="20"/>
                <w:szCs w:val="20"/>
              </w:rPr>
            </w:pPr>
            <w:proofErr w:type="spellStart"/>
            <w:r w:rsidRPr="00E04F12">
              <w:rPr>
                <w:rFonts w:ascii="Arial Narrow" w:eastAsia="Calibri" w:hAnsi="Arial Narrow"/>
                <w:sz w:val="20"/>
                <w:szCs w:val="20"/>
              </w:rPr>
              <w:t>Gazyva</w:t>
            </w:r>
            <w:proofErr w:type="spellEnd"/>
          </w:p>
          <w:p w14:paraId="0C007ECB"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sz w:val="20"/>
                <w:szCs w:val="20"/>
              </w:rPr>
              <w:t>obinutuzumab 1 g/40 mL injection, 40 mL vial</w:t>
            </w:r>
          </w:p>
        </w:tc>
      </w:tr>
      <w:tr w:rsidR="00CC6405" w:rsidRPr="00E04F12" w14:paraId="2DF448F0" w14:textId="77777777" w:rsidTr="002178A9">
        <w:trPr>
          <w:cantSplit/>
          <w:trHeight w:val="20"/>
        </w:trPr>
        <w:tc>
          <w:tcPr>
            <w:tcW w:w="5000" w:type="pct"/>
            <w:gridSpan w:val="5"/>
            <w:vAlign w:val="center"/>
          </w:tcPr>
          <w:p w14:paraId="2F1E06B6" w14:textId="77777777" w:rsidR="00CC6405" w:rsidRPr="00E04F12" w:rsidRDefault="00CC6405" w:rsidP="002178A9">
            <w:pPr>
              <w:rPr>
                <w:rFonts w:ascii="Arial Narrow" w:eastAsia="Calibri" w:hAnsi="Arial Narrow"/>
                <w:color w:val="FF0000"/>
                <w:sz w:val="20"/>
                <w:szCs w:val="20"/>
              </w:rPr>
            </w:pPr>
          </w:p>
        </w:tc>
      </w:tr>
      <w:tr w:rsidR="00CC6405" w:rsidRPr="00E04F12" w14:paraId="78D02BCC"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tcPr>
          <w:p w14:paraId="0F9EEA58"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 xml:space="preserve">Concept ID </w:t>
            </w:r>
            <w:r w:rsidRPr="00E04F12">
              <w:rPr>
                <w:rFonts w:ascii="Arial Narrow" w:eastAsia="Calibri" w:hAnsi="Arial Narrow"/>
                <w:sz w:val="20"/>
                <w:szCs w:val="20"/>
              </w:rPr>
              <w:t>(for internal Dept. use)</w:t>
            </w:r>
          </w:p>
        </w:tc>
        <w:tc>
          <w:tcPr>
            <w:tcW w:w="4295" w:type="pct"/>
            <w:gridSpan w:val="4"/>
          </w:tcPr>
          <w:p w14:paraId="5E90EC90"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b/>
                <w:sz w:val="20"/>
                <w:szCs w:val="20"/>
              </w:rPr>
              <w:t xml:space="preserve">Category / Program: </w:t>
            </w:r>
            <w:r w:rsidRPr="00E04F12">
              <w:rPr>
                <w:rFonts w:ascii="Arial Narrow" w:eastAsia="Calibri" w:hAnsi="Arial Narrow"/>
                <w:sz w:val="20"/>
                <w:szCs w:val="20"/>
              </w:rPr>
              <w:t>Section 100 – Efficient Funding of Chemotherapy Public/Private hospitals</w:t>
            </w:r>
          </w:p>
        </w:tc>
      </w:tr>
      <w:tr w:rsidR="00CC6405" w:rsidRPr="00E04F12" w14:paraId="2DE06AD3"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652D28FE" w14:textId="77777777" w:rsidR="00CC6405" w:rsidRPr="00E04F12" w:rsidRDefault="00CC6405" w:rsidP="002178A9">
            <w:pPr>
              <w:keepNext/>
              <w:rPr>
                <w:rFonts w:ascii="Arial Narrow" w:eastAsia="Calibri" w:hAnsi="Arial Narrow"/>
                <w:sz w:val="20"/>
                <w:szCs w:val="20"/>
              </w:rPr>
            </w:pPr>
          </w:p>
        </w:tc>
        <w:tc>
          <w:tcPr>
            <w:tcW w:w="4295" w:type="pct"/>
            <w:gridSpan w:val="4"/>
          </w:tcPr>
          <w:p w14:paraId="108A8A18"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 xml:space="preserve">Prescriber type: </w:t>
            </w:r>
            <w:r w:rsidRPr="00E04F12">
              <w:rPr>
                <w:rFonts w:ascii="Arial Narrow" w:eastAsia="Calibri" w:hAnsi="Arial Narrow"/>
                <w:sz w:val="20"/>
                <w:szCs w:val="20"/>
              </w:rPr>
              <w:fldChar w:fldCharType="begin" w:fldLock="1">
                <w:ffData>
                  <w:name w:val=""/>
                  <w:enabled/>
                  <w:calcOnExit w:val="0"/>
                  <w:checkBox>
                    <w:sizeAuto/>
                    <w:default w:val="1"/>
                  </w:checkBox>
                </w:ffData>
              </w:fldChar>
            </w:r>
            <w:r w:rsidRPr="00E04F12">
              <w:rPr>
                <w:rFonts w:ascii="Arial Narrow" w:eastAsia="Calibri" w:hAnsi="Arial Narrow"/>
                <w:sz w:val="20"/>
                <w:szCs w:val="20"/>
              </w:rPr>
              <w:instrText xml:space="preserve"> FORMCHECKBOX </w:instrText>
            </w:r>
            <w:r w:rsidRPr="00E04F12">
              <w:rPr>
                <w:rFonts w:ascii="Arial Narrow" w:eastAsia="Calibri" w:hAnsi="Arial Narrow"/>
                <w:sz w:val="20"/>
                <w:szCs w:val="20"/>
              </w:rPr>
            </w:r>
            <w:r w:rsidRPr="00E04F12">
              <w:rPr>
                <w:rFonts w:ascii="Arial Narrow" w:eastAsia="Calibri" w:hAnsi="Arial Narrow"/>
                <w:sz w:val="20"/>
                <w:szCs w:val="20"/>
              </w:rPr>
              <w:fldChar w:fldCharType="separate"/>
            </w:r>
            <w:r w:rsidRPr="00E04F12">
              <w:rPr>
                <w:rFonts w:ascii="Arial Narrow" w:eastAsia="Calibri" w:hAnsi="Arial Narrow"/>
                <w:sz w:val="20"/>
                <w:szCs w:val="20"/>
              </w:rPr>
              <w:fldChar w:fldCharType="end"/>
            </w:r>
            <w:r w:rsidRPr="00E04F12">
              <w:rPr>
                <w:rFonts w:ascii="Arial Narrow" w:eastAsia="Calibri" w:hAnsi="Arial Narrow"/>
                <w:sz w:val="20"/>
                <w:szCs w:val="20"/>
              </w:rPr>
              <w:t xml:space="preserve">Medical Practitioners </w:t>
            </w:r>
          </w:p>
        </w:tc>
      </w:tr>
      <w:tr w:rsidR="00CC6405" w:rsidRPr="00E04F12" w14:paraId="28725974"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156EEBA9" w14:textId="77777777" w:rsidR="00CC6405" w:rsidRPr="00E04F12" w:rsidRDefault="00CC6405" w:rsidP="002178A9">
            <w:pPr>
              <w:rPr>
                <w:rFonts w:ascii="Arial Narrow" w:eastAsia="Calibri" w:hAnsi="Arial Narrow"/>
                <w:sz w:val="20"/>
                <w:szCs w:val="20"/>
              </w:rPr>
            </w:pPr>
          </w:p>
        </w:tc>
        <w:tc>
          <w:tcPr>
            <w:tcW w:w="4295" w:type="pct"/>
            <w:gridSpan w:val="4"/>
          </w:tcPr>
          <w:p w14:paraId="5B535F0D" w14:textId="77777777" w:rsidR="00CC6405" w:rsidRPr="00E04F12" w:rsidRDefault="00CC6405" w:rsidP="002178A9">
            <w:pPr>
              <w:rPr>
                <w:rFonts w:ascii="Arial Narrow" w:eastAsia="Calibri" w:hAnsi="Arial Narrow"/>
                <w:sz w:val="20"/>
                <w:szCs w:val="20"/>
              </w:rPr>
            </w:pPr>
            <w:r w:rsidRPr="00E04F12">
              <w:rPr>
                <w:rFonts w:ascii="Arial Narrow" w:eastAsia="Calibri" w:hAnsi="Arial Narrow"/>
                <w:b/>
                <w:sz w:val="20"/>
                <w:szCs w:val="20"/>
              </w:rPr>
              <w:t xml:space="preserve">Restriction type: </w:t>
            </w:r>
            <w:r w:rsidRPr="00E04F12">
              <w:rPr>
                <w:rFonts w:ascii="Arial Narrow" w:eastAsia="Calibri" w:hAnsi="Arial Narrow"/>
                <w:sz w:val="20"/>
                <w:szCs w:val="20"/>
              </w:rPr>
              <w:fldChar w:fldCharType="begin" w:fldLock="1">
                <w:ffData>
                  <w:name w:val="Check3"/>
                  <w:enabled/>
                  <w:calcOnExit w:val="0"/>
                  <w:checkBox>
                    <w:sizeAuto/>
                    <w:default w:val="1"/>
                  </w:checkBox>
                </w:ffData>
              </w:fldChar>
            </w:r>
            <w:r w:rsidRPr="00E04F12">
              <w:rPr>
                <w:rFonts w:ascii="Arial Narrow" w:eastAsia="Calibri" w:hAnsi="Arial Narrow"/>
                <w:sz w:val="20"/>
                <w:szCs w:val="20"/>
              </w:rPr>
              <w:instrText xml:space="preserve"> FORMCHECKBOX </w:instrText>
            </w:r>
            <w:r w:rsidRPr="00E04F12">
              <w:rPr>
                <w:rFonts w:ascii="Arial Narrow" w:eastAsia="Calibri" w:hAnsi="Arial Narrow"/>
                <w:sz w:val="20"/>
                <w:szCs w:val="20"/>
              </w:rPr>
            </w:r>
            <w:r w:rsidRPr="00E04F12">
              <w:rPr>
                <w:rFonts w:ascii="Arial Narrow" w:eastAsia="Calibri" w:hAnsi="Arial Narrow"/>
                <w:sz w:val="20"/>
                <w:szCs w:val="20"/>
              </w:rPr>
              <w:fldChar w:fldCharType="separate"/>
            </w:r>
            <w:r w:rsidRPr="00E04F12">
              <w:rPr>
                <w:rFonts w:ascii="Arial Narrow" w:eastAsia="Calibri" w:hAnsi="Arial Narrow"/>
                <w:sz w:val="20"/>
                <w:szCs w:val="20"/>
              </w:rPr>
              <w:fldChar w:fldCharType="end"/>
            </w:r>
            <w:r w:rsidRPr="00E04F12">
              <w:rPr>
                <w:rFonts w:ascii="Arial Narrow" w:eastAsia="Calibri" w:hAnsi="Arial Narrow"/>
                <w:sz w:val="20"/>
                <w:szCs w:val="20"/>
              </w:rPr>
              <w:t>Authority Required (</w:t>
            </w:r>
            <w:r>
              <w:rPr>
                <w:rFonts w:ascii="Arial Narrow" w:eastAsia="Calibri" w:hAnsi="Arial Narrow"/>
                <w:sz w:val="20"/>
                <w:szCs w:val="20"/>
              </w:rPr>
              <w:t>Streamlined</w:t>
            </w:r>
            <w:r w:rsidRPr="00E04F12">
              <w:rPr>
                <w:rFonts w:ascii="Arial Narrow" w:eastAsia="Calibri" w:hAnsi="Arial Narrow"/>
                <w:sz w:val="20"/>
                <w:szCs w:val="20"/>
              </w:rPr>
              <w:t xml:space="preserve">) </w:t>
            </w:r>
          </w:p>
        </w:tc>
      </w:tr>
      <w:tr w:rsidR="00CC6405" w:rsidRPr="00E04F12" w14:paraId="759AA42D"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vAlign w:val="center"/>
          </w:tcPr>
          <w:p w14:paraId="45DE87EA" w14:textId="77777777" w:rsidR="00CC6405" w:rsidRPr="00E04F12" w:rsidRDefault="00CC6405" w:rsidP="002178A9">
            <w:pPr>
              <w:keepLines/>
              <w:jc w:val="center"/>
              <w:rPr>
                <w:rFonts w:ascii="Arial Narrow" w:hAnsi="Arial Narrow"/>
                <w:color w:val="333333"/>
                <w:sz w:val="20"/>
                <w:szCs w:val="20"/>
              </w:rPr>
            </w:pPr>
          </w:p>
        </w:tc>
        <w:tc>
          <w:tcPr>
            <w:tcW w:w="4295" w:type="pct"/>
            <w:gridSpan w:val="4"/>
            <w:vAlign w:val="center"/>
          </w:tcPr>
          <w:p w14:paraId="0510EE82" w14:textId="77777777" w:rsidR="00CC6405" w:rsidRPr="00E04F12" w:rsidRDefault="00CC6405" w:rsidP="002178A9">
            <w:pPr>
              <w:keepLines/>
              <w:rPr>
                <w:rFonts w:ascii="Arial Narrow" w:hAnsi="Arial Narrow"/>
                <w:bCs/>
                <w:sz w:val="20"/>
                <w:szCs w:val="20"/>
              </w:rPr>
            </w:pPr>
            <w:proofErr w:type="spellStart"/>
            <w:r w:rsidRPr="00E04F12">
              <w:rPr>
                <w:rFonts w:ascii="Arial Narrow" w:hAnsi="Arial Narrow"/>
                <w:b/>
                <w:bCs/>
                <w:sz w:val="20"/>
                <w:szCs w:val="20"/>
              </w:rPr>
              <w:t>Episodicity</w:t>
            </w:r>
            <w:proofErr w:type="spellEnd"/>
            <w:r w:rsidRPr="00E04F12">
              <w:rPr>
                <w:rFonts w:ascii="Arial Narrow" w:hAnsi="Arial Narrow"/>
                <w:b/>
                <w:bCs/>
                <w:sz w:val="20"/>
                <w:szCs w:val="20"/>
              </w:rPr>
              <w:t>:</w:t>
            </w:r>
            <w:r w:rsidRPr="00E04F12">
              <w:rPr>
                <w:rFonts w:ascii="Arial Narrow" w:hAnsi="Arial Narrow"/>
                <w:bCs/>
                <w:sz w:val="20"/>
                <w:szCs w:val="20"/>
              </w:rPr>
              <w:t xml:space="preserve"> [blank]</w:t>
            </w:r>
          </w:p>
        </w:tc>
      </w:tr>
      <w:tr w:rsidR="00CC6405" w:rsidRPr="00E04F12" w14:paraId="0C27C192"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48993FF8" w14:textId="77777777" w:rsidR="00CC6405" w:rsidRPr="00E04F12" w:rsidRDefault="00CC6405" w:rsidP="002178A9">
            <w:pPr>
              <w:keepLines/>
              <w:jc w:val="center"/>
              <w:rPr>
                <w:rFonts w:ascii="Arial Narrow" w:hAnsi="Arial Narrow"/>
                <w:color w:val="333333"/>
                <w:sz w:val="20"/>
                <w:szCs w:val="20"/>
              </w:rPr>
            </w:pPr>
          </w:p>
        </w:tc>
        <w:tc>
          <w:tcPr>
            <w:tcW w:w="4295" w:type="pct"/>
            <w:gridSpan w:val="4"/>
            <w:vAlign w:val="center"/>
          </w:tcPr>
          <w:p w14:paraId="3A37DD0B" w14:textId="77777777" w:rsidR="00CC6405" w:rsidRPr="00E04F12" w:rsidRDefault="00CC6405" w:rsidP="002178A9">
            <w:pPr>
              <w:keepLines/>
              <w:rPr>
                <w:rFonts w:ascii="Arial Narrow" w:hAnsi="Arial Narrow"/>
                <w:b/>
                <w:bCs/>
                <w:sz w:val="20"/>
                <w:szCs w:val="20"/>
              </w:rPr>
            </w:pPr>
            <w:r w:rsidRPr="00E04F12">
              <w:rPr>
                <w:rFonts w:ascii="Arial Narrow" w:hAnsi="Arial Narrow"/>
                <w:b/>
                <w:bCs/>
                <w:sz w:val="20"/>
                <w:szCs w:val="20"/>
              </w:rPr>
              <w:t xml:space="preserve">Severity: </w:t>
            </w:r>
            <w:r w:rsidRPr="00E04F12">
              <w:rPr>
                <w:rFonts w:ascii="Arial Narrow" w:hAnsi="Arial Narrow"/>
                <w:bCs/>
                <w:sz w:val="20"/>
                <w:szCs w:val="20"/>
              </w:rPr>
              <w:t>Relapsed or refractory</w:t>
            </w:r>
          </w:p>
        </w:tc>
      </w:tr>
      <w:tr w:rsidR="00CC6405" w:rsidRPr="00E04F12" w14:paraId="7852F41C"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6C39B7F5" w14:textId="77777777" w:rsidR="00CC6405" w:rsidRPr="00E04F12" w:rsidRDefault="00CC6405" w:rsidP="002178A9">
            <w:pPr>
              <w:keepLines/>
              <w:jc w:val="center"/>
              <w:rPr>
                <w:rFonts w:ascii="Arial Narrow" w:hAnsi="Arial Narrow"/>
                <w:color w:val="333333"/>
                <w:sz w:val="20"/>
                <w:szCs w:val="20"/>
              </w:rPr>
            </w:pPr>
          </w:p>
        </w:tc>
        <w:tc>
          <w:tcPr>
            <w:tcW w:w="4295" w:type="pct"/>
            <w:gridSpan w:val="4"/>
            <w:vAlign w:val="center"/>
          </w:tcPr>
          <w:p w14:paraId="7D531B80" w14:textId="77777777" w:rsidR="00CC6405" w:rsidRPr="00E04F12" w:rsidRDefault="00CC6405" w:rsidP="002178A9">
            <w:pPr>
              <w:keepLines/>
              <w:rPr>
                <w:rFonts w:ascii="Arial Narrow" w:hAnsi="Arial Narrow"/>
                <w:b/>
                <w:bCs/>
                <w:sz w:val="20"/>
                <w:szCs w:val="20"/>
              </w:rPr>
            </w:pPr>
            <w:r w:rsidRPr="00E04F12">
              <w:rPr>
                <w:rFonts w:ascii="Arial Narrow" w:hAnsi="Arial Narrow"/>
                <w:b/>
                <w:bCs/>
                <w:sz w:val="20"/>
                <w:szCs w:val="20"/>
              </w:rPr>
              <w:t xml:space="preserve">Condition: </w:t>
            </w:r>
            <w:r w:rsidRPr="00E04F12">
              <w:rPr>
                <w:rFonts w:ascii="Arial Narrow" w:hAnsi="Arial Narrow"/>
                <w:bCs/>
                <w:sz w:val="20"/>
                <w:szCs w:val="20"/>
              </w:rPr>
              <w:t>Diffuse large b-cell lymphoma (DLBCL)</w:t>
            </w:r>
          </w:p>
        </w:tc>
      </w:tr>
      <w:tr w:rsidR="00CC6405" w:rsidRPr="00E04F12" w14:paraId="3E659125" w14:textId="77777777" w:rsidTr="002178A9">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216BC4B1" w14:textId="77777777" w:rsidR="00CC6405" w:rsidRPr="00E04F12" w:rsidRDefault="00CC6405" w:rsidP="002178A9">
            <w:pPr>
              <w:keepLines/>
              <w:rPr>
                <w:rFonts w:ascii="Arial Narrow" w:hAnsi="Arial Narrow"/>
                <w:sz w:val="20"/>
                <w:szCs w:val="20"/>
              </w:rPr>
            </w:pPr>
            <w:r w:rsidRPr="00E04F12">
              <w:rPr>
                <w:rFonts w:ascii="Arial Narrow" w:eastAsia="Calibri" w:hAnsi="Arial Narrow"/>
                <w:b/>
                <w:sz w:val="20"/>
                <w:szCs w:val="20"/>
              </w:rPr>
              <w:t>Restriction Summary [new1] / Treatment of Concept: [new1A]</w:t>
            </w:r>
          </w:p>
        </w:tc>
      </w:tr>
      <w:tr w:rsidR="00CC6405" w:rsidRPr="00E04F12" w14:paraId="2FA4B832"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597DFFEC" w14:textId="1AAC939E" w:rsidR="00CC6405" w:rsidRPr="00E04F12" w:rsidRDefault="00CC6405" w:rsidP="002178A9">
            <w:pPr>
              <w:keepLines/>
              <w:jc w:val="center"/>
              <w:rPr>
                <w:rFonts w:ascii="Arial Narrow" w:hAnsi="Arial Narrow"/>
                <w:color w:val="333333"/>
                <w:sz w:val="20"/>
                <w:szCs w:val="20"/>
              </w:rPr>
            </w:pPr>
          </w:p>
        </w:tc>
        <w:tc>
          <w:tcPr>
            <w:tcW w:w="4295" w:type="pct"/>
            <w:gridSpan w:val="4"/>
            <w:vAlign w:val="center"/>
          </w:tcPr>
          <w:p w14:paraId="51CFE583" w14:textId="77777777" w:rsidR="00CC6405" w:rsidRPr="00E04F12" w:rsidRDefault="00CC6405" w:rsidP="002178A9">
            <w:pPr>
              <w:keepLines/>
              <w:rPr>
                <w:rFonts w:ascii="Arial Narrow" w:hAnsi="Arial Narrow"/>
                <w:b/>
                <w:bCs/>
                <w:sz w:val="20"/>
                <w:szCs w:val="20"/>
              </w:rPr>
            </w:pPr>
            <w:r w:rsidRPr="00E04F12">
              <w:rPr>
                <w:rFonts w:ascii="Arial Narrow" w:hAnsi="Arial Narrow"/>
                <w:b/>
                <w:bCs/>
                <w:sz w:val="20"/>
                <w:szCs w:val="20"/>
              </w:rPr>
              <w:t>Indication:</w:t>
            </w:r>
            <w:r w:rsidRPr="00E04F12">
              <w:rPr>
                <w:rFonts w:ascii="Arial Narrow" w:hAnsi="Arial Narrow"/>
                <w:sz w:val="20"/>
                <w:szCs w:val="20"/>
              </w:rPr>
              <w:t xml:space="preserve"> Relapsed or refractory Diffuse large b-cell lymphoma (DLBCL)</w:t>
            </w:r>
          </w:p>
        </w:tc>
      </w:tr>
      <w:tr w:rsidR="00CC6405" w:rsidRPr="00E04F12" w14:paraId="3791B995"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5D3B1554" w14:textId="77777777" w:rsidR="00CC6405" w:rsidRPr="00E04F12" w:rsidRDefault="00CC6405" w:rsidP="002178A9">
            <w:pPr>
              <w:jc w:val="center"/>
              <w:rPr>
                <w:rFonts w:ascii="Arial Narrow" w:hAnsi="Arial Narrow"/>
                <w:color w:val="333333"/>
                <w:sz w:val="20"/>
                <w:szCs w:val="20"/>
              </w:rPr>
            </w:pPr>
          </w:p>
        </w:tc>
        <w:tc>
          <w:tcPr>
            <w:tcW w:w="4295" w:type="pct"/>
            <w:gridSpan w:val="4"/>
            <w:vAlign w:val="center"/>
            <w:hideMark/>
          </w:tcPr>
          <w:p w14:paraId="3EAE1613"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Treatment Phase:</w:t>
            </w:r>
            <w:r w:rsidRPr="00E04F12">
              <w:rPr>
                <w:rFonts w:ascii="Arial Narrow" w:hAnsi="Arial Narrow"/>
                <w:sz w:val="20"/>
                <w:szCs w:val="20"/>
              </w:rPr>
              <w:t xml:space="preserve"> Pre-treatment prior to initiation of glofitamab</w:t>
            </w:r>
          </w:p>
        </w:tc>
      </w:tr>
      <w:tr w:rsidR="00CC6405" w:rsidRPr="00E04F12" w14:paraId="57E11750"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6C896B6F" w14:textId="77777777" w:rsidR="00CC6405" w:rsidRPr="00E04F12" w:rsidRDefault="00CC6405" w:rsidP="002178A9">
            <w:pPr>
              <w:jc w:val="center"/>
              <w:rPr>
                <w:rFonts w:ascii="Arial Narrow" w:hAnsi="Arial Narrow"/>
                <w:color w:val="333333"/>
                <w:sz w:val="20"/>
                <w:szCs w:val="20"/>
              </w:rPr>
            </w:pPr>
          </w:p>
        </w:tc>
        <w:tc>
          <w:tcPr>
            <w:tcW w:w="4295" w:type="pct"/>
            <w:gridSpan w:val="4"/>
            <w:vAlign w:val="center"/>
            <w:hideMark/>
          </w:tcPr>
          <w:p w14:paraId="6EEB6726"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 xml:space="preserve">Clinical criteria: </w:t>
            </w:r>
          </w:p>
        </w:tc>
      </w:tr>
      <w:tr w:rsidR="00CC6405" w:rsidRPr="00E04F12" w14:paraId="6080F745"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7148314D" w14:textId="660A5E44" w:rsidR="00CC6405" w:rsidRPr="00E04F12" w:rsidRDefault="00CC6405" w:rsidP="002178A9">
            <w:pPr>
              <w:jc w:val="center"/>
              <w:rPr>
                <w:rFonts w:ascii="Arial Narrow" w:hAnsi="Arial Narrow"/>
                <w:color w:val="333333"/>
                <w:sz w:val="20"/>
                <w:szCs w:val="20"/>
              </w:rPr>
            </w:pPr>
          </w:p>
        </w:tc>
        <w:tc>
          <w:tcPr>
            <w:tcW w:w="4295" w:type="pct"/>
            <w:gridSpan w:val="4"/>
            <w:vAlign w:val="center"/>
          </w:tcPr>
          <w:p w14:paraId="79983D9F" w14:textId="77777777" w:rsidR="00CC6405" w:rsidRPr="00E04F12" w:rsidRDefault="00CC6405" w:rsidP="002178A9">
            <w:pPr>
              <w:rPr>
                <w:rFonts w:ascii="Arial Narrow" w:hAnsi="Arial Narrow"/>
                <w:color w:val="333333"/>
                <w:sz w:val="20"/>
                <w:szCs w:val="20"/>
              </w:rPr>
            </w:pPr>
            <w:r w:rsidRPr="00E04F12">
              <w:rPr>
                <w:rFonts w:ascii="Arial Narrow" w:hAnsi="Arial Narrow"/>
                <w:color w:val="333333"/>
                <w:sz w:val="20"/>
                <w:szCs w:val="20"/>
              </w:rPr>
              <w:t>Patient must be eligible to receive treatment under the PBS listing criteria for glofitamab.</w:t>
            </w:r>
          </w:p>
        </w:tc>
      </w:tr>
      <w:tr w:rsidR="00CC6405" w:rsidRPr="00E04F12" w14:paraId="1D569583"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4E9AEB4E" w14:textId="36CF5269" w:rsidR="00CC6405" w:rsidRPr="00E04F12" w:rsidRDefault="00CC6405" w:rsidP="002178A9">
            <w:pPr>
              <w:jc w:val="center"/>
              <w:rPr>
                <w:rFonts w:ascii="Arial Narrow" w:hAnsi="Arial Narrow"/>
                <w:color w:val="333333"/>
                <w:sz w:val="20"/>
                <w:szCs w:val="20"/>
              </w:rPr>
            </w:pPr>
          </w:p>
        </w:tc>
        <w:tc>
          <w:tcPr>
            <w:tcW w:w="4295" w:type="pct"/>
            <w:gridSpan w:val="4"/>
            <w:vAlign w:val="center"/>
          </w:tcPr>
          <w:p w14:paraId="2841F5FD" w14:textId="77777777" w:rsidR="00CC6405" w:rsidRPr="00E04F12" w:rsidRDefault="00CC6405" w:rsidP="002178A9">
            <w:pPr>
              <w:rPr>
                <w:rFonts w:ascii="Arial Narrow" w:hAnsi="Arial Narrow"/>
                <w:b/>
                <w:bCs/>
                <w:color w:val="333333"/>
                <w:sz w:val="20"/>
                <w:szCs w:val="20"/>
              </w:rPr>
            </w:pPr>
            <w:r w:rsidRPr="00E04F12">
              <w:rPr>
                <w:rFonts w:ascii="Arial Narrow" w:hAnsi="Arial Narrow"/>
                <w:b/>
                <w:bCs/>
                <w:color w:val="333333"/>
                <w:sz w:val="20"/>
                <w:szCs w:val="20"/>
              </w:rPr>
              <w:t xml:space="preserve">Prescribing Instructions: </w:t>
            </w:r>
          </w:p>
          <w:p w14:paraId="0586BEE9" w14:textId="77777777" w:rsidR="00CC6405" w:rsidRPr="00E04F12" w:rsidRDefault="00CC6405" w:rsidP="002178A9">
            <w:pPr>
              <w:rPr>
                <w:rFonts w:ascii="Arial Narrow" w:hAnsi="Arial Narrow"/>
                <w:b/>
                <w:bCs/>
                <w:color w:val="333333"/>
                <w:sz w:val="20"/>
                <w:szCs w:val="20"/>
              </w:rPr>
            </w:pPr>
            <w:r w:rsidRPr="00E04F12">
              <w:rPr>
                <w:rFonts w:ascii="Arial Narrow" w:hAnsi="Arial Narrow"/>
                <w:color w:val="333333"/>
                <w:sz w:val="20"/>
                <w:szCs w:val="20"/>
              </w:rPr>
              <w:t>Patient is intended to receive a single dose of Obinutuzumab 1000 mg 7 days prior to initiating glofitamab treatment (Cycle 1 Day 1).</w:t>
            </w:r>
          </w:p>
        </w:tc>
      </w:tr>
    </w:tbl>
    <w:p w14:paraId="1DB28428" w14:textId="77777777" w:rsidR="00CC6405" w:rsidRPr="00E04F12" w:rsidRDefault="00CC6405" w:rsidP="00CC6405">
      <w:pPr>
        <w:rPr>
          <w:rFonts w:eastAsia="Calibri"/>
        </w:rPr>
      </w:pPr>
    </w:p>
    <w:p w14:paraId="6484A388" w14:textId="77777777" w:rsidR="00CC6405" w:rsidRPr="00E04F12" w:rsidRDefault="00CC6405" w:rsidP="00CC6405">
      <w:pPr>
        <w:keepNext/>
        <w:ind w:left="567" w:hanging="567"/>
        <w:outlineLvl w:val="1"/>
        <w:rPr>
          <w:rFonts w:ascii="Arial" w:hAnsi="Arial"/>
          <w:b/>
          <w:bCs/>
          <w:szCs w:val="26"/>
        </w:rPr>
      </w:pPr>
      <w:r w:rsidRPr="00E04F12">
        <w:rPr>
          <w:b/>
          <w:bCs/>
          <w:snapToGrid w:val="0"/>
          <w:szCs w:val="26"/>
        </w:rPr>
        <w:t>Initial – Cycle 1, Day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823"/>
        <w:gridCol w:w="1973"/>
        <w:gridCol w:w="1973"/>
        <w:gridCol w:w="1977"/>
      </w:tblGrid>
      <w:tr w:rsidR="00CC6405" w:rsidRPr="00E04F12" w14:paraId="3D0BD916" w14:textId="77777777" w:rsidTr="002178A9">
        <w:trPr>
          <w:cantSplit/>
          <w:trHeight w:val="20"/>
        </w:trPr>
        <w:tc>
          <w:tcPr>
            <w:tcW w:w="1716" w:type="pct"/>
            <w:gridSpan w:val="2"/>
            <w:vAlign w:val="center"/>
          </w:tcPr>
          <w:p w14:paraId="4F8290AA" w14:textId="77777777" w:rsidR="00CC6405" w:rsidRPr="00E04F12" w:rsidRDefault="00CC6405" w:rsidP="002178A9">
            <w:pPr>
              <w:keepNext/>
              <w:rPr>
                <w:rFonts w:ascii="Arial Narrow" w:eastAsia="Calibri" w:hAnsi="Arial Narrow"/>
                <w:b/>
                <w:bCs/>
                <w:sz w:val="20"/>
                <w:szCs w:val="20"/>
              </w:rPr>
            </w:pPr>
            <w:r w:rsidRPr="00E04F12">
              <w:rPr>
                <w:rFonts w:ascii="Arial Narrow" w:eastAsia="Calibri" w:hAnsi="Arial Narrow"/>
                <w:b/>
                <w:bCs/>
                <w:sz w:val="20"/>
                <w:szCs w:val="20"/>
              </w:rPr>
              <w:t>MEDICINAL PRODUCT</w:t>
            </w:r>
          </w:p>
          <w:p w14:paraId="5EF4B80D"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Form</w:t>
            </w:r>
          </w:p>
        </w:tc>
        <w:tc>
          <w:tcPr>
            <w:tcW w:w="1094" w:type="pct"/>
            <w:vAlign w:val="center"/>
          </w:tcPr>
          <w:p w14:paraId="6D45B2F2"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PBS item code</w:t>
            </w:r>
          </w:p>
        </w:tc>
        <w:tc>
          <w:tcPr>
            <w:tcW w:w="1094" w:type="pct"/>
            <w:vAlign w:val="center"/>
          </w:tcPr>
          <w:p w14:paraId="25EEE128"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Max. Amount</w:t>
            </w:r>
          </w:p>
        </w:tc>
        <w:tc>
          <w:tcPr>
            <w:tcW w:w="1096" w:type="pct"/>
            <w:vAlign w:val="center"/>
          </w:tcPr>
          <w:p w14:paraId="58407D18"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№.of Rpts</w:t>
            </w:r>
          </w:p>
        </w:tc>
      </w:tr>
      <w:tr w:rsidR="00CC6405" w:rsidRPr="00E04F12" w14:paraId="6BFDE41D" w14:textId="77777777" w:rsidTr="002178A9">
        <w:trPr>
          <w:cantSplit/>
          <w:trHeight w:val="20"/>
        </w:trPr>
        <w:tc>
          <w:tcPr>
            <w:tcW w:w="1716" w:type="pct"/>
            <w:gridSpan w:val="2"/>
            <w:vAlign w:val="center"/>
          </w:tcPr>
          <w:p w14:paraId="0A93F2E4"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sz w:val="20"/>
                <w:szCs w:val="20"/>
              </w:rPr>
              <w:t>GLOFITAMAB</w:t>
            </w:r>
            <w:r w:rsidRPr="00E04F12">
              <w:rPr>
                <w:rFonts w:ascii="Arial Narrow" w:eastAsia="Calibri" w:hAnsi="Arial Narrow"/>
                <w:sz w:val="20"/>
                <w:szCs w:val="20"/>
              </w:rPr>
              <w:br/>
            </w:r>
            <w:r w:rsidRPr="00E04F12">
              <w:rPr>
                <w:rFonts w:ascii="Arial Narrow" w:eastAsia="Calibri" w:hAnsi="Arial Narrow" w:cs="Arial Narrow"/>
                <w:sz w:val="20"/>
                <w:szCs w:val="20"/>
              </w:rPr>
              <w:t>Injection</w:t>
            </w:r>
          </w:p>
        </w:tc>
        <w:tc>
          <w:tcPr>
            <w:tcW w:w="1094" w:type="pct"/>
            <w:vAlign w:val="center"/>
          </w:tcPr>
          <w:p w14:paraId="68D9DCC2"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NEW (Public)</w:t>
            </w:r>
            <w:r w:rsidRPr="00E04F12">
              <w:rPr>
                <w:rFonts w:ascii="Arial Narrow" w:eastAsia="Calibri" w:hAnsi="Arial Narrow"/>
                <w:sz w:val="20"/>
                <w:szCs w:val="20"/>
              </w:rPr>
              <w:br/>
              <w:t>NEW (Private)</w:t>
            </w:r>
          </w:p>
        </w:tc>
        <w:tc>
          <w:tcPr>
            <w:tcW w:w="1094" w:type="pct"/>
            <w:vAlign w:val="center"/>
          </w:tcPr>
          <w:p w14:paraId="08F6E6B5"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2</w:t>
            </w:r>
            <w:r>
              <w:rPr>
                <w:rFonts w:ascii="Arial Narrow" w:eastAsia="Calibri" w:hAnsi="Arial Narrow"/>
                <w:sz w:val="20"/>
                <w:szCs w:val="20"/>
              </w:rPr>
              <w:t>,</w:t>
            </w:r>
            <w:r w:rsidRPr="00D9303D">
              <w:rPr>
                <w:rFonts w:ascii="Arial Narrow" w:eastAsia="Calibri" w:hAnsi="Arial Narrow"/>
                <w:sz w:val="20"/>
                <w:szCs w:val="20"/>
              </w:rPr>
              <w:t>500</w:t>
            </w:r>
            <w:r>
              <w:rPr>
                <w:rFonts w:ascii="Arial Narrow" w:eastAsia="Calibri" w:hAnsi="Arial Narrow"/>
                <w:sz w:val="20"/>
                <w:szCs w:val="20"/>
              </w:rPr>
              <w:t xml:space="preserve"> </w:t>
            </w:r>
            <w:r w:rsidRPr="00D9303D">
              <w:rPr>
                <w:rFonts w:ascii="Arial Narrow" w:eastAsia="Calibri" w:hAnsi="Arial Narrow"/>
                <w:sz w:val="20"/>
                <w:szCs w:val="20"/>
              </w:rPr>
              <w:t>mcg</w:t>
            </w:r>
          </w:p>
          <w:p w14:paraId="02FD5445" w14:textId="77777777" w:rsidR="00CC6405" w:rsidRPr="00E04F12" w:rsidRDefault="00CC6405" w:rsidP="002178A9">
            <w:pPr>
              <w:keepNext/>
              <w:jc w:val="center"/>
              <w:rPr>
                <w:rFonts w:ascii="Arial Narrow" w:eastAsia="Calibri" w:hAnsi="Arial Narrow"/>
                <w:sz w:val="20"/>
                <w:szCs w:val="20"/>
              </w:rPr>
            </w:pPr>
          </w:p>
        </w:tc>
        <w:tc>
          <w:tcPr>
            <w:tcW w:w="1096" w:type="pct"/>
            <w:vAlign w:val="center"/>
          </w:tcPr>
          <w:p w14:paraId="4B969C7A"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0</w:t>
            </w:r>
          </w:p>
        </w:tc>
      </w:tr>
      <w:tr w:rsidR="00CC6405" w:rsidRPr="00E04F12" w14:paraId="58F05A7A" w14:textId="77777777" w:rsidTr="002178A9">
        <w:trPr>
          <w:cantSplit/>
          <w:trHeight w:val="20"/>
        </w:trPr>
        <w:tc>
          <w:tcPr>
            <w:tcW w:w="5000" w:type="pct"/>
            <w:gridSpan w:val="5"/>
            <w:vAlign w:val="center"/>
          </w:tcPr>
          <w:p w14:paraId="06251DAE"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 xml:space="preserve">Available brands </w:t>
            </w:r>
          </w:p>
        </w:tc>
      </w:tr>
      <w:tr w:rsidR="00CC6405" w:rsidRPr="00E04F12" w14:paraId="01439E52" w14:textId="77777777" w:rsidTr="002178A9">
        <w:trPr>
          <w:cantSplit/>
          <w:trHeight w:val="20"/>
        </w:trPr>
        <w:tc>
          <w:tcPr>
            <w:tcW w:w="5000" w:type="pct"/>
            <w:gridSpan w:val="5"/>
            <w:vAlign w:val="center"/>
          </w:tcPr>
          <w:p w14:paraId="17CBD1FD"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sz w:val="20"/>
                <w:szCs w:val="20"/>
              </w:rPr>
              <w:t xml:space="preserve">Columvi </w:t>
            </w:r>
            <w:r w:rsidRPr="00E04F12">
              <w:rPr>
                <w:rFonts w:ascii="Arial Narrow" w:eastAsia="Calibri" w:hAnsi="Arial Narrow"/>
                <w:sz w:val="20"/>
                <w:szCs w:val="20"/>
              </w:rPr>
              <w:br/>
              <w:t>Glofitamab 2.5 mg injection, 1 vial</w:t>
            </w:r>
          </w:p>
        </w:tc>
      </w:tr>
      <w:tr w:rsidR="00CC6405" w:rsidRPr="00E04F12" w14:paraId="750E5285" w14:textId="77777777" w:rsidTr="002178A9">
        <w:trPr>
          <w:cantSplit/>
          <w:trHeight w:val="20"/>
        </w:trPr>
        <w:tc>
          <w:tcPr>
            <w:tcW w:w="5000" w:type="pct"/>
            <w:gridSpan w:val="5"/>
            <w:vAlign w:val="center"/>
          </w:tcPr>
          <w:p w14:paraId="1A1D673D" w14:textId="77777777" w:rsidR="00CC6405" w:rsidRPr="00E04F12" w:rsidRDefault="00CC6405" w:rsidP="002178A9">
            <w:pPr>
              <w:rPr>
                <w:rFonts w:ascii="Arial Narrow" w:eastAsia="Calibri" w:hAnsi="Arial Narrow"/>
                <w:sz w:val="20"/>
                <w:szCs w:val="20"/>
              </w:rPr>
            </w:pPr>
          </w:p>
        </w:tc>
      </w:tr>
      <w:tr w:rsidR="00CC6405" w:rsidRPr="00E04F12" w14:paraId="7FDF22DB" w14:textId="77777777" w:rsidTr="002178A9">
        <w:trPr>
          <w:cantSplit/>
          <w:trHeight w:val="20"/>
        </w:trPr>
        <w:tc>
          <w:tcPr>
            <w:tcW w:w="5000" w:type="pct"/>
            <w:gridSpan w:val="5"/>
            <w:vAlign w:val="center"/>
          </w:tcPr>
          <w:p w14:paraId="4180A8F9"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b/>
                <w:sz w:val="20"/>
                <w:szCs w:val="20"/>
              </w:rPr>
              <w:t xml:space="preserve">Restriction Summary [new2] / Treatment of Concept: [new2A] </w:t>
            </w:r>
          </w:p>
        </w:tc>
      </w:tr>
      <w:tr w:rsidR="00CC6405" w:rsidRPr="00E04F12" w14:paraId="12100D51"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tcPr>
          <w:p w14:paraId="2E4939EC"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 xml:space="preserve">Concept ID </w:t>
            </w:r>
            <w:r w:rsidRPr="00E04F12">
              <w:rPr>
                <w:rFonts w:ascii="Arial Narrow" w:eastAsia="Calibri" w:hAnsi="Arial Narrow"/>
                <w:sz w:val="20"/>
                <w:szCs w:val="20"/>
              </w:rPr>
              <w:t>(for internal Dept. use)</w:t>
            </w:r>
          </w:p>
        </w:tc>
        <w:tc>
          <w:tcPr>
            <w:tcW w:w="4295" w:type="pct"/>
            <w:gridSpan w:val="4"/>
          </w:tcPr>
          <w:p w14:paraId="4A3FF112"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b/>
                <w:sz w:val="20"/>
                <w:szCs w:val="20"/>
              </w:rPr>
              <w:t xml:space="preserve">Category / Program: </w:t>
            </w:r>
            <w:r w:rsidRPr="00E04F12">
              <w:rPr>
                <w:rFonts w:ascii="Arial Narrow" w:eastAsia="Calibri" w:hAnsi="Arial Narrow"/>
                <w:sz w:val="20"/>
                <w:szCs w:val="20"/>
              </w:rPr>
              <w:t>Section 100 – Efficient Funding of Chemotherapy Public/Private hospitals</w:t>
            </w:r>
          </w:p>
        </w:tc>
      </w:tr>
      <w:tr w:rsidR="00CC6405" w:rsidRPr="00E04F12" w14:paraId="284611DA"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0CDBA4BC" w14:textId="77777777" w:rsidR="00CC6405" w:rsidRPr="00E04F12" w:rsidRDefault="00CC6405" w:rsidP="002178A9">
            <w:pPr>
              <w:keepNext/>
              <w:rPr>
                <w:rFonts w:ascii="Arial Narrow" w:eastAsia="Calibri" w:hAnsi="Arial Narrow"/>
                <w:sz w:val="20"/>
                <w:szCs w:val="20"/>
              </w:rPr>
            </w:pPr>
          </w:p>
        </w:tc>
        <w:tc>
          <w:tcPr>
            <w:tcW w:w="4295" w:type="pct"/>
            <w:gridSpan w:val="4"/>
          </w:tcPr>
          <w:p w14:paraId="614B7EA3"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 xml:space="preserve">Prescriber type: </w:t>
            </w:r>
            <w:r w:rsidRPr="00E04F12">
              <w:rPr>
                <w:rFonts w:ascii="Arial Narrow" w:eastAsia="Calibri" w:hAnsi="Arial Narrow"/>
                <w:sz w:val="20"/>
                <w:szCs w:val="20"/>
              </w:rPr>
              <w:fldChar w:fldCharType="begin" w:fldLock="1">
                <w:ffData>
                  <w:name w:val=""/>
                  <w:enabled/>
                  <w:calcOnExit w:val="0"/>
                  <w:checkBox>
                    <w:sizeAuto/>
                    <w:default w:val="1"/>
                  </w:checkBox>
                </w:ffData>
              </w:fldChar>
            </w:r>
            <w:r w:rsidRPr="00E04F12">
              <w:rPr>
                <w:rFonts w:ascii="Arial Narrow" w:eastAsia="Calibri" w:hAnsi="Arial Narrow"/>
                <w:sz w:val="20"/>
                <w:szCs w:val="20"/>
              </w:rPr>
              <w:instrText xml:space="preserve"> FORMCHECKBOX </w:instrText>
            </w:r>
            <w:r w:rsidRPr="00E04F12">
              <w:rPr>
                <w:rFonts w:ascii="Arial Narrow" w:eastAsia="Calibri" w:hAnsi="Arial Narrow"/>
                <w:sz w:val="20"/>
                <w:szCs w:val="20"/>
              </w:rPr>
            </w:r>
            <w:r w:rsidRPr="00E04F12">
              <w:rPr>
                <w:rFonts w:ascii="Arial Narrow" w:eastAsia="Calibri" w:hAnsi="Arial Narrow"/>
                <w:sz w:val="20"/>
                <w:szCs w:val="20"/>
              </w:rPr>
              <w:fldChar w:fldCharType="separate"/>
            </w:r>
            <w:r w:rsidRPr="00E04F12">
              <w:rPr>
                <w:rFonts w:ascii="Arial Narrow" w:eastAsia="Calibri" w:hAnsi="Arial Narrow"/>
                <w:sz w:val="20"/>
                <w:szCs w:val="20"/>
              </w:rPr>
              <w:fldChar w:fldCharType="end"/>
            </w:r>
            <w:r w:rsidRPr="00E04F12">
              <w:rPr>
                <w:rFonts w:ascii="Arial Narrow" w:eastAsia="Calibri" w:hAnsi="Arial Narrow"/>
                <w:sz w:val="20"/>
                <w:szCs w:val="20"/>
              </w:rPr>
              <w:t xml:space="preserve">Medical Practitioners </w:t>
            </w:r>
          </w:p>
        </w:tc>
      </w:tr>
      <w:tr w:rsidR="00CC6405" w:rsidRPr="00E04F12" w14:paraId="175C79DA"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23279B7C" w14:textId="77777777" w:rsidR="00CC6405" w:rsidRPr="00E04F12" w:rsidRDefault="00CC6405" w:rsidP="002178A9">
            <w:pPr>
              <w:rPr>
                <w:rFonts w:ascii="Arial Narrow" w:eastAsia="Calibri" w:hAnsi="Arial Narrow"/>
                <w:sz w:val="20"/>
                <w:szCs w:val="20"/>
              </w:rPr>
            </w:pPr>
          </w:p>
        </w:tc>
        <w:tc>
          <w:tcPr>
            <w:tcW w:w="4295" w:type="pct"/>
            <w:gridSpan w:val="4"/>
          </w:tcPr>
          <w:p w14:paraId="41849BDE" w14:textId="77777777" w:rsidR="00CC6405" w:rsidRPr="00E04F12" w:rsidRDefault="00CC6405" w:rsidP="002178A9">
            <w:pPr>
              <w:rPr>
                <w:rFonts w:ascii="Arial Narrow" w:eastAsia="Calibri" w:hAnsi="Arial Narrow"/>
                <w:sz w:val="20"/>
                <w:szCs w:val="20"/>
              </w:rPr>
            </w:pPr>
            <w:r w:rsidRPr="00E04F12">
              <w:rPr>
                <w:rFonts w:ascii="Arial Narrow" w:eastAsia="Calibri" w:hAnsi="Arial Narrow"/>
                <w:b/>
                <w:sz w:val="20"/>
                <w:szCs w:val="20"/>
              </w:rPr>
              <w:t xml:space="preserve">Restriction type: </w:t>
            </w:r>
            <w:r w:rsidRPr="00E04F12">
              <w:rPr>
                <w:rFonts w:ascii="Arial Narrow" w:eastAsia="Calibri" w:hAnsi="Arial Narrow"/>
                <w:sz w:val="20"/>
                <w:szCs w:val="20"/>
              </w:rPr>
              <w:fldChar w:fldCharType="begin" w:fldLock="1">
                <w:ffData>
                  <w:name w:val="Check3"/>
                  <w:enabled/>
                  <w:calcOnExit w:val="0"/>
                  <w:checkBox>
                    <w:sizeAuto/>
                    <w:default w:val="1"/>
                  </w:checkBox>
                </w:ffData>
              </w:fldChar>
            </w:r>
            <w:bookmarkStart w:id="116" w:name="Check3"/>
            <w:r w:rsidRPr="00E04F12">
              <w:rPr>
                <w:rFonts w:ascii="Arial Narrow" w:eastAsia="Calibri" w:hAnsi="Arial Narrow"/>
                <w:sz w:val="20"/>
                <w:szCs w:val="20"/>
              </w:rPr>
              <w:instrText xml:space="preserve"> FORMCHECKBOX </w:instrText>
            </w:r>
            <w:r w:rsidRPr="00E04F12">
              <w:rPr>
                <w:rFonts w:ascii="Arial Narrow" w:eastAsia="Calibri" w:hAnsi="Arial Narrow"/>
                <w:sz w:val="20"/>
                <w:szCs w:val="20"/>
              </w:rPr>
            </w:r>
            <w:r w:rsidRPr="00E04F12">
              <w:rPr>
                <w:rFonts w:ascii="Arial Narrow" w:eastAsia="Calibri" w:hAnsi="Arial Narrow"/>
                <w:sz w:val="20"/>
                <w:szCs w:val="20"/>
              </w:rPr>
              <w:fldChar w:fldCharType="separate"/>
            </w:r>
            <w:r w:rsidRPr="00E04F12">
              <w:rPr>
                <w:rFonts w:ascii="Arial Narrow" w:eastAsia="Calibri" w:hAnsi="Arial Narrow"/>
                <w:sz w:val="20"/>
                <w:szCs w:val="20"/>
              </w:rPr>
              <w:fldChar w:fldCharType="end"/>
            </w:r>
            <w:bookmarkEnd w:id="116"/>
            <w:r w:rsidRPr="00E04F12">
              <w:rPr>
                <w:rFonts w:ascii="Arial Narrow" w:eastAsia="Calibri" w:hAnsi="Arial Narrow"/>
                <w:sz w:val="20"/>
                <w:szCs w:val="20"/>
              </w:rPr>
              <w:t xml:space="preserve">Authority Required (telephone/online PBS Authorities system) </w:t>
            </w:r>
          </w:p>
        </w:tc>
      </w:tr>
      <w:tr w:rsidR="00CC6405" w:rsidRPr="00E04F12" w14:paraId="3ABBB880"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vAlign w:val="center"/>
          </w:tcPr>
          <w:p w14:paraId="51BB70BE" w14:textId="77777777" w:rsidR="00CC6405" w:rsidRPr="00E04F12" w:rsidRDefault="00CC6405" w:rsidP="002178A9">
            <w:pPr>
              <w:keepLines/>
              <w:jc w:val="center"/>
              <w:rPr>
                <w:rFonts w:ascii="Arial Narrow" w:hAnsi="Arial Narrow"/>
                <w:sz w:val="20"/>
                <w:szCs w:val="20"/>
              </w:rPr>
            </w:pPr>
          </w:p>
        </w:tc>
        <w:tc>
          <w:tcPr>
            <w:tcW w:w="4295" w:type="pct"/>
            <w:gridSpan w:val="4"/>
            <w:vAlign w:val="center"/>
          </w:tcPr>
          <w:p w14:paraId="1EE10CFB" w14:textId="77777777" w:rsidR="00CC6405" w:rsidRPr="00E04F12" w:rsidRDefault="00CC6405" w:rsidP="002178A9">
            <w:pPr>
              <w:keepLines/>
              <w:rPr>
                <w:rFonts w:ascii="Arial Narrow" w:hAnsi="Arial Narrow"/>
                <w:bCs/>
                <w:sz w:val="20"/>
                <w:szCs w:val="20"/>
              </w:rPr>
            </w:pPr>
            <w:proofErr w:type="spellStart"/>
            <w:r w:rsidRPr="00E04F12">
              <w:rPr>
                <w:rFonts w:ascii="Arial Narrow" w:hAnsi="Arial Narrow"/>
                <w:b/>
                <w:bCs/>
                <w:sz w:val="20"/>
                <w:szCs w:val="20"/>
              </w:rPr>
              <w:t>Episodicity</w:t>
            </w:r>
            <w:proofErr w:type="spellEnd"/>
            <w:r w:rsidRPr="00E04F12">
              <w:rPr>
                <w:rFonts w:ascii="Arial Narrow" w:hAnsi="Arial Narrow"/>
                <w:b/>
                <w:bCs/>
                <w:sz w:val="20"/>
                <w:szCs w:val="20"/>
              </w:rPr>
              <w:t>:</w:t>
            </w:r>
            <w:r w:rsidRPr="00E04F12">
              <w:rPr>
                <w:rFonts w:ascii="Arial Narrow" w:hAnsi="Arial Narrow"/>
                <w:bCs/>
                <w:sz w:val="20"/>
                <w:szCs w:val="20"/>
              </w:rPr>
              <w:t xml:space="preserve"> [blank]</w:t>
            </w:r>
          </w:p>
        </w:tc>
      </w:tr>
      <w:tr w:rsidR="00CC6405" w:rsidRPr="00E04F12" w14:paraId="5F2022F0"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4EA1CCA2" w14:textId="77777777" w:rsidR="00CC6405" w:rsidRPr="00E04F12" w:rsidRDefault="00CC6405" w:rsidP="002178A9">
            <w:pPr>
              <w:keepLines/>
              <w:jc w:val="center"/>
              <w:rPr>
                <w:rFonts w:ascii="Arial Narrow" w:hAnsi="Arial Narrow"/>
                <w:sz w:val="20"/>
                <w:szCs w:val="20"/>
              </w:rPr>
            </w:pPr>
          </w:p>
        </w:tc>
        <w:tc>
          <w:tcPr>
            <w:tcW w:w="4295" w:type="pct"/>
            <w:gridSpan w:val="4"/>
            <w:vAlign w:val="center"/>
          </w:tcPr>
          <w:p w14:paraId="30343D4B" w14:textId="77777777" w:rsidR="00CC6405" w:rsidRPr="00E04F12" w:rsidRDefault="00CC6405" w:rsidP="002178A9">
            <w:pPr>
              <w:keepLines/>
              <w:rPr>
                <w:rFonts w:ascii="Arial Narrow" w:hAnsi="Arial Narrow"/>
                <w:b/>
                <w:bCs/>
                <w:sz w:val="20"/>
                <w:szCs w:val="20"/>
              </w:rPr>
            </w:pPr>
            <w:r w:rsidRPr="00E04F12">
              <w:rPr>
                <w:rFonts w:ascii="Arial Narrow" w:hAnsi="Arial Narrow"/>
                <w:b/>
                <w:bCs/>
                <w:sz w:val="20"/>
                <w:szCs w:val="20"/>
              </w:rPr>
              <w:t xml:space="preserve">Severity: </w:t>
            </w:r>
            <w:r w:rsidRPr="00E04F12">
              <w:rPr>
                <w:rFonts w:ascii="Arial Narrow" w:hAnsi="Arial Narrow"/>
                <w:bCs/>
                <w:sz w:val="20"/>
                <w:szCs w:val="20"/>
              </w:rPr>
              <w:t>Relapsed or refractory</w:t>
            </w:r>
          </w:p>
        </w:tc>
      </w:tr>
      <w:tr w:rsidR="00CC6405" w:rsidRPr="00E04F12" w14:paraId="3B0BCD28"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6EE92FF8" w14:textId="77777777" w:rsidR="00CC6405" w:rsidRPr="00E04F12" w:rsidRDefault="00CC6405" w:rsidP="002178A9">
            <w:pPr>
              <w:keepLines/>
              <w:jc w:val="center"/>
              <w:rPr>
                <w:rFonts w:ascii="Arial Narrow" w:hAnsi="Arial Narrow"/>
                <w:sz w:val="20"/>
                <w:szCs w:val="20"/>
              </w:rPr>
            </w:pPr>
          </w:p>
        </w:tc>
        <w:tc>
          <w:tcPr>
            <w:tcW w:w="4295" w:type="pct"/>
            <w:gridSpan w:val="4"/>
            <w:vAlign w:val="center"/>
          </w:tcPr>
          <w:p w14:paraId="02E234AF" w14:textId="77777777" w:rsidR="00CC6405" w:rsidRPr="00E04F12" w:rsidRDefault="00CC6405" w:rsidP="002178A9">
            <w:pPr>
              <w:keepLines/>
              <w:rPr>
                <w:rFonts w:ascii="Arial Narrow" w:hAnsi="Arial Narrow"/>
                <w:b/>
                <w:bCs/>
                <w:sz w:val="20"/>
                <w:szCs w:val="20"/>
              </w:rPr>
            </w:pPr>
            <w:r w:rsidRPr="00E04F12">
              <w:rPr>
                <w:rFonts w:ascii="Arial Narrow" w:hAnsi="Arial Narrow"/>
                <w:b/>
                <w:bCs/>
                <w:sz w:val="20"/>
                <w:szCs w:val="20"/>
              </w:rPr>
              <w:t xml:space="preserve">Condition: </w:t>
            </w:r>
            <w:r w:rsidRPr="00E04F12">
              <w:rPr>
                <w:rFonts w:ascii="Arial Narrow" w:hAnsi="Arial Narrow"/>
                <w:bCs/>
                <w:sz w:val="20"/>
                <w:szCs w:val="20"/>
              </w:rPr>
              <w:t>Diffuse large b-cell lymphoma (DLBCL)</w:t>
            </w:r>
          </w:p>
        </w:tc>
      </w:tr>
      <w:tr w:rsidR="00CC6405" w:rsidRPr="00E04F12" w14:paraId="7A63A69B" w14:textId="77777777" w:rsidTr="00A42977">
        <w:tblPrEx>
          <w:tblCellMar>
            <w:top w:w="15" w:type="dxa"/>
            <w:bottom w:w="15" w:type="dxa"/>
          </w:tblCellMar>
          <w:tblLook w:val="04A0" w:firstRow="1" w:lastRow="0" w:firstColumn="1" w:lastColumn="0" w:noHBand="0" w:noVBand="1"/>
        </w:tblPrEx>
        <w:trPr>
          <w:cantSplit/>
          <w:trHeight w:val="20"/>
        </w:trPr>
        <w:tc>
          <w:tcPr>
            <w:tcW w:w="705" w:type="pct"/>
            <w:vAlign w:val="center"/>
          </w:tcPr>
          <w:p w14:paraId="4ECA381F" w14:textId="4A995BB6" w:rsidR="00CC6405" w:rsidRPr="00E04F12" w:rsidRDefault="00CC6405" w:rsidP="002178A9">
            <w:pPr>
              <w:keepLines/>
              <w:jc w:val="center"/>
              <w:rPr>
                <w:rFonts w:ascii="Arial Narrow" w:hAnsi="Arial Narrow"/>
                <w:sz w:val="20"/>
                <w:szCs w:val="20"/>
              </w:rPr>
            </w:pPr>
          </w:p>
        </w:tc>
        <w:tc>
          <w:tcPr>
            <w:tcW w:w="4295" w:type="pct"/>
            <w:gridSpan w:val="4"/>
            <w:vAlign w:val="center"/>
            <w:hideMark/>
          </w:tcPr>
          <w:p w14:paraId="3ED7DDC5" w14:textId="77777777" w:rsidR="00CC6405" w:rsidRPr="00E04F12" w:rsidRDefault="00CC6405" w:rsidP="002178A9">
            <w:pPr>
              <w:keepLines/>
              <w:rPr>
                <w:rFonts w:ascii="Arial Narrow" w:hAnsi="Arial Narrow"/>
                <w:sz w:val="20"/>
                <w:szCs w:val="20"/>
              </w:rPr>
            </w:pPr>
            <w:r w:rsidRPr="00E04F12">
              <w:rPr>
                <w:rFonts w:ascii="Arial Narrow" w:hAnsi="Arial Narrow"/>
                <w:b/>
                <w:bCs/>
                <w:sz w:val="20"/>
                <w:szCs w:val="20"/>
              </w:rPr>
              <w:t>Indication:</w:t>
            </w:r>
            <w:r w:rsidRPr="00E04F12">
              <w:rPr>
                <w:rFonts w:ascii="Arial Narrow" w:hAnsi="Arial Narrow"/>
                <w:sz w:val="20"/>
                <w:szCs w:val="20"/>
              </w:rPr>
              <w:t xml:space="preserve"> Relapsed or refractory Diffuse large b-cell lymphoma (DLBCL)</w:t>
            </w:r>
          </w:p>
        </w:tc>
      </w:tr>
      <w:tr w:rsidR="00CC6405" w:rsidRPr="00E04F12" w14:paraId="74470081" w14:textId="77777777" w:rsidTr="00A42977">
        <w:tblPrEx>
          <w:tblCellMar>
            <w:top w:w="15" w:type="dxa"/>
            <w:bottom w:w="15" w:type="dxa"/>
          </w:tblCellMar>
          <w:tblLook w:val="04A0" w:firstRow="1" w:lastRow="0" w:firstColumn="1" w:lastColumn="0" w:noHBand="0" w:noVBand="1"/>
        </w:tblPrEx>
        <w:trPr>
          <w:cantSplit/>
          <w:trHeight w:val="20"/>
        </w:trPr>
        <w:tc>
          <w:tcPr>
            <w:tcW w:w="705" w:type="pct"/>
            <w:vAlign w:val="center"/>
          </w:tcPr>
          <w:p w14:paraId="5BFB728E" w14:textId="77777777" w:rsidR="00CC6405" w:rsidRPr="00E04F12" w:rsidRDefault="00CC6405" w:rsidP="002178A9">
            <w:pPr>
              <w:jc w:val="center"/>
              <w:rPr>
                <w:rFonts w:ascii="Arial Narrow" w:hAnsi="Arial Narrow"/>
                <w:sz w:val="20"/>
                <w:szCs w:val="20"/>
              </w:rPr>
            </w:pPr>
          </w:p>
        </w:tc>
        <w:tc>
          <w:tcPr>
            <w:tcW w:w="4295" w:type="pct"/>
            <w:gridSpan w:val="4"/>
            <w:vAlign w:val="center"/>
            <w:hideMark/>
          </w:tcPr>
          <w:p w14:paraId="5866A14E"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Treatment Phase:</w:t>
            </w:r>
            <w:r w:rsidRPr="00E04F12">
              <w:rPr>
                <w:rFonts w:ascii="Arial Narrow" w:hAnsi="Arial Narrow"/>
                <w:sz w:val="20"/>
                <w:szCs w:val="20"/>
              </w:rPr>
              <w:t xml:space="preserve"> Initial treatment (cycle 1 – day 8)</w:t>
            </w:r>
          </w:p>
        </w:tc>
      </w:tr>
      <w:tr w:rsidR="00CC6405" w:rsidRPr="00E04F12" w14:paraId="79BD854D"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62EB4687"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76FD9802"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Clinical criteria: </w:t>
            </w:r>
          </w:p>
        </w:tc>
      </w:tr>
      <w:tr w:rsidR="00CC6405" w:rsidRPr="00E04F12" w14:paraId="0F653536"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76AFCF7C" w14:textId="78603F96" w:rsidR="00CC6405" w:rsidRPr="00E04F12" w:rsidRDefault="00CC6405" w:rsidP="002178A9">
            <w:pPr>
              <w:jc w:val="center"/>
              <w:rPr>
                <w:rFonts w:ascii="Arial Narrow" w:hAnsi="Arial Narrow"/>
                <w:sz w:val="20"/>
                <w:szCs w:val="20"/>
              </w:rPr>
            </w:pPr>
          </w:p>
        </w:tc>
        <w:tc>
          <w:tcPr>
            <w:tcW w:w="4295" w:type="pct"/>
            <w:gridSpan w:val="4"/>
            <w:vAlign w:val="center"/>
          </w:tcPr>
          <w:p w14:paraId="51B7B345" w14:textId="77777777" w:rsidR="00CC6405" w:rsidRPr="00E04F12" w:rsidRDefault="00CC6405" w:rsidP="002178A9">
            <w:pPr>
              <w:rPr>
                <w:rFonts w:ascii="Arial Narrow" w:hAnsi="Arial Narrow"/>
                <w:b/>
                <w:bCs/>
                <w:sz w:val="20"/>
                <w:szCs w:val="20"/>
              </w:rPr>
            </w:pPr>
            <w:r w:rsidRPr="00CB4B02">
              <w:rPr>
                <w:rFonts w:ascii="Arial Narrow" w:hAnsi="Arial Narrow"/>
                <w:sz w:val="20"/>
                <w:szCs w:val="20"/>
              </w:rPr>
              <w:t>Patient must be currently unable to receive treatment with CAR-T cell therapy for this condition</w:t>
            </w:r>
            <w:r w:rsidRPr="00E04F12">
              <w:rPr>
                <w:rFonts w:ascii="Arial Narrow" w:hAnsi="Arial Narrow"/>
                <w:sz w:val="20"/>
                <w:szCs w:val="20"/>
              </w:rPr>
              <w:t>.</w:t>
            </w:r>
          </w:p>
        </w:tc>
      </w:tr>
      <w:tr w:rsidR="00CC6405" w:rsidRPr="00E04F12" w14:paraId="34514BD5"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38B7159C"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62C4D5F7"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AND</w:t>
            </w:r>
          </w:p>
        </w:tc>
      </w:tr>
      <w:tr w:rsidR="00CC6405" w:rsidRPr="00E04F12" w14:paraId="06BEF858"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2DD701D2"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2C6DAE28"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Clinical criteria:</w:t>
            </w:r>
          </w:p>
        </w:tc>
      </w:tr>
      <w:tr w:rsidR="00CC6405" w:rsidRPr="00E04F12" w14:paraId="3DCB9FD8"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674A0A34" w14:textId="1F7461F8" w:rsidR="00CC6405" w:rsidRPr="00E04F12" w:rsidRDefault="00CC6405" w:rsidP="002178A9">
            <w:pPr>
              <w:jc w:val="center"/>
              <w:rPr>
                <w:rFonts w:ascii="Arial Narrow" w:hAnsi="Arial Narrow"/>
                <w:sz w:val="20"/>
                <w:szCs w:val="20"/>
              </w:rPr>
            </w:pPr>
          </w:p>
        </w:tc>
        <w:tc>
          <w:tcPr>
            <w:tcW w:w="4295" w:type="pct"/>
            <w:gridSpan w:val="4"/>
            <w:vAlign w:val="center"/>
          </w:tcPr>
          <w:p w14:paraId="1E765C9C" w14:textId="77777777" w:rsidR="00CC6405" w:rsidRPr="00E04F12" w:rsidRDefault="00CC6405" w:rsidP="002178A9">
            <w:pPr>
              <w:rPr>
                <w:rFonts w:ascii="Arial Narrow" w:hAnsi="Arial Narrow"/>
                <w:sz w:val="20"/>
                <w:szCs w:val="20"/>
              </w:rPr>
            </w:pPr>
            <w:r w:rsidRPr="00E04F12">
              <w:rPr>
                <w:rFonts w:ascii="Arial Narrow" w:hAnsi="Arial Narrow"/>
                <w:sz w:val="20"/>
                <w:szCs w:val="20"/>
              </w:rPr>
              <w:t>Patient must be unsuitable for stem cell transplant.</w:t>
            </w:r>
          </w:p>
        </w:tc>
      </w:tr>
      <w:tr w:rsidR="00CC6405" w:rsidRPr="00E04F12" w14:paraId="61AEF21C"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47BFECC6"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28EB3076"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AND</w:t>
            </w:r>
          </w:p>
        </w:tc>
      </w:tr>
      <w:tr w:rsidR="00CC6405" w:rsidRPr="00E04F12" w14:paraId="47D8ED4B"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0F8B14CF"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65AA0D9B"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Clinical criteria:</w:t>
            </w:r>
          </w:p>
        </w:tc>
      </w:tr>
      <w:tr w:rsidR="00CC6405" w:rsidRPr="00E04F12" w14:paraId="02E35455"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681424FE" w14:textId="4EDF1FF7" w:rsidR="00CC6405" w:rsidRPr="00E04F12" w:rsidRDefault="00CC6405" w:rsidP="002178A9">
            <w:pPr>
              <w:jc w:val="center"/>
              <w:rPr>
                <w:rFonts w:ascii="Arial Narrow" w:hAnsi="Arial Narrow"/>
                <w:sz w:val="20"/>
                <w:szCs w:val="20"/>
              </w:rPr>
            </w:pPr>
          </w:p>
        </w:tc>
        <w:tc>
          <w:tcPr>
            <w:tcW w:w="4295" w:type="pct"/>
            <w:gridSpan w:val="4"/>
            <w:vAlign w:val="center"/>
          </w:tcPr>
          <w:p w14:paraId="67DC20CD" w14:textId="77777777" w:rsidR="00CC6405" w:rsidRPr="00E04F12" w:rsidRDefault="00CC6405" w:rsidP="002178A9">
            <w:pPr>
              <w:rPr>
                <w:rFonts w:ascii="Arial Narrow" w:hAnsi="Arial Narrow"/>
                <w:sz w:val="20"/>
                <w:szCs w:val="20"/>
              </w:rPr>
            </w:pPr>
            <w:r w:rsidRPr="00E04F12">
              <w:rPr>
                <w:rFonts w:ascii="Arial Narrow" w:hAnsi="Arial Narrow"/>
                <w:sz w:val="20"/>
                <w:szCs w:val="20"/>
              </w:rPr>
              <w:t>Patient must have a WHO performance status of 2 or less.</w:t>
            </w:r>
          </w:p>
        </w:tc>
      </w:tr>
      <w:tr w:rsidR="00CC6405" w:rsidRPr="00E04F12" w14:paraId="75320A38"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6626FE05"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00EBE80E"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AND</w:t>
            </w:r>
          </w:p>
        </w:tc>
      </w:tr>
      <w:tr w:rsidR="00CC6405" w:rsidRPr="00E04F12" w14:paraId="2D7F9284"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1BBEFBD6"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08CFF891"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Clinical criteria:</w:t>
            </w:r>
          </w:p>
        </w:tc>
      </w:tr>
      <w:tr w:rsidR="00CC6405" w:rsidRPr="00E04F12" w14:paraId="60CE03D1"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1224A281" w14:textId="60DA1B66" w:rsidR="00CC6405" w:rsidRPr="00E04F12" w:rsidRDefault="00CC6405" w:rsidP="002178A9">
            <w:pPr>
              <w:jc w:val="center"/>
              <w:rPr>
                <w:rFonts w:ascii="Arial Narrow" w:hAnsi="Arial Narrow"/>
                <w:sz w:val="20"/>
                <w:szCs w:val="20"/>
              </w:rPr>
            </w:pPr>
          </w:p>
        </w:tc>
        <w:tc>
          <w:tcPr>
            <w:tcW w:w="4295" w:type="pct"/>
            <w:gridSpan w:val="4"/>
            <w:vAlign w:val="center"/>
          </w:tcPr>
          <w:p w14:paraId="227AEC75" w14:textId="77777777" w:rsidR="00CC6405" w:rsidRPr="00E04F12" w:rsidRDefault="00CC6405" w:rsidP="002178A9">
            <w:pPr>
              <w:rPr>
                <w:rFonts w:ascii="Arial Narrow" w:hAnsi="Arial Narrow"/>
                <w:sz w:val="20"/>
                <w:szCs w:val="20"/>
              </w:rPr>
            </w:pPr>
            <w:r w:rsidRPr="00E04F12">
              <w:rPr>
                <w:rFonts w:ascii="Arial Narrow" w:hAnsi="Arial Narrow"/>
                <w:sz w:val="20"/>
                <w:szCs w:val="20"/>
              </w:rPr>
              <w:t>Patient must have received</w:t>
            </w:r>
            <w:r>
              <w:rPr>
                <w:rFonts w:ascii="Arial Narrow" w:hAnsi="Arial Narrow"/>
                <w:sz w:val="20"/>
                <w:szCs w:val="20"/>
              </w:rPr>
              <w:t xml:space="preserve"> or </w:t>
            </w:r>
            <w:r w:rsidRPr="00E04F12">
              <w:rPr>
                <w:rFonts w:ascii="Arial Narrow" w:hAnsi="Arial Narrow"/>
                <w:sz w:val="20"/>
                <w:szCs w:val="20"/>
              </w:rPr>
              <w:t xml:space="preserve">intend to receive a single pre-treatment dose of obinutuzumab for this indication </w:t>
            </w:r>
          </w:p>
        </w:tc>
      </w:tr>
      <w:tr w:rsidR="00CC6405" w:rsidRPr="00E04F12" w14:paraId="54E9AB8A"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5A75556C"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625AEAAC"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AND</w:t>
            </w:r>
          </w:p>
        </w:tc>
      </w:tr>
      <w:tr w:rsidR="00CC6405" w:rsidRPr="00E04F12" w14:paraId="49A1C829"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2366ABEB"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34DE2798"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Clinical criteria:</w:t>
            </w:r>
          </w:p>
        </w:tc>
      </w:tr>
      <w:tr w:rsidR="00CC6405" w:rsidRPr="00E04F12" w14:paraId="669EA559"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5E88B3D8" w14:textId="2A59FBA3" w:rsidR="00CC6405" w:rsidRPr="00E04F12" w:rsidRDefault="00CC6405" w:rsidP="002178A9">
            <w:pPr>
              <w:jc w:val="center"/>
              <w:rPr>
                <w:rFonts w:ascii="Arial Narrow" w:hAnsi="Arial Narrow"/>
                <w:sz w:val="20"/>
                <w:szCs w:val="20"/>
              </w:rPr>
            </w:pPr>
          </w:p>
        </w:tc>
        <w:tc>
          <w:tcPr>
            <w:tcW w:w="4295" w:type="pct"/>
            <w:gridSpan w:val="4"/>
            <w:vAlign w:val="center"/>
          </w:tcPr>
          <w:p w14:paraId="3D685556" w14:textId="77777777" w:rsidR="00CC6405" w:rsidRPr="00E04F12" w:rsidRDefault="00CC6405" w:rsidP="002178A9">
            <w:pPr>
              <w:rPr>
                <w:rFonts w:ascii="Arial Narrow" w:hAnsi="Arial Narrow"/>
                <w:sz w:val="20"/>
                <w:szCs w:val="20"/>
              </w:rPr>
            </w:pPr>
            <w:r w:rsidRPr="00E04F12">
              <w:rPr>
                <w:rFonts w:ascii="Arial Narrow" w:hAnsi="Arial Narrow"/>
                <w:sz w:val="20"/>
                <w:szCs w:val="20"/>
              </w:rPr>
              <w:t>The treatment must be given in combination with gemcitabine and oxaliplatin for the first 8 cycles</w:t>
            </w:r>
            <w:r>
              <w:rPr>
                <w:rFonts w:ascii="Arial Narrow" w:hAnsi="Arial Narrow"/>
                <w:sz w:val="20"/>
                <w:szCs w:val="20"/>
              </w:rPr>
              <w:t xml:space="preserve"> unless the patient develops a toxicity necessitating treatment discontinuation</w:t>
            </w:r>
          </w:p>
        </w:tc>
      </w:tr>
      <w:tr w:rsidR="00CC6405" w:rsidRPr="00E04F12" w14:paraId="01852B61"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6F3A30C1" w14:textId="59175F0D" w:rsidR="00CC6405" w:rsidRDefault="00CC6405" w:rsidP="002178A9">
            <w:pPr>
              <w:jc w:val="center"/>
              <w:rPr>
                <w:rFonts w:ascii="Arial Narrow" w:hAnsi="Arial Narrow"/>
                <w:sz w:val="20"/>
                <w:szCs w:val="20"/>
              </w:rPr>
            </w:pPr>
          </w:p>
        </w:tc>
        <w:tc>
          <w:tcPr>
            <w:tcW w:w="4295" w:type="pct"/>
            <w:gridSpan w:val="4"/>
            <w:vAlign w:val="center"/>
          </w:tcPr>
          <w:p w14:paraId="266D4BC2" w14:textId="77777777" w:rsidR="00CC6405" w:rsidRPr="00CB4B02" w:rsidRDefault="00CC6405" w:rsidP="002178A9">
            <w:pPr>
              <w:rPr>
                <w:rFonts w:ascii="Arial Narrow" w:hAnsi="Arial Narrow"/>
                <w:b/>
                <w:bCs/>
                <w:sz w:val="20"/>
                <w:szCs w:val="20"/>
              </w:rPr>
            </w:pPr>
            <w:r w:rsidRPr="00CB4B02">
              <w:rPr>
                <w:rFonts w:ascii="Arial Narrow" w:hAnsi="Arial Narrow"/>
                <w:b/>
                <w:bCs/>
                <w:sz w:val="20"/>
                <w:szCs w:val="20"/>
              </w:rPr>
              <w:t>Prescribing Instructions:</w:t>
            </w:r>
          </w:p>
          <w:p w14:paraId="4A001DD4" w14:textId="77777777" w:rsidR="00CC6405" w:rsidRPr="00E04F12" w:rsidRDefault="00CC6405" w:rsidP="002178A9">
            <w:pPr>
              <w:rPr>
                <w:rFonts w:ascii="Arial Narrow" w:hAnsi="Arial Narrow"/>
                <w:sz w:val="20"/>
                <w:szCs w:val="20"/>
              </w:rPr>
            </w:pPr>
            <w:r w:rsidRPr="00CB4B02">
              <w:rPr>
                <w:rFonts w:ascii="Arial Narrow" w:hAnsi="Arial Narrow"/>
                <w:sz w:val="20"/>
                <w:szCs w:val="20"/>
              </w:rPr>
              <w:t>Definition of patients unable to receive treatment with CAR-T cell therapy for this condition include geographical, psychosocial, clinical ineligibility or urgency.</w:t>
            </w:r>
          </w:p>
        </w:tc>
      </w:tr>
      <w:tr w:rsidR="00CC6405" w:rsidRPr="00E04F12" w14:paraId="1B352BEC"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6CDDE826" w14:textId="70A65075" w:rsidR="00CC6405" w:rsidRPr="00E04F12" w:rsidRDefault="00CC6405" w:rsidP="002178A9">
            <w:pPr>
              <w:jc w:val="center"/>
              <w:rPr>
                <w:rFonts w:ascii="Arial Narrow" w:hAnsi="Arial Narrow"/>
                <w:sz w:val="20"/>
                <w:szCs w:val="20"/>
              </w:rPr>
            </w:pPr>
          </w:p>
        </w:tc>
        <w:tc>
          <w:tcPr>
            <w:tcW w:w="4295" w:type="pct"/>
            <w:gridSpan w:val="4"/>
            <w:vAlign w:val="center"/>
          </w:tcPr>
          <w:p w14:paraId="181FF7B0"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Prescribing Instructions: </w:t>
            </w:r>
          </w:p>
          <w:p w14:paraId="1D6DDFF3" w14:textId="77777777" w:rsidR="00CC6405" w:rsidRPr="00E04F12" w:rsidRDefault="00CC6405" w:rsidP="002178A9">
            <w:pPr>
              <w:rPr>
                <w:rFonts w:ascii="Arial Narrow" w:hAnsi="Arial Narrow"/>
                <w:b/>
                <w:bCs/>
                <w:sz w:val="20"/>
                <w:szCs w:val="20"/>
              </w:rPr>
            </w:pPr>
            <w:r w:rsidRPr="00E04F12">
              <w:rPr>
                <w:rFonts w:ascii="Arial Narrow" w:hAnsi="Arial Narrow"/>
                <w:sz w:val="20"/>
                <w:szCs w:val="20"/>
              </w:rPr>
              <w:t>Glofitamab should be administered as an intravenous infusion according to the dose step-up schedule in cycle 1 (2.5 mg on Day 8 and 10 mg on Day 15) leading to the recommended dosage of 30 mg on Day 1 of cycles 2-12. Refer to the TGA approved Product information.</w:t>
            </w:r>
          </w:p>
        </w:tc>
      </w:tr>
      <w:tr w:rsidR="00CC6405" w:rsidRPr="00E04F12" w14:paraId="231F0D3F"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61E2AA84" w14:textId="3769976F" w:rsidR="00CC6405" w:rsidRPr="00E04F12" w:rsidRDefault="00CC6405" w:rsidP="002178A9">
            <w:pPr>
              <w:jc w:val="center"/>
              <w:rPr>
                <w:rFonts w:ascii="Arial Narrow" w:hAnsi="Arial Narrow"/>
                <w:sz w:val="20"/>
                <w:szCs w:val="20"/>
              </w:rPr>
            </w:pPr>
          </w:p>
        </w:tc>
        <w:tc>
          <w:tcPr>
            <w:tcW w:w="4295" w:type="pct"/>
            <w:gridSpan w:val="4"/>
            <w:vAlign w:val="center"/>
          </w:tcPr>
          <w:p w14:paraId="4FB4631E" w14:textId="77777777" w:rsidR="00CC6405" w:rsidRPr="00597A8B" w:rsidRDefault="00CC6405" w:rsidP="002178A9">
            <w:pPr>
              <w:rPr>
                <w:rFonts w:ascii="Arial Narrow" w:hAnsi="Arial Narrow"/>
                <w:b/>
                <w:bCs/>
                <w:sz w:val="20"/>
                <w:szCs w:val="20"/>
              </w:rPr>
            </w:pPr>
            <w:r w:rsidRPr="00597A8B">
              <w:rPr>
                <w:rFonts w:ascii="Arial Narrow" w:hAnsi="Arial Narrow"/>
                <w:b/>
                <w:bCs/>
                <w:sz w:val="20"/>
                <w:szCs w:val="20"/>
              </w:rPr>
              <w:t>Prescribing Instructions:</w:t>
            </w:r>
          </w:p>
          <w:p w14:paraId="564B5595" w14:textId="77777777" w:rsidR="00CC6405" w:rsidRPr="00E04F12" w:rsidRDefault="00CC6405" w:rsidP="002178A9">
            <w:pPr>
              <w:rPr>
                <w:rFonts w:ascii="Arial Narrow" w:hAnsi="Arial Narrow"/>
                <w:b/>
                <w:bCs/>
                <w:sz w:val="20"/>
                <w:szCs w:val="20"/>
              </w:rPr>
            </w:pPr>
            <w:r w:rsidRPr="00597A8B">
              <w:rPr>
                <w:rFonts w:ascii="Arial Narrow" w:hAnsi="Arial Narrow"/>
                <w:sz w:val="20"/>
                <w:szCs w:val="20"/>
              </w:rPr>
              <w:t>This drug is not PBS-subsidised if it is administered to an in-patient in a public hospital setting.</w:t>
            </w:r>
          </w:p>
        </w:tc>
      </w:tr>
      <w:tr w:rsidR="00CC6405" w:rsidRPr="00E04F12" w14:paraId="740711ED"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794BF4BD" w14:textId="68E34BC6" w:rsidR="00CC6405" w:rsidRPr="00E04F12" w:rsidRDefault="00CC6405" w:rsidP="002178A9">
            <w:pPr>
              <w:jc w:val="center"/>
              <w:rPr>
                <w:rFonts w:ascii="Arial Narrow" w:hAnsi="Arial Narrow"/>
                <w:sz w:val="20"/>
                <w:szCs w:val="20"/>
              </w:rPr>
            </w:pPr>
          </w:p>
        </w:tc>
        <w:tc>
          <w:tcPr>
            <w:tcW w:w="4295" w:type="pct"/>
            <w:gridSpan w:val="4"/>
            <w:vAlign w:val="center"/>
          </w:tcPr>
          <w:p w14:paraId="71F8E21B" w14:textId="77777777" w:rsidR="00CC6405" w:rsidRPr="00E04F12" w:rsidRDefault="00CC6405" w:rsidP="002178A9">
            <w:pPr>
              <w:keepLines/>
              <w:contextualSpacing/>
              <w:rPr>
                <w:rFonts w:ascii="Arial Narrow" w:hAnsi="Arial Narrow"/>
                <w:b/>
                <w:bCs/>
                <w:sz w:val="20"/>
                <w:szCs w:val="20"/>
              </w:rPr>
            </w:pPr>
            <w:r w:rsidRPr="00E04F12">
              <w:rPr>
                <w:rFonts w:ascii="Arial Narrow" w:hAnsi="Arial Narrow"/>
                <w:b/>
                <w:bCs/>
                <w:sz w:val="20"/>
                <w:szCs w:val="20"/>
              </w:rPr>
              <w:t>Administrative Advice:</w:t>
            </w:r>
            <w:r>
              <w:rPr>
                <w:rFonts w:ascii="Arial Narrow" w:hAnsi="Arial Narrow"/>
                <w:b/>
                <w:bCs/>
                <w:sz w:val="20"/>
                <w:szCs w:val="20"/>
              </w:rPr>
              <w:t xml:space="preserve"> </w:t>
            </w:r>
            <w:r w:rsidRPr="00E04F12">
              <w:rPr>
                <w:rFonts w:ascii="Arial Narrow" w:hAnsi="Arial Narrow"/>
                <w:sz w:val="20"/>
                <w:szCs w:val="20"/>
              </w:rPr>
              <w:t>No increase in the maximum amount or number of units may be authorised.</w:t>
            </w:r>
          </w:p>
        </w:tc>
      </w:tr>
      <w:tr w:rsidR="00CC6405" w:rsidRPr="00E04F12" w14:paraId="22E1A515"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tcPr>
          <w:p w14:paraId="4E47B57F" w14:textId="72DECB96" w:rsidR="00CC6405" w:rsidRPr="00E04F12" w:rsidRDefault="00CC6405" w:rsidP="002178A9">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Pr>
          <w:p w14:paraId="300AA17A"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Administrative Advice: </w:t>
            </w:r>
            <w:r w:rsidRPr="00E04F12">
              <w:rPr>
                <w:rFonts w:ascii="Arial Narrow" w:hAnsi="Arial Narrow"/>
                <w:sz w:val="20"/>
                <w:szCs w:val="20"/>
              </w:rPr>
              <w:t>No increase in the maximum number of repeats may be authorised.</w:t>
            </w:r>
          </w:p>
        </w:tc>
      </w:tr>
      <w:tr w:rsidR="00CC6405" w:rsidRPr="00E04F12" w14:paraId="68451F6B"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tcPr>
          <w:p w14:paraId="4586CF5A" w14:textId="68351F78" w:rsidR="00CC6405" w:rsidRPr="00E04F12" w:rsidRDefault="00CC6405" w:rsidP="002178A9">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Pr>
          <w:p w14:paraId="5FCD766D"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Administrative Advice: </w:t>
            </w:r>
            <w:r w:rsidRPr="00E04F12">
              <w:rPr>
                <w:rFonts w:ascii="Arial Narrow" w:hAnsi="Arial Narrow"/>
                <w:sz w:val="20"/>
                <w:szCs w:val="20"/>
              </w:rPr>
              <w:t>Special Pricing Arrangements apply.</w:t>
            </w:r>
          </w:p>
        </w:tc>
      </w:tr>
      <w:tr w:rsidR="00CC6405" w:rsidRPr="00E04F12" w14:paraId="3CE12F74"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3ED33452" w14:textId="590520AC" w:rsidR="00CC6405" w:rsidRPr="00E04F12" w:rsidRDefault="00CC6405" w:rsidP="002178A9">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478B0F92" w14:textId="77777777" w:rsidR="00CC6405" w:rsidRPr="00E04F12" w:rsidRDefault="00CC6405" w:rsidP="002178A9">
            <w:pPr>
              <w:rPr>
                <w:rFonts w:ascii="Arial Narrow" w:hAnsi="Arial Narrow"/>
                <w:b/>
                <w:bCs/>
                <w:sz w:val="20"/>
                <w:szCs w:val="20"/>
              </w:rPr>
            </w:pPr>
            <w:r w:rsidRPr="00E04F12">
              <w:rPr>
                <w:rFonts w:ascii="Arial Narrow" w:eastAsia="Calibri" w:hAnsi="Arial Narrow"/>
                <w:b/>
                <w:bCs/>
                <w:sz w:val="20"/>
                <w:szCs w:val="20"/>
              </w:rPr>
              <w:t xml:space="preserve">Administrative Advice: </w:t>
            </w:r>
            <w:r w:rsidRPr="00E04F12">
              <w:rPr>
                <w:rFonts w:ascii="Arial Narrow" w:eastAsia="Calibri"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CC6405" w:rsidRPr="00E04F12" w14:paraId="14207D41"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tcPr>
          <w:p w14:paraId="25E63FB2" w14:textId="77777777" w:rsidR="00CC6405" w:rsidRPr="00E04F12" w:rsidRDefault="00CC6405" w:rsidP="002178A9">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Pr>
          <w:p w14:paraId="0D265F3E" w14:textId="77777777" w:rsidR="00CC6405" w:rsidRPr="00E04F12" w:rsidRDefault="00CC6405" w:rsidP="002178A9">
            <w:pPr>
              <w:rPr>
                <w:rFonts w:ascii="Arial Narrow" w:hAnsi="Arial Narrow"/>
                <w:b/>
                <w:bCs/>
                <w:sz w:val="20"/>
                <w:szCs w:val="20"/>
              </w:rPr>
            </w:pPr>
          </w:p>
        </w:tc>
      </w:tr>
    </w:tbl>
    <w:p w14:paraId="3D71F523" w14:textId="77777777" w:rsidR="00CC6405" w:rsidRPr="00E04F12" w:rsidRDefault="00CC6405" w:rsidP="00CC6405">
      <w:pPr>
        <w:rPr>
          <w:rFonts w:eastAsia="Calibri"/>
        </w:rPr>
      </w:pPr>
    </w:p>
    <w:p w14:paraId="57D62757" w14:textId="77777777" w:rsidR="00CC6405" w:rsidRPr="00E04F12" w:rsidRDefault="00CC6405" w:rsidP="00CC6405">
      <w:pPr>
        <w:keepNext/>
        <w:ind w:left="567" w:hanging="567"/>
        <w:outlineLvl w:val="1"/>
        <w:rPr>
          <w:rFonts w:ascii="Arial" w:hAnsi="Arial"/>
          <w:b/>
          <w:bCs/>
          <w:szCs w:val="26"/>
        </w:rPr>
      </w:pPr>
      <w:r w:rsidRPr="00E04F12">
        <w:rPr>
          <w:b/>
          <w:bCs/>
          <w:snapToGrid w:val="0"/>
          <w:szCs w:val="26"/>
        </w:rPr>
        <w:t>Initial – Cycle 1, Day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823"/>
        <w:gridCol w:w="1973"/>
        <w:gridCol w:w="1973"/>
        <w:gridCol w:w="1977"/>
      </w:tblGrid>
      <w:tr w:rsidR="00CC6405" w:rsidRPr="00E04F12" w14:paraId="1A2F0389" w14:textId="77777777" w:rsidTr="002178A9">
        <w:trPr>
          <w:cantSplit/>
          <w:trHeight w:val="20"/>
        </w:trPr>
        <w:tc>
          <w:tcPr>
            <w:tcW w:w="1716" w:type="pct"/>
            <w:gridSpan w:val="2"/>
            <w:vAlign w:val="center"/>
          </w:tcPr>
          <w:p w14:paraId="4DB01676" w14:textId="77777777" w:rsidR="00CC6405" w:rsidRPr="00E04F12" w:rsidRDefault="00CC6405" w:rsidP="002178A9">
            <w:pPr>
              <w:keepNext/>
              <w:rPr>
                <w:rFonts w:ascii="Arial Narrow" w:eastAsia="Calibri" w:hAnsi="Arial Narrow"/>
                <w:b/>
                <w:bCs/>
                <w:sz w:val="20"/>
                <w:szCs w:val="20"/>
              </w:rPr>
            </w:pPr>
            <w:r w:rsidRPr="00E04F12">
              <w:rPr>
                <w:rFonts w:ascii="Arial Narrow" w:eastAsia="Calibri" w:hAnsi="Arial Narrow"/>
                <w:b/>
                <w:bCs/>
                <w:sz w:val="20"/>
                <w:szCs w:val="20"/>
              </w:rPr>
              <w:t>MEDICINAL PRODUCT</w:t>
            </w:r>
          </w:p>
          <w:p w14:paraId="775A8F3F"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Form</w:t>
            </w:r>
          </w:p>
        </w:tc>
        <w:tc>
          <w:tcPr>
            <w:tcW w:w="1094" w:type="pct"/>
            <w:vAlign w:val="center"/>
          </w:tcPr>
          <w:p w14:paraId="683650AE"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PBS item code</w:t>
            </w:r>
          </w:p>
        </w:tc>
        <w:tc>
          <w:tcPr>
            <w:tcW w:w="1094" w:type="pct"/>
            <w:vAlign w:val="center"/>
          </w:tcPr>
          <w:p w14:paraId="06C21987"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Max. Amount</w:t>
            </w:r>
          </w:p>
        </w:tc>
        <w:tc>
          <w:tcPr>
            <w:tcW w:w="1096" w:type="pct"/>
            <w:vAlign w:val="center"/>
          </w:tcPr>
          <w:p w14:paraId="5F59FC40"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№.of Rpts</w:t>
            </w:r>
          </w:p>
        </w:tc>
      </w:tr>
      <w:tr w:rsidR="00CC6405" w:rsidRPr="00E04F12" w14:paraId="4BB5A140" w14:textId="77777777" w:rsidTr="002178A9">
        <w:trPr>
          <w:cantSplit/>
          <w:trHeight w:val="20"/>
        </w:trPr>
        <w:tc>
          <w:tcPr>
            <w:tcW w:w="1716" w:type="pct"/>
            <w:gridSpan w:val="2"/>
            <w:vAlign w:val="center"/>
          </w:tcPr>
          <w:p w14:paraId="18A761E8"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sz w:val="20"/>
                <w:szCs w:val="20"/>
              </w:rPr>
              <w:t>GLOFITAMAB</w:t>
            </w:r>
            <w:r w:rsidRPr="00E04F12">
              <w:rPr>
                <w:rFonts w:ascii="Arial Narrow" w:eastAsia="Calibri" w:hAnsi="Arial Narrow"/>
                <w:sz w:val="20"/>
                <w:szCs w:val="20"/>
              </w:rPr>
              <w:br/>
            </w:r>
            <w:r w:rsidRPr="00E04F12">
              <w:rPr>
                <w:rFonts w:ascii="Arial Narrow" w:eastAsia="Calibri" w:hAnsi="Arial Narrow" w:cs="Arial Narrow"/>
                <w:sz w:val="20"/>
                <w:szCs w:val="20"/>
              </w:rPr>
              <w:t>Injection</w:t>
            </w:r>
          </w:p>
        </w:tc>
        <w:tc>
          <w:tcPr>
            <w:tcW w:w="1094" w:type="pct"/>
            <w:vAlign w:val="center"/>
          </w:tcPr>
          <w:p w14:paraId="6863D187"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NEW (Public)</w:t>
            </w:r>
            <w:r w:rsidRPr="00E04F12">
              <w:rPr>
                <w:rFonts w:ascii="Arial Narrow" w:eastAsia="Calibri" w:hAnsi="Arial Narrow"/>
                <w:sz w:val="20"/>
                <w:szCs w:val="20"/>
              </w:rPr>
              <w:br/>
              <w:t>NEW (Private)</w:t>
            </w:r>
          </w:p>
        </w:tc>
        <w:tc>
          <w:tcPr>
            <w:tcW w:w="1094" w:type="pct"/>
            <w:vAlign w:val="center"/>
          </w:tcPr>
          <w:p w14:paraId="586A167C"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10</w:t>
            </w:r>
            <w:r>
              <w:rPr>
                <w:rFonts w:ascii="Arial Narrow" w:eastAsia="Calibri" w:hAnsi="Arial Narrow"/>
                <w:sz w:val="20"/>
                <w:szCs w:val="20"/>
              </w:rPr>
              <w:t>,000</w:t>
            </w:r>
            <w:r w:rsidRPr="00E04F12">
              <w:rPr>
                <w:rFonts w:ascii="Arial Narrow" w:eastAsia="Calibri" w:hAnsi="Arial Narrow"/>
                <w:sz w:val="20"/>
                <w:szCs w:val="20"/>
              </w:rPr>
              <w:t xml:space="preserve"> m</w:t>
            </w:r>
            <w:r>
              <w:rPr>
                <w:rFonts w:ascii="Arial Narrow" w:eastAsia="Calibri" w:hAnsi="Arial Narrow"/>
                <w:sz w:val="20"/>
                <w:szCs w:val="20"/>
              </w:rPr>
              <w:t>c</w:t>
            </w:r>
            <w:r w:rsidRPr="00E04F12">
              <w:rPr>
                <w:rFonts w:ascii="Arial Narrow" w:eastAsia="Calibri" w:hAnsi="Arial Narrow"/>
                <w:sz w:val="20"/>
                <w:szCs w:val="20"/>
              </w:rPr>
              <w:t>g</w:t>
            </w:r>
          </w:p>
        </w:tc>
        <w:tc>
          <w:tcPr>
            <w:tcW w:w="1096" w:type="pct"/>
            <w:vAlign w:val="center"/>
          </w:tcPr>
          <w:p w14:paraId="78ED8935"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 xml:space="preserve">0 </w:t>
            </w:r>
          </w:p>
        </w:tc>
      </w:tr>
      <w:tr w:rsidR="00CC6405" w:rsidRPr="00E04F12" w14:paraId="71A920AD" w14:textId="77777777" w:rsidTr="002178A9">
        <w:trPr>
          <w:cantSplit/>
          <w:trHeight w:val="20"/>
        </w:trPr>
        <w:tc>
          <w:tcPr>
            <w:tcW w:w="5000" w:type="pct"/>
            <w:gridSpan w:val="5"/>
            <w:vAlign w:val="center"/>
          </w:tcPr>
          <w:p w14:paraId="11F7FCC7"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 xml:space="preserve">Available brands </w:t>
            </w:r>
          </w:p>
        </w:tc>
      </w:tr>
      <w:tr w:rsidR="00CC6405" w:rsidRPr="00E04F12" w14:paraId="396941DE" w14:textId="77777777" w:rsidTr="002178A9">
        <w:trPr>
          <w:cantSplit/>
          <w:trHeight w:val="20"/>
        </w:trPr>
        <w:tc>
          <w:tcPr>
            <w:tcW w:w="5000" w:type="pct"/>
            <w:gridSpan w:val="5"/>
            <w:vAlign w:val="center"/>
          </w:tcPr>
          <w:p w14:paraId="00578A82"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sz w:val="20"/>
                <w:szCs w:val="20"/>
              </w:rPr>
              <w:t xml:space="preserve">Columvi </w:t>
            </w:r>
            <w:r w:rsidRPr="00E04F12">
              <w:rPr>
                <w:rFonts w:ascii="Arial Narrow" w:eastAsia="Calibri" w:hAnsi="Arial Narrow"/>
                <w:sz w:val="20"/>
                <w:szCs w:val="20"/>
              </w:rPr>
              <w:br/>
              <w:t>Glofitamab 10 mg injection, 1 vial</w:t>
            </w:r>
          </w:p>
        </w:tc>
      </w:tr>
      <w:tr w:rsidR="00CC6405" w:rsidRPr="00E04F12" w14:paraId="19EFF63D" w14:textId="77777777" w:rsidTr="002178A9">
        <w:trPr>
          <w:cantSplit/>
          <w:trHeight w:val="20"/>
        </w:trPr>
        <w:tc>
          <w:tcPr>
            <w:tcW w:w="5000" w:type="pct"/>
            <w:gridSpan w:val="5"/>
            <w:vAlign w:val="center"/>
          </w:tcPr>
          <w:p w14:paraId="1610B4AC" w14:textId="77777777" w:rsidR="00CC6405" w:rsidRPr="00E04F12" w:rsidRDefault="00CC6405" w:rsidP="002178A9">
            <w:pPr>
              <w:rPr>
                <w:rFonts w:ascii="Arial Narrow" w:eastAsia="Calibri" w:hAnsi="Arial Narrow"/>
                <w:sz w:val="20"/>
                <w:szCs w:val="20"/>
              </w:rPr>
            </w:pPr>
          </w:p>
        </w:tc>
      </w:tr>
      <w:tr w:rsidR="00CC6405" w:rsidRPr="00E04F12" w14:paraId="43B07599" w14:textId="77777777" w:rsidTr="002178A9">
        <w:trPr>
          <w:cantSplit/>
          <w:trHeight w:val="20"/>
        </w:trPr>
        <w:tc>
          <w:tcPr>
            <w:tcW w:w="5000" w:type="pct"/>
            <w:gridSpan w:val="5"/>
            <w:vAlign w:val="center"/>
          </w:tcPr>
          <w:p w14:paraId="25C64E24"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b/>
                <w:sz w:val="20"/>
                <w:szCs w:val="20"/>
              </w:rPr>
              <w:t xml:space="preserve">Restriction Summary [new3] / Treatment of Concept: [new3A] </w:t>
            </w:r>
          </w:p>
        </w:tc>
      </w:tr>
      <w:tr w:rsidR="00CC6405" w:rsidRPr="00E04F12" w14:paraId="7C0DC76E"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tcPr>
          <w:p w14:paraId="639C4319"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 xml:space="preserve">Concept ID </w:t>
            </w:r>
            <w:r w:rsidRPr="00E04F12">
              <w:rPr>
                <w:rFonts w:ascii="Arial Narrow" w:eastAsia="Calibri" w:hAnsi="Arial Narrow"/>
                <w:sz w:val="20"/>
                <w:szCs w:val="20"/>
              </w:rPr>
              <w:t>(for internal Dept. use)</w:t>
            </w:r>
          </w:p>
        </w:tc>
        <w:tc>
          <w:tcPr>
            <w:tcW w:w="4295" w:type="pct"/>
            <w:gridSpan w:val="4"/>
          </w:tcPr>
          <w:p w14:paraId="7CC71216"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b/>
                <w:sz w:val="20"/>
                <w:szCs w:val="20"/>
              </w:rPr>
              <w:t xml:space="preserve">Category / Program: </w:t>
            </w:r>
            <w:r w:rsidRPr="00E04F12">
              <w:rPr>
                <w:rFonts w:ascii="Arial Narrow" w:eastAsia="Calibri" w:hAnsi="Arial Narrow"/>
                <w:sz w:val="20"/>
                <w:szCs w:val="20"/>
              </w:rPr>
              <w:t>Section 100 – Efficient Funding of Chemotherapy Public/Private hospitals</w:t>
            </w:r>
          </w:p>
        </w:tc>
      </w:tr>
      <w:tr w:rsidR="00CC6405" w:rsidRPr="00E04F12" w14:paraId="47D57649"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37A8C777" w14:textId="77777777" w:rsidR="00CC6405" w:rsidRPr="00E04F12" w:rsidRDefault="00CC6405" w:rsidP="002178A9">
            <w:pPr>
              <w:keepNext/>
              <w:rPr>
                <w:rFonts w:ascii="Arial Narrow" w:eastAsia="Calibri" w:hAnsi="Arial Narrow"/>
                <w:sz w:val="20"/>
                <w:szCs w:val="20"/>
              </w:rPr>
            </w:pPr>
          </w:p>
        </w:tc>
        <w:tc>
          <w:tcPr>
            <w:tcW w:w="4295" w:type="pct"/>
            <w:gridSpan w:val="4"/>
          </w:tcPr>
          <w:p w14:paraId="60F8E77C"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 xml:space="preserve">Prescriber type: </w:t>
            </w:r>
            <w:r w:rsidRPr="00E04F12">
              <w:rPr>
                <w:rFonts w:ascii="Arial Narrow" w:eastAsia="Calibri" w:hAnsi="Arial Narrow"/>
                <w:sz w:val="20"/>
                <w:szCs w:val="20"/>
              </w:rPr>
              <w:fldChar w:fldCharType="begin" w:fldLock="1">
                <w:ffData>
                  <w:name w:val=""/>
                  <w:enabled/>
                  <w:calcOnExit w:val="0"/>
                  <w:checkBox>
                    <w:sizeAuto/>
                    <w:default w:val="1"/>
                  </w:checkBox>
                </w:ffData>
              </w:fldChar>
            </w:r>
            <w:r w:rsidRPr="00E04F12">
              <w:rPr>
                <w:rFonts w:ascii="Arial Narrow" w:eastAsia="Calibri" w:hAnsi="Arial Narrow"/>
                <w:sz w:val="20"/>
                <w:szCs w:val="20"/>
              </w:rPr>
              <w:instrText xml:space="preserve"> FORMCHECKBOX </w:instrText>
            </w:r>
            <w:r w:rsidRPr="00E04F12">
              <w:rPr>
                <w:rFonts w:ascii="Arial Narrow" w:eastAsia="Calibri" w:hAnsi="Arial Narrow"/>
                <w:sz w:val="20"/>
                <w:szCs w:val="20"/>
              </w:rPr>
            </w:r>
            <w:r w:rsidRPr="00E04F12">
              <w:rPr>
                <w:rFonts w:ascii="Arial Narrow" w:eastAsia="Calibri" w:hAnsi="Arial Narrow"/>
                <w:sz w:val="20"/>
                <w:szCs w:val="20"/>
              </w:rPr>
              <w:fldChar w:fldCharType="separate"/>
            </w:r>
            <w:r w:rsidRPr="00E04F12">
              <w:rPr>
                <w:rFonts w:ascii="Arial Narrow" w:eastAsia="Calibri" w:hAnsi="Arial Narrow"/>
                <w:sz w:val="20"/>
                <w:szCs w:val="20"/>
              </w:rPr>
              <w:fldChar w:fldCharType="end"/>
            </w:r>
            <w:r w:rsidRPr="00E04F12">
              <w:rPr>
                <w:rFonts w:ascii="Arial Narrow" w:eastAsia="Calibri" w:hAnsi="Arial Narrow"/>
                <w:sz w:val="20"/>
                <w:szCs w:val="20"/>
              </w:rPr>
              <w:t xml:space="preserve">Medical Practitioners </w:t>
            </w:r>
          </w:p>
        </w:tc>
      </w:tr>
      <w:tr w:rsidR="00CC6405" w:rsidRPr="00E04F12" w14:paraId="07A511E3"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tcPr>
          <w:p w14:paraId="63279A1F" w14:textId="77777777" w:rsidR="00CC6405" w:rsidRPr="00E04F12" w:rsidRDefault="00CC6405" w:rsidP="002178A9">
            <w:pPr>
              <w:rPr>
                <w:rFonts w:ascii="Arial Narrow" w:eastAsia="Calibri" w:hAnsi="Arial Narrow"/>
                <w:sz w:val="20"/>
                <w:szCs w:val="20"/>
              </w:rPr>
            </w:pPr>
          </w:p>
        </w:tc>
        <w:tc>
          <w:tcPr>
            <w:tcW w:w="4295" w:type="pct"/>
            <w:gridSpan w:val="4"/>
          </w:tcPr>
          <w:p w14:paraId="01507BAB" w14:textId="77777777" w:rsidR="00CC6405" w:rsidRPr="00E04F12" w:rsidRDefault="00CC6405" w:rsidP="002178A9">
            <w:pPr>
              <w:rPr>
                <w:rFonts w:ascii="Arial Narrow" w:eastAsia="Calibri" w:hAnsi="Arial Narrow"/>
                <w:sz w:val="20"/>
                <w:szCs w:val="20"/>
              </w:rPr>
            </w:pPr>
            <w:r w:rsidRPr="00E04F12">
              <w:rPr>
                <w:rFonts w:ascii="Arial Narrow" w:eastAsia="Calibri" w:hAnsi="Arial Narrow"/>
                <w:b/>
                <w:sz w:val="20"/>
                <w:szCs w:val="20"/>
              </w:rPr>
              <w:t xml:space="preserve">Restriction type: </w:t>
            </w:r>
            <w:r w:rsidRPr="00E04F12">
              <w:rPr>
                <w:rFonts w:ascii="Arial Narrow" w:eastAsia="Calibri" w:hAnsi="Arial Narrow"/>
                <w:sz w:val="20"/>
                <w:szCs w:val="20"/>
              </w:rPr>
              <w:fldChar w:fldCharType="begin" w:fldLock="1">
                <w:ffData>
                  <w:name w:val="Check3"/>
                  <w:enabled/>
                  <w:calcOnExit w:val="0"/>
                  <w:checkBox>
                    <w:sizeAuto/>
                    <w:default w:val="1"/>
                  </w:checkBox>
                </w:ffData>
              </w:fldChar>
            </w:r>
            <w:r w:rsidRPr="00E04F12">
              <w:rPr>
                <w:rFonts w:ascii="Arial Narrow" w:eastAsia="Calibri" w:hAnsi="Arial Narrow"/>
                <w:sz w:val="20"/>
                <w:szCs w:val="20"/>
              </w:rPr>
              <w:instrText xml:space="preserve"> FORMCHECKBOX </w:instrText>
            </w:r>
            <w:r w:rsidRPr="00E04F12">
              <w:rPr>
                <w:rFonts w:ascii="Arial Narrow" w:eastAsia="Calibri" w:hAnsi="Arial Narrow"/>
                <w:sz w:val="20"/>
                <w:szCs w:val="20"/>
              </w:rPr>
            </w:r>
            <w:r w:rsidRPr="00E04F12">
              <w:rPr>
                <w:rFonts w:ascii="Arial Narrow" w:eastAsia="Calibri" w:hAnsi="Arial Narrow"/>
                <w:sz w:val="20"/>
                <w:szCs w:val="20"/>
              </w:rPr>
              <w:fldChar w:fldCharType="separate"/>
            </w:r>
            <w:r w:rsidRPr="00E04F12">
              <w:rPr>
                <w:rFonts w:ascii="Arial Narrow" w:eastAsia="Calibri" w:hAnsi="Arial Narrow"/>
                <w:sz w:val="20"/>
                <w:szCs w:val="20"/>
              </w:rPr>
              <w:fldChar w:fldCharType="end"/>
            </w:r>
            <w:r w:rsidRPr="00E04F12">
              <w:rPr>
                <w:rFonts w:ascii="Arial Narrow" w:eastAsia="Calibri" w:hAnsi="Arial Narrow"/>
                <w:sz w:val="20"/>
                <w:szCs w:val="20"/>
              </w:rPr>
              <w:t xml:space="preserve">Authority Required (telephone/online PBS Authorities system) </w:t>
            </w:r>
          </w:p>
        </w:tc>
      </w:tr>
      <w:tr w:rsidR="00CC6405" w:rsidRPr="00E04F12" w14:paraId="5911F623"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restart"/>
            <w:vAlign w:val="center"/>
          </w:tcPr>
          <w:p w14:paraId="62ABDEDF" w14:textId="77777777" w:rsidR="00CC6405" w:rsidRPr="00E04F12" w:rsidRDefault="00CC6405" w:rsidP="002178A9">
            <w:pPr>
              <w:keepLines/>
              <w:jc w:val="center"/>
              <w:rPr>
                <w:rFonts w:ascii="Arial Narrow" w:hAnsi="Arial Narrow"/>
                <w:sz w:val="20"/>
                <w:szCs w:val="20"/>
              </w:rPr>
            </w:pPr>
          </w:p>
        </w:tc>
        <w:tc>
          <w:tcPr>
            <w:tcW w:w="4295" w:type="pct"/>
            <w:gridSpan w:val="4"/>
            <w:vAlign w:val="center"/>
          </w:tcPr>
          <w:p w14:paraId="7691F932" w14:textId="77777777" w:rsidR="00CC6405" w:rsidRPr="00E04F12" w:rsidRDefault="00CC6405" w:rsidP="002178A9">
            <w:pPr>
              <w:keepLines/>
              <w:rPr>
                <w:rFonts w:ascii="Arial Narrow" w:hAnsi="Arial Narrow"/>
                <w:bCs/>
                <w:sz w:val="20"/>
                <w:szCs w:val="20"/>
              </w:rPr>
            </w:pPr>
            <w:proofErr w:type="spellStart"/>
            <w:r w:rsidRPr="00E04F12">
              <w:rPr>
                <w:rFonts w:ascii="Arial Narrow" w:hAnsi="Arial Narrow"/>
                <w:b/>
                <w:bCs/>
                <w:sz w:val="20"/>
                <w:szCs w:val="20"/>
              </w:rPr>
              <w:t>Episodicity</w:t>
            </w:r>
            <w:proofErr w:type="spellEnd"/>
            <w:r w:rsidRPr="00E04F12">
              <w:rPr>
                <w:rFonts w:ascii="Arial Narrow" w:hAnsi="Arial Narrow"/>
                <w:b/>
                <w:bCs/>
                <w:sz w:val="20"/>
                <w:szCs w:val="20"/>
              </w:rPr>
              <w:t>:</w:t>
            </w:r>
            <w:r w:rsidRPr="00E04F12">
              <w:rPr>
                <w:rFonts w:ascii="Arial Narrow" w:hAnsi="Arial Narrow"/>
                <w:bCs/>
                <w:sz w:val="20"/>
                <w:szCs w:val="20"/>
              </w:rPr>
              <w:t xml:space="preserve"> [blank]</w:t>
            </w:r>
          </w:p>
        </w:tc>
      </w:tr>
      <w:tr w:rsidR="00CC6405" w:rsidRPr="00E04F12" w14:paraId="122A03F1"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211C8A0A" w14:textId="77777777" w:rsidR="00CC6405" w:rsidRPr="00E04F12" w:rsidRDefault="00CC6405" w:rsidP="002178A9">
            <w:pPr>
              <w:keepLines/>
              <w:jc w:val="center"/>
              <w:rPr>
                <w:rFonts w:ascii="Arial Narrow" w:hAnsi="Arial Narrow"/>
                <w:sz w:val="20"/>
                <w:szCs w:val="20"/>
              </w:rPr>
            </w:pPr>
          </w:p>
        </w:tc>
        <w:tc>
          <w:tcPr>
            <w:tcW w:w="4295" w:type="pct"/>
            <w:gridSpan w:val="4"/>
            <w:vAlign w:val="center"/>
          </w:tcPr>
          <w:p w14:paraId="5EE855A2" w14:textId="77777777" w:rsidR="00CC6405" w:rsidRPr="00E04F12" w:rsidRDefault="00CC6405" w:rsidP="002178A9">
            <w:pPr>
              <w:keepLines/>
              <w:rPr>
                <w:rFonts w:ascii="Arial Narrow" w:hAnsi="Arial Narrow"/>
                <w:b/>
                <w:bCs/>
                <w:sz w:val="20"/>
                <w:szCs w:val="20"/>
              </w:rPr>
            </w:pPr>
            <w:r w:rsidRPr="00E04F12">
              <w:rPr>
                <w:rFonts w:ascii="Arial Narrow" w:hAnsi="Arial Narrow"/>
                <w:b/>
                <w:bCs/>
                <w:sz w:val="20"/>
                <w:szCs w:val="20"/>
              </w:rPr>
              <w:t xml:space="preserve">Severity: </w:t>
            </w:r>
            <w:r w:rsidRPr="00E04F12">
              <w:rPr>
                <w:rFonts w:ascii="Arial Narrow" w:hAnsi="Arial Narrow"/>
                <w:bCs/>
                <w:sz w:val="20"/>
                <w:szCs w:val="20"/>
              </w:rPr>
              <w:t>Relapsed or refractory</w:t>
            </w:r>
          </w:p>
        </w:tc>
      </w:tr>
      <w:tr w:rsidR="00CC6405" w:rsidRPr="00E04F12" w14:paraId="1625F238" w14:textId="77777777" w:rsidTr="002178A9">
        <w:tblPrEx>
          <w:tblCellMar>
            <w:top w:w="15" w:type="dxa"/>
            <w:bottom w:w="15" w:type="dxa"/>
          </w:tblCellMar>
          <w:tblLook w:val="04A0" w:firstRow="1" w:lastRow="0" w:firstColumn="1" w:lastColumn="0" w:noHBand="0" w:noVBand="1"/>
        </w:tblPrEx>
        <w:trPr>
          <w:cantSplit/>
          <w:trHeight w:val="20"/>
        </w:trPr>
        <w:tc>
          <w:tcPr>
            <w:tcW w:w="705" w:type="pct"/>
            <w:vMerge/>
            <w:vAlign w:val="center"/>
          </w:tcPr>
          <w:p w14:paraId="70E5F117" w14:textId="77777777" w:rsidR="00CC6405" w:rsidRPr="00E04F12" w:rsidRDefault="00CC6405" w:rsidP="002178A9">
            <w:pPr>
              <w:keepLines/>
              <w:jc w:val="center"/>
              <w:rPr>
                <w:rFonts w:ascii="Arial Narrow" w:hAnsi="Arial Narrow"/>
                <w:sz w:val="20"/>
                <w:szCs w:val="20"/>
              </w:rPr>
            </w:pPr>
          </w:p>
        </w:tc>
        <w:tc>
          <w:tcPr>
            <w:tcW w:w="4295" w:type="pct"/>
            <w:gridSpan w:val="4"/>
            <w:vAlign w:val="center"/>
          </w:tcPr>
          <w:p w14:paraId="405EF691" w14:textId="77777777" w:rsidR="00CC6405" w:rsidRPr="00E04F12" w:rsidRDefault="00CC6405" w:rsidP="002178A9">
            <w:pPr>
              <w:keepLines/>
              <w:rPr>
                <w:rFonts w:ascii="Arial Narrow" w:hAnsi="Arial Narrow"/>
                <w:b/>
                <w:bCs/>
                <w:sz w:val="20"/>
                <w:szCs w:val="20"/>
              </w:rPr>
            </w:pPr>
            <w:r w:rsidRPr="00E04F12">
              <w:rPr>
                <w:rFonts w:ascii="Arial Narrow" w:hAnsi="Arial Narrow"/>
                <w:b/>
                <w:bCs/>
                <w:sz w:val="20"/>
                <w:szCs w:val="20"/>
              </w:rPr>
              <w:t xml:space="preserve">Condition: </w:t>
            </w:r>
            <w:r w:rsidRPr="00E04F12">
              <w:rPr>
                <w:rFonts w:ascii="Arial Narrow" w:hAnsi="Arial Narrow"/>
                <w:bCs/>
                <w:sz w:val="20"/>
                <w:szCs w:val="20"/>
              </w:rPr>
              <w:t>Diffuse large b-cell lymphoma (DLBCL)</w:t>
            </w:r>
          </w:p>
        </w:tc>
      </w:tr>
      <w:tr w:rsidR="00CC6405" w:rsidRPr="00E04F12" w14:paraId="6FFCD75D" w14:textId="77777777" w:rsidTr="00A42977">
        <w:tblPrEx>
          <w:tblCellMar>
            <w:top w:w="15" w:type="dxa"/>
            <w:bottom w:w="15" w:type="dxa"/>
          </w:tblCellMar>
          <w:tblLook w:val="04A0" w:firstRow="1" w:lastRow="0" w:firstColumn="1" w:lastColumn="0" w:noHBand="0" w:noVBand="1"/>
        </w:tblPrEx>
        <w:trPr>
          <w:cantSplit/>
          <w:trHeight w:val="20"/>
        </w:trPr>
        <w:tc>
          <w:tcPr>
            <w:tcW w:w="705" w:type="pct"/>
            <w:vAlign w:val="center"/>
          </w:tcPr>
          <w:p w14:paraId="48CA0424" w14:textId="34C35DC5" w:rsidR="00CC6405" w:rsidRPr="00E04F12" w:rsidRDefault="00CC6405" w:rsidP="002178A9">
            <w:pPr>
              <w:keepLines/>
              <w:jc w:val="center"/>
              <w:rPr>
                <w:rFonts w:ascii="Arial Narrow" w:hAnsi="Arial Narrow"/>
                <w:sz w:val="20"/>
                <w:szCs w:val="20"/>
              </w:rPr>
            </w:pPr>
          </w:p>
        </w:tc>
        <w:tc>
          <w:tcPr>
            <w:tcW w:w="4295" w:type="pct"/>
            <w:gridSpan w:val="4"/>
            <w:vAlign w:val="center"/>
            <w:hideMark/>
          </w:tcPr>
          <w:p w14:paraId="090DC2F5" w14:textId="77777777" w:rsidR="00CC6405" w:rsidRPr="00E04F12" w:rsidRDefault="00CC6405" w:rsidP="002178A9">
            <w:pPr>
              <w:keepLines/>
              <w:rPr>
                <w:rFonts w:ascii="Arial Narrow" w:hAnsi="Arial Narrow"/>
                <w:sz w:val="20"/>
                <w:szCs w:val="20"/>
              </w:rPr>
            </w:pPr>
            <w:r w:rsidRPr="00E04F12">
              <w:rPr>
                <w:rFonts w:ascii="Arial Narrow" w:hAnsi="Arial Narrow"/>
                <w:b/>
                <w:bCs/>
                <w:sz w:val="20"/>
                <w:szCs w:val="20"/>
              </w:rPr>
              <w:t>Indication:</w:t>
            </w:r>
            <w:r w:rsidRPr="00E04F12">
              <w:rPr>
                <w:rFonts w:ascii="Arial Narrow" w:hAnsi="Arial Narrow"/>
                <w:sz w:val="20"/>
                <w:szCs w:val="20"/>
              </w:rPr>
              <w:t xml:space="preserve"> Relapsed or refractory Diffuse large b-cell lymphoma (DLBCL)</w:t>
            </w:r>
          </w:p>
        </w:tc>
      </w:tr>
      <w:tr w:rsidR="00CC6405" w:rsidRPr="00E04F12" w14:paraId="6CD6D663" w14:textId="77777777" w:rsidTr="00A42977">
        <w:tblPrEx>
          <w:tblCellMar>
            <w:top w:w="15" w:type="dxa"/>
            <w:bottom w:w="15" w:type="dxa"/>
          </w:tblCellMar>
          <w:tblLook w:val="04A0" w:firstRow="1" w:lastRow="0" w:firstColumn="1" w:lastColumn="0" w:noHBand="0" w:noVBand="1"/>
        </w:tblPrEx>
        <w:trPr>
          <w:cantSplit/>
          <w:trHeight w:val="20"/>
        </w:trPr>
        <w:tc>
          <w:tcPr>
            <w:tcW w:w="705" w:type="pct"/>
            <w:vAlign w:val="center"/>
          </w:tcPr>
          <w:p w14:paraId="51DF0AFD" w14:textId="77777777" w:rsidR="00CC6405" w:rsidRPr="00E04F12" w:rsidRDefault="00CC6405" w:rsidP="002178A9">
            <w:pPr>
              <w:jc w:val="center"/>
              <w:rPr>
                <w:rFonts w:ascii="Arial Narrow" w:hAnsi="Arial Narrow"/>
                <w:sz w:val="20"/>
                <w:szCs w:val="20"/>
              </w:rPr>
            </w:pPr>
          </w:p>
        </w:tc>
        <w:tc>
          <w:tcPr>
            <w:tcW w:w="4295" w:type="pct"/>
            <w:gridSpan w:val="4"/>
            <w:vAlign w:val="center"/>
            <w:hideMark/>
          </w:tcPr>
          <w:p w14:paraId="74B55DA7"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Treatment Phase:</w:t>
            </w:r>
            <w:r w:rsidRPr="00E04F12">
              <w:rPr>
                <w:rFonts w:ascii="Arial Narrow" w:hAnsi="Arial Narrow"/>
                <w:sz w:val="20"/>
                <w:szCs w:val="20"/>
              </w:rPr>
              <w:t xml:space="preserve"> Initial treatment (cycle 1 – day 15)</w:t>
            </w:r>
          </w:p>
        </w:tc>
      </w:tr>
      <w:tr w:rsidR="00CC6405" w:rsidRPr="00E04F12" w14:paraId="0D117840"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08EB8496"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4E4A2244"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 xml:space="preserve">Clinical criteria: </w:t>
            </w:r>
          </w:p>
        </w:tc>
      </w:tr>
      <w:tr w:rsidR="00CC6405" w:rsidRPr="00E04F12" w14:paraId="74082FA4" w14:textId="77777777" w:rsidTr="006B5B9C">
        <w:tblPrEx>
          <w:tblCellMar>
            <w:top w:w="15" w:type="dxa"/>
            <w:bottom w:w="15" w:type="dxa"/>
          </w:tblCellMar>
          <w:tblLook w:val="04A0" w:firstRow="1" w:lastRow="0" w:firstColumn="1" w:lastColumn="0" w:noHBand="0" w:noVBand="1"/>
        </w:tblPrEx>
        <w:trPr>
          <w:cantSplit/>
          <w:trHeight w:val="20"/>
        </w:trPr>
        <w:tc>
          <w:tcPr>
            <w:tcW w:w="705" w:type="pct"/>
            <w:vAlign w:val="center"/>
          </w:tcPr>
          <w:p w14:paraId="723EF827" w14:textId="45F12F00" w:rsidR="00CC6405" w:rsidRPr="0037266E" w:rsidDel="00CC0CD2" w:rsidRDefault="00CC6405" w:rsidP="002178A9">
            <w:pPr>
              <w:jc w:val="center"/>
              <w:rPr>
                <w:rFonts w:ascii="Arial Narrow" w:hAnsi="Arial Narrow"/>
                <w:sz w:val="20"/>
                <w:szCs w:val="20"/>
              </w:rPr>
            </w:pPr>
          </w:p>
        </w:tc>
        <w:tc>
          <w:tcPr>
            <w:tcW w:w="4295" w:type="pct"/>
            <w:gridSpan w:val="4"/>
            <w:vAlign w:val="center"/>
          </w:tcPr>
          <w:p w14:paraId="74C2E641" w14:textId="77777777" w:rsidR="00CC6405" w:rsidRPr="0037266E" w:rsidDel="00CC0CD2" w:rsidRDefault="00CC6405" w:rsidP="002178A9">
            <w:pPr>
              <w:rPr>
                <w:rFonts w:ascii="Arial Narrow" w:hAnsi="Arial Narrow"/>
                <w:sz w:val="20"/>
                <w:szCs w:val="20"/>
              </w:rPr>
            </w:pPr>
            <w:r w:rsidRPr="0037266E">
              <w:rPr>
                <w:rFonts w:ascii="Arial Narrow" w:hAnsi="Arial Narrow"/>
                <w:sz w:val="20"/>
                <w:szCs w:val="20"/>
              </w:rPr>
              <w:t>Patient must be currently unable to receive treatment with CAR-T cell therapy for this condition.</w:t>
            </w:r>
          </w:p>
        </w:tc>
      </w:tr>
      <w:tr w:rsidR="00CC6405" w:rsidRPr="00E04F12" w14:paraId="75087C46" w14:textId="77777777" w:rsidTr="006B5B9C">
        <w:tblPrEx>
          <w:tblCellMar>
            <w:top w:w="15" w:type="dxa"/>
            <w:bottom w:w="15" w:type="dxa"/>
          </w:tblCellMar>
          <w:tblLook w:val="04A0" w:firstRow="1" w:lastRow="0" w:firstColumn="1" w:lastColumn="0" w:noHBand="0" w:noVBand="1"/>
        </w:tblPrEx>
        <w:trPr>
          <w:cantSplit/>
          <w:trHeight w:val="20"/>
        </w:trPr>
        <w:tc>
          <w:tcPr>
            <w:tcW w:w="705" w:type="pct"/>
            <w:vAlign w:val="center"/>
          </w:tcPr>
          <w:p w14:paraId="7918934C" w14:textId="77777777" w:rsidR="00CC6405" w:rsidRPr="0037266E" w:rsidDel="00CC0CD2" w:rsidRDefault="00CC6405" w:rsidP="002178A9">
            <w:pPr>
              <w:jc w:val="center"/>
              <w:rPr>
                <w:rFonts w:ascii="Arial Narrow" w:hAnsi="Arial Narrow"/>
                <w:sz w:val="20"/>
                <w:szCs w:val="20"/>
              </w:rPr>
            </w:pPr>
          </w:p>
        </w:tc>
        <w:tc>
          <w:tcPr>
            <w:tcW w:w="4295" w:type="pct"/>
            <w:gridSpan w:val="4"/>
            <w:vAlign w:val="center"/>
          </w:tcPr>
          <w:p w14:paraId="3ED7BA07" w14:textId="77777777" w:rsidR="00CC6405" w:rsidRPr="0037266E" w:rsidDel="00CC0CD2" w:rsidRDefault="00CC6405" w:rsidP="002178A9">
            <w:pPr>
              <w:rPr>
                <w:rFonts w:ascii="Arial Narrow" w:hAnsi="Arial Narrow"/>
                <w:sz w:val="20"/>
                <w:szCs w:val="20"/>
              </w:rPr>
            </w:pPr>
            <w:r w:rsidRPr="0037266E">
              <w:rPr>
                <w:rFonts w:ascii="Arial Narrow" w:hAnsi="Arial Narrow"/>
                <w:b/>
                <w:bCs/>
                <w:sz w:val="20"/>
                <w:szCs w:val="20"/>
              </w:rPr>
              <w:t>AND</w:t>
            </w:r>
          </w:p>
        </w:tc>
      </w:tr>
      <w:tr w:rsidR="00CC6405" w:rsidRPr="00E04F12" w14:paraId="39B02FCD" w14:textId="77777777" w:rsidTr="006B5B9C">
        <w:tblPrEx>
          <w:tblCellMar>
            <w:top w:w="15" w:type="dxa"/>
            <w:bottom w:w="15" w:type="dxa"/>
          </w:tblCellMar>
          <w:tblLook w:val="04A0" w:firstRow="1" w:lastRow="0" w:firstColumn="1" w:lastColumn="0" w:noHBand="0" w:noVBand="1"/>
        </w:tblPrEx>
        <w:trPr>
          <w:cantSplit/>
          <w:trHeight w:val="20"/>
        </w:trPr>
        <w:tc>
          <w:tcPr>
            <w:tcW w:w="705" w:type="pct"/>
            <w:vAlign w:val="center"/>
          </w:tcPr>
          <w:p w14:paraId="6194928C" w14:textId="77777777" w:rsidR="00CC6405" w:rsidRPr="0037266E" w:rsidDel="00CC0CD2" w:rsidRDefault="00CC6405" w:rsidP="002178A9">
            <w:pPr>
              <w:jc w:val="center"/>
              <w:rPr>
                <w:rFonts w:ascii="Arial Narrow" w:hAnsi="Arial Narrow"/>
                <w:sz w:val="20"/>
                <w:szCs w:val="20"/>
              </w:rPr>
            </w:pPr>
          </w:p>
        </w:tc>
        <w:tc>
          <w:tcPr>
            <w:tcW w:w="4295" w:type="pct"/>
            <w:gridSpan w:val="4"/>
            <w:vAlign w:val="center"/>
          </w:tcPr>
          <w:p w14:paraId="1BC6EE49" w14:textId="77777777" w:rsidR="00CC6405" w:rsidRPr="0037266E" w:rsidDel="00CC0CD2" w:rsidRDefault="00CC6405" w:rsidP="002178A9">
            <w:pPr>
              <w:rPr>
                <w:rFonts w:ascii="Arial Narrow" w:hAnsi="Arial Narrow"/>
                <w:sz w:val="20"/>
                <w:szCs w:val="20"/>
              </w:rPr>
            </w:pPr>
            <w:r w:rsidRPr="0037266E">
              <w:rPr>
                <w:rFonts w:ascii="Arial Narrow" w:hAnsi="Arial Narrow"/>
                <w:b/>
                <w:bCs/>
                <w:sz w:val="20"/>
                <w:szCs w:val="20"/>
              </w:rPr>
              <w:t>Clinical criteria:</w:t>
            </w:r>
          </w:p>
        </w:tc>
      </w:tr>
      <w:tr w:rsidR="00CC6405" w:rsidRPr="00E04F12" w14:paraId="2BD92096" w14:textId="77777777" w:rsidTr="006B5B9C">
        <w:tblPrEx>
          <w:tblCellMar>
            <w:top w:w="15" w:type="dxa"/>
            <w:bottom w:w="15" w:type="dxa"/>
          </w:tblCellMar>
          <w:tblLook w:val="04A0" w:firstRow="1" w:lastRow="0" w:firstColumn="1" w:lastColumn="0" w:noHBand="0" w:noVBand="1"/>
        </w:tblPrEx>
        <w:trPr>
          <w:cantSplit/>
          <w:trHeight w:val="20"/>
        </w:trPr>
        <w:tc>
          <w:tcPr>
            <w:tcW w:w="705" w:type="pct"/>
            <w:vAlign w:val="center"/>
          </w:tcPr>
          <w:p w14:paraId="372697AD" w14:textId="50A4E412" w:rsidR="00CC6405" w:rsidRPr="0037266E" w:rsidDel="00CC0CD2" w:rsidRDefault="00CC6405" w:rsidP="002178A9">
            <w:pPr>
              <w:jc w:val="center"/>
              <w:rPr>
                <w:rFonts w:ascii="Arial Narrow" w:hAnsi="Arial Narrow"/>
                <w:sz w:val="20"/>
                <w:szCs w:val="20"/>
              </w:rPr>
            </w:pPr>
          </w:p>
        </w:tc>
        <w:tc>
          <w:tcPr>
            <w:tcW w:w="4295" w:type="pct"/>
            <w:gridSpan w:val="4"/>
            <w:vAlign w:val="center"/>
          </w:tcPr>
          <w:p w14:paraId="5E959745" w14:textId="77777777" w:rsidR="00CC6405" w:rsidRPr="0037266E" w:rsidDel="00CC0CD2" w:rsidRDefault="00CC6405" w:rsidP="002178A9">
            <w:pPr>
              <w:rPr>
                <w:rFonts w:ascii="Arial Narrow" w:hAnsi="Arial Narrow"/>
                <w:sz w:val="20"/>
                <w:szCs w:val="20"/>
              </w:rPr>
            </w:pPr>
            <w:r w:rsidRPr="0037266E">
              <w:rPr>
                <w:rFonts w:ascii="Arial Narrow" w:hAnsi="Arial Narrow"/>
                <w:sz w:val="20"/>
                <w:szCs w:val="20"/>
              </w:rPr>
              <w:t>Patient must be unsuitable for stem cell transplant.</w:t>
            </w:r>
          </w:p>
        </w:tc>
      </w:tr>
      <w:tr w:rsidR="00CC6405" w:rsidRPr="00E04F12" w14:paraId="01362F19" w14:textId="77777777" w:rsidTr="006B5B9C">
        <w:tblPrEx>
          <w:tblCellMar>
            <w:top w:w="15" w:type="dxa"/>
            <w:bottom w:w="15" w:type="dxa"/>
          </w:tblCellMar>
          <w:tblLook w:val="04A0" w:firstRow="1" w:lastRow="0" w:firstColumn="1" w:lastColumn="0" w:noHBand="0" w:noVBand="1"/>
        </w:tblPrEx>
        <w:trPr>
          <w:cantSplit/>
          <w:trHeight w:val="20"/>
        </w:trPr>
        <w:tc>
          <w:tcPr>
            <w:tcW w:w="705" w:type="pct"/>
            <w:vAlign w:val="center"/>
          </w:tcPr>
          <w:p w14:paraId="43C3F142" w14:textId="77777777" w:rsidR="00CC6405" w:rsidRPr="0037266E" w:rsidDel="00CC0CD2" w:rsidRDefault="00CC6405" w:rsidP="002178A9">
            <w:pPr>
              <w:jc w:val="center"/>
              <w:rPr>
                <w:rFonts w:ascii="Arial Narrow" w:hAnsi="Arial Narrow"/>
                <w:sz w:val="20"/>
                <w:szCs w:val="20"/>
              </w:rPr>
            </w:pPr>
          </w:p>
        </w:tc>
        <w:tc>
          <w:tcPr>
            <w:tcW w:w="4295" w:type="pct"/>
            <w:gridSpan w:val="4"/>
            <w:vAlign w:val="center"/>
          </w:tcPr>
          <w:p w14:paraId="4F0B57DA" w14:textId="77777777" w:rsidR="00CC6405" w:rsidRPr="0037266E" w:rsidDel="00CC0CD2" w:rsidRDefault="00CC6405" w:rsidP="002178A9">
            <w:pPr>
              <w:rPr>
                <w:rFonts w:ascii="Arial Narrow" w:hAnsi="Arial Narrow"/>
                <w:sz w:val="20"/>
                <w:szCs w:val="20"/>
              </w:rPr>
            </w:pPr>
            <w:r w:rsidRPr="0037266E">
              <w:rPr>
                <w:rFonts w:ascii="Arial Narrow" w:hAnsi="Arial Narrow"/>
                <w:b/>
                <w:bCs/>
                <w:sz w:val="20"/>
                <w:szCs w:val="20"/>
              </w:rPr>
              <w:t>AND</w:t>
            </w:r>
          </w:p>
        </w:tc>
      </w:tr>
      <w:tr w:rsidR="00CC6405" w:rsidRPr="00E04F12" w14:paraId="0F98E809" w14:textId="77777777" w:rsidTr="006B5B9C">
        <w:tblPrEx>
          <w:tblCellMar>
            <w:top w:w="15" w:type="dxa"/>
            <w:bottom w:w="15" w:type="dxa"/>
          </w:tblCellMar>
          <w:tblLook w:val="04A0" w:firstRow="1" w:lastRow="0" w:firstColumn="1" w:lastColumn="0" w:noHBand="0" w:noVBand="1"/>
        </w:tblPrEx>
        <w:trPr>
          <w:cantSplit/>
          <w:trHeight w:val="20"/>
        </w:trPr>
        <w:tc>
          <w:tcPr>
            <w:tcW w:w="705" w:type="pct"/>
            <w:vAlign w:val="center"/>
          </w:tcPr>
          <w:p w14:paraId="16B990F3" w14:textId="77777777" w:rsidR="00CC6405" w:rsidRPr="0037266E" w:rsidDel="00CC0CD2" w:rsidRDefault="00CC6405" w:rsidP="002178A9">
            <w:pPr>
              <w:jc w:val="center"/>
              <w:rPr>
                <w:rFonts w:ascii="Arial Narrow" w:hAnsi="Arial Narrow"/>
                <w:sz w:val="20"/>
                <w:szCs w:val="20"/>
              </w:rPr>
            </w:pPr>
          </w:p>
        </w:tc>
        <w:tc>
          <w:tcPr>
            <w:tcW w:w="4295" w:type="pct"/>
            <w:gridSpan w:val="4"/>
            <w:vAlign w:val="center"/>
          </w:tcPr>
          <w:p w14:paraId="67FA7CF6" w14:textId="77777777" w:rsidR="00CC6405" w:rsidRPr="0037266E" w:rsidDel="00CC0CD2" w:rsidRDefault="00CC6405" w:rsidP="002178A9">
            <w:pPr>
              <w:rPr>
                <w:rFonts w:ascii="Arial Narrow" w:hAnsi="Arial Narrow"/>
                <w:sz w:val="20"/>
                <w:szCs w:val="20"/>
              </w:rPr>
            </w:pPr>
            <w:r w:rsidRPr="0037266E">
              <w:rPr>
                <w:rFonts w:ascii="Arial Narrow" w:hAnsi="Arial Narrow"/>
                <w:b/>
                <w:bCs/>
                <w:sz w:val="20"/>
                <w:szCs w:val="20"/>
              </w:rPr>
              <w:t>Clinical criteria:</w:t>
            </w:r>
          </w:p>
        </w:tc>
      </w:tr>
      <w:tr w:rsidR="00CC6405" w:rsidRPr="00E04F12" w14:paraId="2980A451" w14:textId="77777777" w:rsidTr="006B5B9C">
        <w:tblPrEx>
          <w:tblCellMar>
            <w:top w:w="15" w:type="dxa"/>
            <w:bottom w:w="15" w:type="dxa"/>
          </w:tblCellMar>
          <w:tblLook w:val="04A0" w:firstRow="1" w:lastRow="0" w:firstColumn="1" w:lastColumn="0" w:noHBand="0" w:noVBand="1"/>
        </w:tblPrEx>
        <w:trPr>
          <w:cantSplit/>
          <w:trHeight w:val="20"/>
        </w:trPr>
        <w:tc>
          <w:tcPr>
            <w:tcW w:w="705" w:type="pct"/>
            <w:vAlign w:val="center"/>
          </w:tcPr>
          <w:p w14:paraId="780A6A65" w14:textId="60CE74E8" w:rsidR="00CC6405" w:rsidRPr="0037266E" w:rsidDel="00CC0CD2" w:rsidRDefault="00CC6405" w:rsidP="002178A9">
            <w:pPr>
              <w:jc w:val="center"/>
              <w:rPr>
                <w:rFonts w:ascii="Arial Narrow" w:hAnsi="Arial Narrow"/>
                <w:sz w:val="20"/>
                <w:szCs w:val="20"/>
              </w:rPr>
            </w:pPr>
          </w:p>
        </w:tc>
        <w:tc>
          <w:tcPr>
            <w:tcW w:w="4295" w:type="pct"/>
            <w:gridSpan w:val="4"/>
            <w:vAlign w:val="center"/>
          </w:tcPr>
          <w:p w14:paraId="42A0AFAF" w14:textId="77777777" w:rsidR="00CC6405" w:rsidRPr="0037266E" w:rsidDel="00CC0CD2" w:rsidRDefault="00CC6405" w:rsidP="002178A9">
            <w:pPr>
              <w:rPr>
                <w:rFonts w:ascii="Arial Narrow" w:hAnsi="Arial Narrow"/>
                <w:sz w:val="20"/>
                <w:szCs w:val="20"/>
              </w:rPr>
            </w:pPr>
            <w:r w:rsidRPr="0037266E">
              <w:rPr>
                <w:rFonts w:ascii="Arial Narrow" w:hAnsi="Arial Narrow"/>
                <w:sz w:val="20"/>
                <w:szCs w:val="20"/>
              </w:rPr>
              <w:t>Patient must have a WHO performance status of 2 or less.</w:t>
            </w:r>
          </w:p>
        </w:tc>
      </w:tr>
      <w:tr w:rsidR="00CC6405" w:rsidRPr="00E04F12" w14:paraId="6CB885FE" w14:textId="77777777" w:rsidTr="006B5B9C">
        <w:tblPrEx>
          <w:tblCellMar>
            <w:top w:w="15" w:type="dxa"/>
            <w:bottom w:w="15" w:type="dxa"/>
          </w:tblCellMar>
          <w:tblLook w:val="04A0" w:firstRow="1" w:lastRow="0" w:firstColumn="1" w:lastColumn="0" w:noHBand="0" w:noVBand="1"/>
        </w:tblPrEx>
        <w:trPr>
          <w:cantSplit/>
          <w:trHeight w:val="20"/>
        </w:trPr>
        <w:tc>
          <w:tcPr>
            <w:tcW w:w="705" w:type="pct"/>
            <w:vAlign w:val="center"/>
          </w:tcPr>
          <w:p w14:paraId="472C85CD" w14:textId="77777777" w:rsidR="00CC6405" w:rsidRPr="0037266E" w:rsidDel="00CC0CD2" w:rsidRDefault="00CC6405" w:rsidP="002178A9">
            <w:pPr>
              <w:jc w:val="center"/>
              <w:rPr>
                <w:rFonts w:ascii="Arial Narrow" w:hAnsi="Arial Narrow"/>
                <w:sz w:val="20"/>
                <w:szCs w:val="20"/>
              </w:rPr>
            </w:pPr>
          </w:p>
        </w:tc>
        <w:tc>
          <w:tcPr>
            <w:tcW w:w="4295" w:type="pct"/>
            <w:gridSpan w:val="4"/>
            <w:vAlign w:val="center"/>
          </w:tcPr>
          <w:p w14:paraId="1215E32A" w14:textId="77777777" w:rsidR="00CC6405" w:rsidRPr="0037266E" w:rsidDel="00CC0CD2" w:rsidRDefault="00CC6405" w:rsidP="002178A9">
            <w:pPr>
              <w:rPr>
                <w:rFonts w:ascii="Arial Narrow" w:hAnsi="Arial Narrow"/>
                <w:sz w:val="20"/>
                <w:szCs w:val="20"/>
              </w:rPr>
            </w:pPr>
            <w:r w:rsidRPr="0037266E">
              <w:rPr>
                <w:rFonts w:ascii="Arial Narrow" w:hAnsi="Arial Narrow"/>
                <w:b/>
                <w:bCs/>
                <w:sz w:val="20"/>
                <w:szCs w:val="20"/>
              </w:rPr>
              <w:t>AND</w:t>
            </w:r>
          </w:p>
        </w:tc>
      </w:tr>
      <w:tr w:rsidR="00CC6405" w:rsidRPr="00E04F12" w14:paraId="37694438" w14:textId="77777777" w:rsidTr="006B5B9C">
        <w:tblPrEx>
          <w:tblCellMar>
            <w:top w:w="15" w:type="dxa"/>
            <w:bottom w:w="15" w:type="dxa"/>
          </w:tblCellMar>
          <w:tblLook w:val="04A0" w:firstRow="1" w:lastRow="0" w:firstColumn="1" w:lastColumn="0" w:noHBand="0" w:noVBand="1"/>
        </w:tblPrEx>
        <w:trPr>
          <w:cantSplit/>
          <w:trHeight w:val="20"/>
        </w:trPr>
        <w:tc>
          <w:tcPr>
            <w:tcW w:w="705" w:type="pct"/>
            <w:vAlign w:val="center"/>
          </w:tcPr>
          <w:p w14:paraId="7DF942E7" w14:textId="77777777" w:rsidR="00CC6405" w:rsidRPr="0037266E" w:rsidDel="00CC0CD2" w:rsidRDefault="00CC6405" w:rsidP="002178A9">
            <w:pPr>
              <w:jc w:val="center"/>
              <w:rPr>
                <w:rFonts w:ascii="Arial Narrow" w:hAnsi="Arial Narrow"/>
                <w:sz w:val="20"/>
                <w:szCs w:val="20"/>
              </w:rPr>
            </w:pPr>
          </w:p>
        </w:tc>
        <w:tc>
          <w:tcPr>
            <w:tcW w:w="4295" w:type="pct"/>
            <w:gridSpan w:val="4"/>
            <w:vAlign w:val="center"/>
          </w:tcPr>
          <w:p w14:paraId="5E888BD5" w14:textId="77777777" w:rsidR="00CC6405" w:rsidRPr="0037266E" w:rsidDel="00CC0CD2" w:rsidRDefault="00CC6405" w:rsidP="002178A9">
            <w:pPr>
              <w:rPr>
                <w:rFonts w:ascii="Arial Narrow" w:hAnsi="Arial Narrow"/>
                <w:sz w:val="20"/>
                <w:szCs w:val="20"/>
              </w:rPr>
            </w:pPr>
            <w:r w:rsidRPr="0037266E">
              <w:rPr>
                <w:rFonts w:ascii="Arial Narrow" w:hAnsi="Arial Narrow"/>
                <w:b/>
                <w:bCs/>
                <w:sz w:val="20"/>
                <w:szCs w:val="20"/>
              </w:rPr>
              <w:t>Clinical criteria:</w:t>
            </w:r>
          </w:p>
        </w:tc>
      </w:tr>
      <w:tr w:rsidR="00CC6405" w:rsidRPr="00E04F12" w14:paraId="02AF50B3" w14:textId="77777777" w:rsidTr="006B5B9C">
        <w:tblPrEx>
          <w:tblCellMar>
            <w:top w:w="15" w:type="dxa"/>
            <w:bottom w:w="15" w:type="dxa"/>
          </w:tblCellMar>
          <w:tblLook w:val="04A0" w:firstRow="1" w:lastRow="0" w:firstColumn="1" w:lastColumn="0" w:noHBand="0" w:noVBand="1"/>
        </w:tblPrEx>
        <w:trPr>
          <w:cantSplit/>
          <w:trHeight w:val="20"/>
        </w:trPr>
        <w:tc>
          <w:tcPr>
            <w:tcW w:w="705" w:type="pct"/>
            <w:vAlign w:val="center"/>
          </w:tcPr>
          <w:p w14:paraId="5C6AEA04" w14:textId="6B67D779" w:rsidR="00CC6405" w:rsidRPr="0037266E" w:rsidDel="00CC0CD2" w:rsidRDefault="00CC6405" w:rsidP="002178A9">
            <w:pPr>
              <w:jc w:val="center"/>
              <w:rPr>
                <w:rFonts w:ascii="Arial Narrow" w:hAnsi="Arial Narrow"/>
                <w:sz w:val="20"/>
                <w:szCs w:val="20"/>
              </w:rPr>
            </w:pPr>
          </w:p>
        </w:tc>
        <w:tc>
          <w:tcPr>
            <w:tcW w:w="4295" w:type="pct"/>
            <w:gridSpan w:val="4"/>
            <w:vAlign w:val="center"/>
          </w:tcPr>
          <w:p w14:paraId="0CA074D9" w14:textId="77777777" w:rsidR="00CC6405" w:rsidRPr="0037266E" w:rsidRDefault="00CC6405" w:rsidP="002178A9">
            <w:pPr>
              <w:rPr>
                <w:rFonts w:ascii="Arial Narrow" w:hAnsi="Arial Narrow"/>
                <w:b/>
                <w:bCs/>
                <w:sz w:val="20"/>
                <w:szCs w:val="20"/>
              </w:rPr>
            </w:pPr>
            <w:r w:rsidRPr="0037266E">
              <w:rPr>
                <w:rFonts w:ascii="Arial Narrow" w:hAnsi="Arial Narrow"/>
                <w:sz w:val="20"/>
                <w:szCs w:val="20"/>
              </w:rPr>
              <w:t xml:space="preserve">Patient must have received or intend to receive a cycle 1 – day 8 dose of glofitamab for this indication. </w:t>
            </w:r>
          </w:p>
        </w:tc>
      </w:tr>
      <w:tr w:rsidR="00CC6405" w:rsidRPr="00E04F12" w14:paraId="2DA048B8"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1AB7886B" w14:textId="77777777" w:rsidR="00CC6405" w:rsidRDefault="00CC6405" w:rsidP="002178A9">
            <w:pPr>
              <w:jc w:val="center"/>
              <w:rPr>
                <w:rFonts w:ascii="Arial Narrow" w:hAnsi="Arial Narrow"/>
                <w:sz w:val="20"/>
                <w:szCs w:val="20"/>
              </w:rPr>
            </w:pPr>
          </w:p>
        </w:tc>
        <w:tc>
          <w:tcPr>
            <w:tcW w:w="4295" w:type="pct"/>
            <w:gridSpan w:val="4"/>
            <w:vAlign w:val="center"/>
          </w:tcPr>
          <w:p w14:paraId="0DF93CDB" w14:textId="77777777" w:rsidR="00CC6405" w:rsidRPr="00CC0CD2" w:rsidRDefault="00CC6405" w:rsidP="002178A9">
            <w:pPr>
              <w:rPr>
                <w:rFonts w:ascii="Arial Narrow" w:hAnsi="Arial Narrow"/>
                <w:b/>
                <w:bCs/>
                <w:sz w:val="20"/>
                <w:szCs w:val="20"/>
              </w:rPr>
            </w:pPr>
            <w:r w:rsidRPr="00CC0CD2">
              <w:rPr>
                <w:rFonts w:ascii="Arial Narrow" w:hAnsi="Arial Narrow"/>
                <w:b/>
                <w:bCs/>
                <w:sz w:val="20"/>
                <w:szCs w:val="20"/>
              </w:rPr>
              <w:t>AND</w:t>
            </w:r>
          </w:p>
        </w:tc>
      </w:tr>
      <w:tr w:rsidR="00CC6405" w:rsidRPr="00E04F12" w14:paraId="41F2126B"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7912864B" w14:textId="77777777" w:rsidR="00CC6405" w:rsidRPr="00E04F12" w:rsidRDefault="00CC6405" w:rsidP="002178A9">
            <w:pPr>
              <w:jc w:val="center"/>
              <w:rPr>
                <w:rFonts w:ascii="Arial Narrow" w:hAnsi="Arial Narrow"/>
                <w:sz w:val="20"/>
                <w:szCs w:val="20"/>
              </w:rPr>
            </w:pPr>
          </w:p>
        </w:tc>
        <w:tc>
          <w:tcPr>
            <w:tcW w:w="4295" w:type="pct"/>
            <w:gridSpan w:val="4"/>
            <w:vAlign w:val="center"/>
          </w:tcPr>
          <w:p w14:paraId="56B6E813"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Clinical criteria:</w:t>
            </w:r>
          </w:p>
        </w:tc>
      </w:tr>
      <w:tr w:rsidR="00CC6405" w:rsidRPr="00E04F12" w14:paraId="50989176"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7EB973D3" w14:textId="09C22C14" w:rsidR="00CC6405" w:rsidRPr="00E04F12" w:rsidRDefault="00CC6405" w:rsidP="002178A9">
            <w:pPr>
              <w:jc w:val="center"/>
              <w:rPr>
                <w:rFonts w:ascii="Arial Narrow" w:hAnsi="Arial Narrow"/>
                <w:sz w:val="20"/>
                <w:szCs w:val="20"/>
              </w:rPr>
            </w:pPr>
          </w:p>
        </w:tc>
        <w:tc>
          <w:tcPr>
            <w:tcW w:w="4295" w:type="pct"/>
            <w:gridSpan w:val="4"/>
            <w:vAlign w:val="center"/>
          </w:tcPr>
          <w:p w14:paraId="2B9D6781" w14:textId="77777777" w:rsidR="00CC6405" w:rsidRPr="00E04F12" w:rsidRDefault="00CC6405" w:rsidP="002178A9">
            <w:pPr>
              <w:rPr>
                <w:rFonts w:ascii="Arial Narrow" w:hAnsi="Arial Narrow"/>
                <w:sz w:val="20"/>
                <w:szCs w:val="20"/>
              </w:rPr>
            </w:pPr>
            <w:r w:rsidRPr="00E04F12">
              <w:rPr>
                <w:rFonts w:ascii="Arial Narrow" w:hAnsi="Arial Narrow"/>
                <w:sz w:val="20"/>
                <w:szCs w:val="20"/>
              </w:rPr>
              <w:t>The treatment is intended to be given in combination with gemcitabine and oxaliplatin for the first 8 cycles</w:t>
            </w:r>
            <w:r>
              <w:rPr>
                <w:rFonts w:ascii="Arial Narrow" w:hAnsi="Arial Narrow"/>
                <w:sz w:val="20"/>
                <w:szCs w:val="20"/>
              </w:rPr>
              <w:t xml:space="preserve"> unless the patient develops a toxicity necessitating treatment discontinuation</w:t>
            </w:r>
            <w:r w:rsidRPr="00E04F12">
              <w:rPr>
                <w:rFonts w:ascii="Arial Narrow" w:hAnsi="Arial Narrow"/>
                <w:sz w:val="20"/>
                <w:szCs w:val="20"/>
              </w:rPr>
              <w:t>.</w:t>
            </w:r>
          </w:p>
        </w:tc>
      </w:tr>
      <w:tr w:rsidR="00CC6405" w:rsidRPr="00E04F12" w14:paraId="6A24AC0F"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08112E4B" w14:textId="7921BD20" w:rsidR="00CC6405" w:rsidRPr="00E04F12" w:rsidRDefault="00CC6405" w:rsidP="002178A9">
            <w:pPr>
              <w:jc w:val="center"/>
              <w:rPr>
                <w:rFonts w:ascii="Arial Narrow" w:hAnsi="Arial Narrow"/>
                <w:sz w:val="20"/>
                <w:szCs w:val="20"/>
              </w:rPr>
            </w:pPr>
          </w:p>
        </w:tc>
        <w:tc>
          <w:tcPr>
            <w:tcW w:w="4295" w:type="pct"/>
            <w:gridSpan w:val="4"/>
            <w:vAlign w:val="center"/>
          </w:tcPr>
          <w:p w14:paraId="16299F3B"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Prescribing Instructions: </w:t>
            </w:r>
          </w:p>
          <w:p w14:paraId="55CE65CF" w14:textId="77777777" w:rsidR="00CC6405" w:rsidRPr="00E04F12" w:rsidRDefault="00CC6405" w:rsidP="002178A9">
            <w:pPr>
              <w:rPr>
                <w:rFonts w:ascii="Arial Narrow" w:hAnsi="Arial Narrow"/>
                <w:b/>
                <w:bCs/>
                <w:sz w:val="20"/>
                <w:szCs w:val="20"/>
              </w:rPr>
            </w:pPr>
            <w:r w:rsidRPr="00E04F12">
              <w:rPr>
                <w:rFonts w:ascii="Arial Narrow" w:hAnsi="Arial Narrow"/>
                <w:sz w:val="20"/>
                <w:szCs w:val="20"/>
              </w:rPr>
              <w:t>Glofitamab should be administered as an intravenous infusion according to the dose step-up schedule in cycle 1 (2.5 mg on Day 8 and 10 mg on Day 15) leading to the recommended dosage of 30 mg on Day 1 of cycles 2-12. Refer to the TGA approved Product information.</w:t>
            </w:r>
          </w:p>
        </w:tc>
      </w:tr>
      <w:tr w:rsidR="00CC6405" w:rsidRPr="00E04F12" w14:paraId="7B2707A0" w14:textId="77777777" w:rsidTr="002178A9">
        <w:tblPrEx>
          <w:tblCellMar>
            <w:top w:w="15" w:type="dxa"/>
            <w:bottom w:w="15" w:type="dxa"/>
          </w:tblCellMar>
          <w:tblLook w:val="04A0" w:firstRow="1" w:lastRow="0" w:firstColumn="1" w:lastColumn="0" w:noHBand="0" w:noVBand="1"/>
        </w:tblPrEx>
        <w:trPr>
          <w:cantSplit/>
          <w:trHeight w:val="20"/>
        </w:trPr>
        <w:tc>
          <w:tcPr>
            <w:tcW w:w="705" w:type="pct"/>
            <w:vAlign w:val="center"/>
          </w:tcPr>
          <w:p w14:paraId="1BE9B0F0" w14:textId="1E6167DE" w:rsidR="00CC6405" w:rsidRPr="00E04F12" w:rsidRDefault="00CC6405" w:rsidP="002178A9">
            <w:pPr>
              <w:jc w:val="center"/>
              <w:rPr>
                <w:rFonts w:ascii="Arial Narrow" w:hAnsi="Arial Narrow"/>
                <w:sz w:val="20"/>
                <w:szCs w:val="20"/>
              </w:rPr>
            </w:pPr>
          </w:p>
        </w:tc>
        <w:tc>
          <w:tcPr>
            <w:tcW w:w="4295" w:type="pct"/>
            <w:gridSpan w:val="4"/>
            <w:vAlign w:val="center"/>
          </w:tcPr>
          <w:p w14:paraId="6F35B9D5" w14:textId="77777777" w:rsidR="00CC6405" w:rsidRPr="00E04F12" w:rsidRDefault="00CC6405" w:rsidP="002178A9">
            <w:pPr>
              <w:keepLines/>
              <w:contextualSpacing/>
              <w:rPr>
                <w:rFonts w:ascii="Arial Narrow" w:hAnsi="Arial Narrow"/>
                <w:b/>
                <w:bCs/>
                <w:sz w:val="20"/>
                <w:szCs w:val="20"/>
              </w:rPr>
            </w:pPr>
            <w:r w:rsidRPr="00E04F12">
              <w:rPr>
                <w:rFonts w:ascii="Arial Narrow" w:hAnsi="Arial Narrow"/>
                <w:b/>
                <w:bCs/>
                <w:sz w:val="20"/>
                <w:szCs w:val="20"/>
              </w:rPr>
              <w:t>Administrative Advice:</w:t>
            </w:r>
            <w:r>
              <w:rPr>
                <w:rFonts w:ascii="Arial Narrow" w:hAnsi="Arial Narrow"/>
                <w:b/>
                <w:bCs/>
                <w:sz w:val="20"/>
                <w:szCs w:val="20"/>
              </w:rPr>
              <w:t xml:space="preserve"> </w:t>
            </w:r>
            <w:r w:rsidRPr="00E04F12">
              <w:rPr>
                <w:rFonts w:ascii="Arial Narrow" w:hAnsi="Arial Narrow"/>
                <w:sz w:val="20"/>
                <w:szCs w:val="20"/>
              </w:rPr>
              <w:t>No increase in the maximum amount or number of units may be authorised.</w:t>
            </w:r>
          </w:p>
        </w:tc>
      </w:tr>
      <w:tr w:rsidR="00CC6405" w:rsidRPr="00E04F12" w14:paraId="387FA6A4"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tcPr>
          <w:p w14:paraId="235C9105" w14:textId="19DA7137" w:rsidR="00CC6405" w:rsidRPr="00E04F12" w:rsidRDefault="00CC6405" w:rsidP="002178A9">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Pr>
          <w:p w14:paraId="31342517"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Administrative Advice: </w:t>
            </w:r>
            <w:r w:rsidRPr="00E04F12">
              <w:rPr>
                <w:rFonts w:ascii="Arial Narrow" w:hAnsi="Arial Narrow"/>
                <w:sz w:val="20"/>
                <w:szCs w:val="20"/>
              </w:rPr>
              <w:t>No increase in the maximum number of repeats may be authorised.</w:t>
            </w:r>
          </w:p>
        </w:tc>
      </w:tr>
      <w:tr w:rsidR="00CC6405" w:rsidRPr="00E04F12" w14:paraId="23F6B08C"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tcPr>
          <w:p w14:paraId="1428BFC4" w14:textId="6C35FBFB" w:rsidR="00CC6405" w:rsidRPr="00E04F12" w:rsidRDefault="00CC6405" w:rsidP="002178A9">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Pr>
          <w:p w14:paraId="7A51820A"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Administrative Advice: </w:t>
            </w:r>
            <w:r w:rsidRPr="00E04F12">
              <w:rPr>
                <w:rFonts w:ascii="Arial Narrow" w:hAnsi="Arial Narrow"/>
                <w:sz w:val="20"/>
                <w:szCs w:val="20"/>
              </w:rPr>
              <w:t>Special Pricing Arrangements apply.</w:t>
            </w:r>
          </w:p>
        </w:tc>
      </w:tr>
      <w:tr w:rsidR="00CC6405" w:rsidRPr="00E04F12" w14:paraId="53DF9D87"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49DFA886" w14:textId="6E10C471" w:rsidR="00CC6405" w:rsidRPr="00E04F12" w:rsidRDefault="00CC6405" w:rsidP="002178A9">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24510954" w14:textId="77777777" w:rsidR="00CC6405" w:rsidRPr="00E04F12" w:rsidRDefault="00CC6405" w:rsidP="002178A9">
            <w:pPr>
              <w:rPr>
                <w:rFonts w:ascii="Arial Narrow" w:hAnsi="Arial Narrow"/>
                <w:b/>
                <w:bCs/>
                <w:sz w:val="20"/>
                <w:szCs w:val="20"/>
              </w:rPr>
            </w:pPr>
            <w:r w:rsidRPr="00E04F12">
              <w:rPr>
                <w:rFonts w:ascii="Arial Narrow" w:eastAsia="Calibri" w:hAnsi="Arial Narrow"/>
                <w:b/>
                <w:bCs/>
                <w:sz w:val="20"/>
                <w:szCs w:val="20"/>
              </w:rPr>
              <w:t xml:space="preserve">Administrative Advice: </w:t>
            </w:r>
            <w:r w:rsidRPr="00E04F12">
              <w:rPr>
                <w:rFonts w:ascii="Arial Narrow" w:eastAsia="Calibri"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CC6405" w:rsidRPr="00E04F12" w14:paraId="64703DE5"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bottom w:val="single" w:sz="4" w:space="0" w:color="auto"/>
              <w:right w:val="single" w:sz="4" w:space="0" w:color="auto"/>
            </w:tcBorders>
          </w:tcPr>
          <w:p w14:paraId="44AB1EDB" w14:textId="77777777" w:rsidR="00CC6405" w:rsidRPr="00E04F12" w:rsidRDefault="00CC6405" w:rsidP="002178A9">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Pr>
          <w:p w14:paraId="73CB9717" w14:textId="77777777" w:rsidR="00CC6405" w:rsidRPr="00E04F12" w:rsidRDefault="00CC6405" w:rsidP="002178A9">
            <w:pPr>
              <w:rPr>
                <w:rFonts w:ascii="Arial Narrow" w:hAnsi="Arial Narrow"/>
                <w:b/>
                <w:bCs/>
                <w:sz w:val="20"/>
                <w:szCs w:val="20"/>
              </w:rPr>
            </w:pPr>
          </w:p>
        </w:tc>
      </w:tr>
    </w:tbl>
    <w:p w14:paraId="410373CD" w14:textId="77777777" w:rsidR="00CC6405" w:rsidRPr="00E04F12" w:rsidRDefault="00CC6405" w:rsidP="00CC6405">
      <w:pPr>
        <w:rPr>
          <w:rFonts w:eastAsia="Calibri"/>
        </w:rPr>
      </w:pPr>
    </w:p>
    <w:p w14:paraId="3C7E51BF" w14:textId="77777777" w:rsidR="00CC6405" w:rsidRPr="00E04F12" w:rsidRDefault="00CC6405" w:rsidP="00CC6405">
      <w:pPr>
        <w:keepNext/>
        <w:outlineLvl w:val="1"/>
        <w:rPr>
          <w:rFonts w:ascii="Arial" w:hAnsi="Arial"/>
          <w:b/>
          <w:bCs/>
          <w:szCs w:val="26"/>
        </w:rPr>
      </w:pPr>
      <w:r w:rsidRPr="00E04F12">
        <w:rPr>
          <w:b/>
          <w:bCs/>
          <w:snapToGrid w:val="0"/>
          <w:szCs w:val="26"/>
        </w:rPr>
        <w:t>Continuing (cycles 2-</w:t>
      </w:r>
      <w:r>
        <w:rPr>
          <w:b/>
          <w:bCs/>
          <w:snapToGrid w:val="0"/>
          <w:szCs w:val="26"/>
        </w:rPr>
        <w:t>12</w:t>
      </w:r>
      <w:r w:rsidRPr="00E04F12">
        <w:rPr>
          <w:b/>
          <w:bCs/>
          <w:snapToGrid w:val="0"/>
          <w:szCs w:val="26"/>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760"/>
        <w:gridCol w:w="1817"/>
        <w:gridCol w:w="1974"/>
        <w:gridCol w:w="1974"/>
        <w:gridCol w:w="1972"/>
      </w:tblGrid>
      <w:tr w:rsidR="00CC6405" w:rsidRPr="00E04F12" w14:paraId="541AF175" w14:textId="77777777" w:rsidTr="002178A9">
        <w:trPr>
          <w:cantSplit/>
          <w:trHeight w:val="20"/>
        </w:trPr>
        <w:tc>
          <w:tcPr>
            <w:tcW w:w="1719" w:type="pct"/>
            <w:gridSpan w:val="3"/>
            <w:vAlign w:val="center"/>
          </w:tcPr>
          <w:p w14:paraId="5512D0CC" w14:textId="77777777" w:rsidR="00CC6405" w:rsidRPr="00E04F12" w:rsidRDefault="00CC6405" w:rsidP="002178A9">
            <w:pPr>
              <w:keepNext/>
              <w:rPr>
                <w:rFonts w:ascii="Arial Narrow" w:eastAsia="Calibri" w:hAnsi="Arial Narrow"/>
                <w:b/>
                <w:bCs/>
                <w:sz w:val="20"/>
                <w:szCs w:val="20"/>
              </w:rPr>
            </w:pPr>
            <w:r w:rsidRPr="00E04F12">
              <w:rPr>
                <w:rFonts w:ascii="Arial Narrow" w:eastAsia="Calibri" w:hAnsi="Arial Narrow"/>
                <w:b/>
                <w:bCs/>
                <w:sz w:val="20"/>
                <w:szCs w:val="20"/>
              </w:rPr>
              <w:t>MEDICINAL PRODUCT</w:t>
            </w:r>
          </w:p>
          <w:p w14:paraId="4DE0F5BB"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Form</w:t>
            </w:r>
          </w:p>
        </w:tc>
        <w:tc>
          <w:tcPr>
            <w:tcW w:w="1094" w:type="pct"/>
            <w:vAlign w:val="center"/>
          </w:tcPr>
          <w:p w14:paraId="4A3FD5AF"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PBS item code</w:t>
            </w:r>
          </w:p>
        </w:tc>
        <w:tc>
          <w:tcPr>
            <w:tcW w:w="1094" w:type="pct"/>
            <w:vAlign w:val="center"/>
          </w:tcPr>
          <w:p w14:paraId="0DF570BF"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Max. Amount</w:t>
            </w:r>
          </w:p>
        </w:tc>
        <w:tc>
          <w:tcPr>
            <w:tcW w:w="1093" w:type="pct"/>
            <w:vAlign w:val="center"/>
          </w:tcPr>
          <w:p w14:paraId="1BF2FE85"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№.of Rpts</w:t>
            </w:r>
          </w:p>
        </w:tc>
      </w:tr>
      <w:tr w:rsidR="00CC6405" w:rsidRPr="00E04F12" w14:paraId="0EFF56DF" w14:textId="77777777" w:rsidTr="002178A9">
        <w:trPr>
          <w:cantSplit/>
          <w:trHeight w:val="20"/>
        </w:trPr>
        <w:tc>
          <w:tcPr>
            <w:tcW w:w="1719" w:type="pct"/>
            <w:gridSpan w:val="3"/>
            <w:vAlign w:val="center"/>
          </w:tcPr>
          <w:p w14:paraId="28ADF7BD"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sz w:val="20"/>
                <w:szCs w:val="20"/>
              </w:rPr>
              <w:t>GLOFITAMAB</w:t>
            </w:r>
            <w:r w:rsidRPr="00E04F12">
              <w:rPr>
                <w:rFonts w:ascii="Arial Narrow" w:eastAsia="Calibri" w:hAnsi="Arial Narrow"/>
                <w:sz w:val="20"/>
                <w:szCs w:val="20"/>
              </w:rPr>
              <w:br/>
            </w:r>
            <w:r w:rsidRPr="00E04F12">
              <w:rPr>
                <w:rFonts w:ascii="Arial Narrow" w:eastAsia="Calibri" w:hAnsi="Arial Narrow" w:cs="Arial Narrow"/>
                <w:sz w:val="20"/>
                <w:szCs w:val="20"/>
              </w:rPr>
              <w:t>Injection</w:t>
            </w:r>
          </w:p>
        </w:tc>
        <w:tc>
          <w:tcPr>
            <w:tcW w:w="1094" w:type="pct"/>
            <w:vAlign w:val="center"/>
          </w:tcPr>
          <w:p w14:paraId="3505C628"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NEW (Public)</w:t>
            </w:r>
            <w:r w:rsidRPr="00E04F12">
              <w:rPr>
                <w:rFonts w:ascii="Arial Narrow" w:eastAsia="Calibri" w:hAnsi="Arial Narrow"/>
                <w:sz w:val="20"/>
                <w:szCs w:val="20"/>
              </w:rPr>
              <w:br/>
              <w:t>NEW (Private)</w:t>
            </w:r>
          </w:p>
        </w:tc>
        <w:tc>
          <w:tcPr>
            <w:tcW w:w="1094" w:type="pct"/>
            <w:vAlign w:val="center"/>
          </w:tcPr>
          <w:p w14:paraId="398FC4B9" w14:textId="77777777" w:rsidR="00CC6405" w:rsidRPr="00E04F12" w:rsidRDefault="00CC6405" w:rsidP="002178A9">
            <w:pPr>
              <w:keepNext/>
              <w:jc w:val="center"/>
              <w:rPr>
                <w:rFonts w:ascii="Arial Narrow" w:eastAsia="Calibri" w:hAnsi="Arial Narrow"/>
                <w:sz w:val="20"/>
                <w:szCs w:val="20"/>
              </w:rPr>
            </w:pPr>
            <w:r w:rsidRPr="00E04F12">
              <w:rPr>
                <w:rFonts w:ascii="Arial Narrow" w:eastAsia="Calibri" w:hAnsi="Arial Narrow"/>
                <w:sz w:val="20"/>
                <w:szCs w:val="20"/>
              </w:rPr>
              <w:t>30</w:t>
            </w:r>
            <w:r>
              <w:rPr>
                <w:rFonts w:ascii="Arial Narrow" w:eastAsia="Calibri" w:hAnsi="Arial Narrow"/>
                <w:sz w:val="20"/>
                <w:szCs w:val="20"/>
              </w:rPr>
              <w:t>,000</w:t>
            </w:r>
            <w:r w:rsidRPr="00E04F12">
              <w:rPr>
                <w:rFonts w:ascii="Arial Narrow" w:eastAsia="Calibri" w:hAnsi="Arial Narrow"/>
                <w:sz w:val="20"/>
                <w:szCs w:val="20"/>
              </w:rPr>
              <w:t xml:space="preserve"> m</w:t>
            </w:r>
            <w:r>
              <w:rPr>
                <w:rFonts w:ascii="Arial Narrow" w:eastAsia="Calibri" w:hAnsi="Arial Narrow"/>
                <w:sz w:val="20"/>
                <w:szCs w:val="20"/>
              </w:rPr>
              <w:t>c</w:t>
            </w:r>
            <w:r w:rsidRPr="00E04F12">
              <w:rPr>
                <w:rFonts w:ascii="Arial Narrow" w:eastAsia="Calibri" w:hAnsi="Arial Narrow"/>
                <w:sz w:val="20"/>
                <w:szCs w:val="20"/>
              </w:rPr>
              <w:t>g</w:t>
            </w:r>
          </w:p>
        </w:tc>
        <w:tc>
          <w:tcPr>
            <w:tcW w:w="1093" w:type="pct"/>
            <w:vAlign w:val="center"/>
          </w:tcPr>
          <w:p w14:paraId="5B7ABF07" w14:textId="77777777" w:rsidR="00CC6405" w:rsidRPr="00E04F12" w:rsidRDefault="00CC6405" w:rsidP="002178A9">
            <w:pPr>
              <w:keepNext/>
              <w:jc w:val="center"/>
              <w:rPr>
                <w:rFonts w:ascii="Arial Narrow" w:eastAsia="Calibri" w:hAnsi="Arial Narrow"/>
                <w:sz w:val="20"/>
                <w:szCs w:val="20"/>
              </w:rPr>
            </w:pPr>
            <w:r w:rsidRPr="008E718A">
              <w:rPr>
                <w:rFonts w:ascii="Arial Narrow" w:eastAsia="Calibri" w:hAnsi="Arial Narrow"/>
                <w:sz w:val="20"/>
                <w:szCs w:val="20"/>
              </w:rPr>
              <w:t>10</w:t>
            </w:r>
          </w:p>
        </w:tc>
      </w:tr>
      <w:tr w:rsidR="00CC6405" w:rsidRPr="00E04F12" w14:paraId="4912F923" w14:textId="77777777" w:rsidTr="002178A9">
        <w:trPr>
          <w:cantSplit/>
          <w:trHeight w:val="20"/>
        </w:trPr>
        <w:tc>
          <w:tcPr>
            <w:tcW w:w="5000" w:type="pct"/>
            <w:gridSpan w:val="6"/>
            <w:vAlign w:val="center"/>
          </w:tcPr>
          <w:p w14:paraId="74B46EFE"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 xml:space="preserve">Available brands </w:t>
            </w:r>
          </w:p>
        </w:tc>
      </w:tr>
      <w:tr w:rsidR="00CC6405" w:rsidRPr="00E04F12" w14:paraId="4B9FF3FF" w14:textId="77777777" w:rsidTr="002178A9">
        <w:trPr>
          <w:cantSplit/>
          <w:trHeight w:val="20"/>
        </w:trPr>
        <w:tc>
          <w:tcPr>
            <w:tcW w:w="5000" w:type="pct"/>
            <w:gridSpan w:val="6"/>
            <w:vAlign w:val="center"/>
          </w:tcPr>
          <w:p w14:paraId="77EC9F16"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sz w:val="20"/>
                <w:szCs w:val="20"/>
              </w:rPr>
              <w:t xml:space="preserve">Columvi </w:t>
            </w:r>
            <w:r w:rsidRPr="00E04F12">
              <w:rPr>
                <w:rFonts w:ascii="Arial Narrow" w:eastAsia="Calibri" w:hAnsi="Arial Narrow"/>
                <w:sz w:val="20"/>
                <w:szCs w:val="20"/>
              </w:rPr>
              <w:br/>
              <w:t>Glofitamab 10 mg injection, 1 vial</w:t>
            </w:r>
          </w:p>
        </w:tc>
      </w:tr>
      <w:tr w:rsidR="00CC6405" w:rsidRPr="00E04F12" w14:paraId="542E3ED2" w14:textId="77777777" w:rsidTr="002178A9">
        <w:trPr>
          <w:cantSplit/>
          <w:trHeight w:val="20"/>
        </w:trPr>
        <w:tc>
          <w:tcPr>
            <w:tcW w:w="5000" w:type="pct"/>
            <w:gridSpan w:val="6"/>
            <w:vAlign w:val="center"/>
          </w:tcPr>
          <w:p w14:paraId="526051C8" w14:textId="77777777" w:rsidR="00CC6405" w:rsidRPr="00E04F12" w:rsidRDefault="00CC6405" w:rsidP="002178A9">
            <w:pPr>
              <w:rPr>
                <w:rFonts w:ascii="Arial Narrow" w:eastAsia="Calibri" w:hAnsi="Arial Narrow"/>
                <w:sz w:val="20"/>
                <w:szCs w:val="20"/>
              </w:rPr>
            </w:pPr>
          </w:p>
        </w:tc>
      </w:tr>
      <w:tr w:rsidR="00CC6405" w:rsidRPr="00E04F12" w14:paraId="48ADDF41"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Merge w:val="restart"/>
          </w:tcPr>
          <w:p w14:paraId="0D2CDDFA" w14:textId="77777777" w:rsidR="00CC6405" w:rsidRPr="00E04F12" w:rsidRDefault="00CC6405" w:rsidP="002178A9">
            <w:pPr>
              <w:keepNext/>
              <w:jc w:val="center"/>
              <w:rPr>
                <w:rFonts w:ascii="Arial Narrow" w:eastAsia="Calibri" w:hAnsi="Arial Narrow"/>
                <w:b/>
                <w:sz w:val="20"/>
                <w:szCs w:val="20"/>
              </w:rPr>
            </w:pPr>
            <w:r w:rsidRPr="00E04F12">
              <w:rPr>
                <w:rFonts w:ascii="Arial Narrow" w:eastAsia="Calibri" w:hAnsi="Arial Narrow"/>
                <w:b/>
                <w:sz w:val="20"/>
                <w:szCs w:val="20"/>
              </w:rPr>
              <w:t xml:space="preserve">Concept ID </w:t>
            </w:r>
            <w:r w:rsidRPr="00E04F12">
              <w:rPr>
                <w:rFonts w:ascii="Arial Narrow" w:eastAsia="Calibri" w:hAnsi="Arial Narrow"/>
                <w:sz w:val="20"/>
                <w:szCs w:val="20"/>
              </w:rPr>
              <w:t>(for internal Dept. use)</w:t>
            </w:r>
          </w:p>
        </w:tc>
        <w:tc>
          <w:tcPr>
            <w:tcW w:w="4288" w:type="pct"/>
            <w:gridSpan w:val="4"/>
          </w:tcPr>
          <w:p w14:paraId="0D4C7193" w14:textId="77777777" w:rsidR="00CC6405" w:rsidRPr="00E04F12" w:rsidRDefault="00CC6405" w:rsidP="002178A9">
            <w:pPr>
              <w:keepNext/>
              <w:rPr>
                <w:rFonts w:ascii="Arial Narrow" w:eastAsia="Calibri" w:hAnsi="Arial Narrow"/>
                <w:sz w:val="20"/>
                <w:szCs w:val="20"/>
              </w:rPr>
            </w:pPr>
            <w:r w:rsidRPr="00E04F12">
              <w:rPr>
                <w:rFonts w:ascii="Arial Narrow" w:eastAsia="Calibri" w:hAnsi="Arial Narrow"/>
                <w:b/>
                <w:sz w:val="20"/>
                <w:szCs w:val="20"/>
              </w:rPr>
              <w:t xml:space="preserve">Category / Program: </w:t>
            </w:r>
            <w:r w:rsidRPr="00E04F12">
              <w:rPr>
                <w:rFonts w:ascii="Arial Narrow" w:eastAsia="Calibri" w:hAnsi="Arial Narrow"/>
                <w:sz w:val="20"/>
                <w:szCs w:val="20"/>
              </w:rPr>
              <w:t>Section 100 – Efficient Funding of Chemotherapy Public/Private hospitals</w:t>
            </w:r>
          </w:p>
        </w:tc>
      </w:tr>
      <w:tr w:rsidR="00CC6405" w:rsidRPr="00E04F12" w14:paraId="552EAA42"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Merge/>
          </w:tcPr>
          <w:p w14:paraId="515AAC0F" w14:textId="77777777" w:rsidR="00CC6405" w:rsidRPr="00E04F12" w:rsidRDefault="00CC6405" w:rsidP="002178A9">
            <w:pPr>
              <w:keepNext/>
              <w:rPr>
                <w:rFonts w:ascii="Arial Narrow" w:eastAsia="Calibri" w:hAnsi="Arial Narrow"/>
                <w:sz w:val="20"/>
                <w:szCs w:val="20"/>
              </w:rPr>
            </w:pPr>
          </w:p>
        </w:tc>
        <w:tc>
          <w:tcPr>
            <w:tcW w:w="4288" w:type="pct"/>
            <w:gridSpan w:val="4"/>
          </w:tcPr>
          <w:p w14:paraId="1E87A76C" w14:textId="77777777" w:rsidR="00CC6405" w:rsidRPr="00E04F12" w:rsidRDefault="00CC6405" w:rsidP="002178A9">
            <w:pPr>
              <w:keepNext/>
              <w:rPr>
                <w:rFonts w:ascii="Arial Narrow" w:eastAsia="Calibri" w:hAnsi="Arial Narrow"/>
                <w:b/>
                <w:sz w:val="20"/>
                <w:szCs w:val="20"/>
              </w:rPr>
            </w:pPr>
            <w:r w:rsidRPr="00E04F12">
              <w:rPr>
                <w:rFonts w:ascii="Arial Narrow" w:eastAsia="Calibri" w:hAnsi="Arial Narrow"/>
                <w:b/>
                <w:sz w:val="20"/>
                <w:szCs w:val="20"/>
              </w:rPr>
              <w:t xml:space="preserve">Prescriber type: </w:t>
            </w:r>
            <w:r w:rsidRPr="00E04F12">
              <w:rPr>
                <w:rFonts w:ascii="Arial Narrow" w:eastAsia="Calibri" w:hAnsi="Arial Narrow"/>
                <w:sz w:val="20"/>
                <w:szCs w:val="20"/>
              </w:rPr>
              <w:fldChar w:fldCharType="begin" w:fldLock="1">
                <w:ffData>
                  <w:name w:val=""/>
                  <w:enabled/>
                  <w:calcOnExit w:val="0"/>
                  <w:checkBox>
                    <w:sizeAuto/>
                    <w:default w:val="1"/>
                  </w:checkBox>
                </w:ffData>
              </w:fldChar>
            </w:r>
            <w:r w:rsidRPr="00E04F12">
              <w:rPr>
                <w:rFonts w:ascii="Arial Narrow" w:eastAsia="Calibri" w:hAnsi="Arial Narrow"/>
                <w:sz w:val="20"/>
                <w:szCs w:val="20"/>
              </w:rPr>
              <w:instrText xml:space="preserve"> FORMCHECKBOX </w:instrText>
            </w:r>
            <w:r w:rsidRPr="00E04F12">
              <w:rPr>
                <w:rFonts w:ascii="Arial Narrow" w:eastAsia="Calibri" w:hAnsi="Arial Narrow"/>
                <w:sz w:val="20"/>
                <w:szCs w:val="20"/>
              </w:rPr>
            </w:r>
            <w:r w:rsidRPr="00E04F12">
              <w:rPr>
                <w:rFonts w:ascii="Arial Narrow" w:eastAsia="Calibri" w:hAnsi="Arial Narrow"/>
                <w:sz w:val="20"/>
                <w:szCs w:val="20"/>
              </w:rPr>
              <w:fldChar w:fldCharType="separate"/>
            </w:r>
            <w:r w:rsidRPr="00E04F12">
              <w:rPr>
                <w:rFonts w:ascii="Arial Narrow" w:eastAsia="Calibri" w:hAnsi="Arial Narrow"/>
                <w:sz w:val="20"/>
                <w:szCs w:val="20"/>
              </w:rPr>
              <w:fldChar w:fldCharType="end"/>
            </w:r>
            <w:r w:rsidRPr="00E04F12">
              <w:rPr>
                <w:rFonts w:ascii="Arial Narrow" w:eastAsia="Calibri" w:hAnsi="Arial Narrow"/>
                <w:sz w:val="20"/>
                <w:szCs w:val="20"/>
              </w:rPr>
              <w:t xml:space="preserve">Medical Practitioners </w:t>
            </w:r>
          </w:p>
        </w:tc>
      </w:tr>
      <w:tr w:rsidR="00CC6405" w:rsidRPr="00E04F12" w14:paraId="1C618D90"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Merge/>
          </w:tcPr>
          <w:p w14:paraId="7A467F83" w14:textId="77777777" w:rsidR="00CC6405" w:rsidRPr="00E04F12" w:rsidRDefault="00CC6405" w:rsidP="002178A9">
            <w:pPr>
              <w:rPr>
                <w:rFonts w:ascii="Arial Narrow" w:eastAsia="Calibri" w:hAnsi="Arial Narrow"/>
                <w:sz w:val="20"/>
                <w:szCs w:val="20"/>
              </w:rPr>
            </w:pPr>
          </w:p>
        </w:tc>
        <w:tc>
          <w:tcPr>
            <w:tcW w:w="4288" w:type="pct"/>
            <w:gridSpan w:val="4"/>
          </w:tcPr>
          <w:p w14:paraId="7D96C71D" w14:textId="77777777" w:rsidR="00CC6405" w:rsidRPr="00E04F12" w:rsidRDefault="00CC6405" w:rsidP="002178A9">
            <w:pPr>
              <w:rPr>
                <w:rFonts w:ascii="Arial Narrow" w:eastAsia="Calibri" w:hAnsi="Arial Narrow"/>
                <w:sz w:val="20"/>
                <w:szCs w:val="20"/>
              </w:rPr>
            </w:pPr>
            <w:r w:rsidRPr="00E04F12">
              <w:rPr>
                <w:rFonts w:ascii="Arial Narrow" w:eastAsia="Calibri" w:hAnsi="Arial Narrow"/>
                <w:b/>
                <w:sz w:val="20"/>
                <w:szCs w:val="20"/>
              </w:rPr>
              <w:t xml:space="preserve">Restriction type: </w:t>
            </w:r>
            <w:r w:rsidRPr="00E04F12">
              <w:rPr>
                <w:rFonts w:ascii="Arial Narrow" w:eastAsia="Calibri" w:hAnsi="Arial Narrow"/>
                <w:sz w:val="20"/>
                <w:szCs w:val="20"/>
              </w:rPr>
              <w:fldChar w:fldCharType="begin" w:fldLock="1">
                <w:ffData>
                  <w:name w:val="Check3"/>
                  <w:enabled/>
                  <w:calcOnExit w:val="0"/>
                  <w:checkBox>
                    <w:sizeAuto/>
                    <w:default w:val="1"/>
                  </w:checkBox>
                </w:ffData>
              </w:fldChar>
            </w:r>
            <w:r w:rsidRPr="00E04F12">
              <w:rPr>
                <w:rFonts w:ascii="Arial Narrow" w:eastAsia="Calibri" w:hAnsi="Arial Narrow"/>
                <w:sz w:val="20"/>
                <w:szCs w:val="20"/>
              </w:rPr>
              <w:instrText xml:space="preserve"> FORMCHECKBOX </w:instrText>
            </w:r>
            <w:r w:rsidRPr="00E04F12">
              <w:rPr>
                <w:rFonts w:ascii="Arial Narrow" w:eastAsia="Calibri" w:hAnsi="Arial Narrow"/>
                <w:sz w:val="20"/>
                <w:szCs w:val="20"/>
              </w:rPr>
            </w:r>
            <w:r w:rsidRPr="00E04F12">
              <w:rPr>
                <w:rFonts w:ascii="Arial Narrow" w:eastAsia="Calibri" w:hAnsi="Arial Narrow"/>
                <w:sz w:val="20"/>
                <w:szCs w:val="20"/>
              </w:rPr>
              <w:fldChar w:fldCharType="separate"/>
            </w:r>
            <w:r w:rsidRPr="00E04F12">
              <w:rPr>
                <w:rFonts w:ascii="Arial Narrow" w:eastAsia="Calibri" w:hAnsi="Arial Narrow"/>
                <w:sz w:val="20"/>
                <w:szCs w:val="20"/>
              </w:rPr>
              <w:fldChar w:fldCharType="end"/>
            </w:r>
            <w:r w:rsidRPr="00E04F12">
              <w:rPr>
                <w:rFonts w:ascii="Arial Narrow" w:eastAsia="Calibri" w:hAnsi="Arial Narrow"/>
                <w:sz w:val="20"/>
                <w:szCs w:val="20"/>
              </w:rPr>
              <w:t xml:space="preserve">Authority Required (telephone/online PBS Authorities system) </w:t>
            </w:r>
          </w:p>
        </w:tc>
      </w:tr>
      <w:tr w:rsidR="00CC6405" w:rsidRPr="00E04F12" w14:paraId="1AD1C42A"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Merge w:val="restart"/>
            <w:vAlign w:val="center"/>
          </w:tcPr>
          <w:p w14:paraId="658081AF" w14:textId="77777777" w:rsidR="00CC6405" w:rsidRPr="00E04F12" w:rsidRDefault="00CC6405" w:rsidP="002178A9">
            <w:pPr>
              <w:keepLines/>
              <w:jc w:val="center"/>
              <w:rPr>
                <w:rFonts w:ascii="Arial Narrow" w:hAnsi="Arial Narrow"/>
                <w:sz w:val="20"/>
                <w:szCs w:val="20"/>
              </w:rPr>
            </w:pPr>
          </w:p>
        </w:tc>
        <w:tc>
          <w:tcPr>
            <w:tcW w:w="4288" w:type="pct"/>
            <w:gridSpan w:val="4"/>
            <w:vAlign w:val="center"/>
          </w:tcPr>
          <w:p w14:paraId="0DFC1582" w14:textId="77777777" w:rsidR="00CC6405" w:rsidRPr="00E04F12" w:rsidRDefault="00CC6405" w:rsidP="002178A9">
            <w:pPr>
              <w:keepLines/>
              <w:rPr>
                <w:rFonts w:ascii="Arial Narrow" w:hAnsi="Arial Narrow"/>
                <w:bCs/>
                <w:sz w:val="20"/>
                <w:szCs w:val="20"/>
              </w:rPr>
            </w:pPr>
            <w:proofErr w:type="spellStart"/>
            <w:r w:rsidRPr="00E04F12">
              <w:rPr>
                <w:rFonts w:ascii="Arial Narrow" w:hAnsi="Arial Narrow"/>
                <w:b/>
                <w:bCs/>
                <w:sz w:val="20"/>
                <w:szCs w:val="20"/>
              </w:rPr>
              <w:t>Episodicity</w:t>
            </w:r>
            <w:proofErr w:type="spellEnd"/>
            <w:r w:rsidRPr="00E04F12">
              <w:rPr>
                <w:rFonts w:ascii="Arial Narrow" w:hAnsi="Arial Narrow"/>
                <w:b/>
                <w:bCs/>
                <w:sz w:val="20"/>
                <w:szCs w:val="20"/>
              </w:rPr>
              <w:t>:</w:t>
            </w:r>
            <w:r w:rsidRPr="00E04F12">
              <w:rPr>
                <w:rFonts w:ascii="Arial Narrow" w:hAnsi="Arial Narrow"/>
                <w:bCs/>
                <w:sz w:val="20"/>
                <w:szCs w:val="20"/>
              </w:rPr>
              <w:t xml:space="preserve"> [blank]</w:t>
            </w:r>
          </w:p>
        </w:tc>
      </w:tr>
      <w:tr w:rsidR="00CC6405" w:rsidRPr="00E04F12" w14:paraId="6BFEAAF6"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Merge/>
            <w:vAlign w:val="center"/>
          </w:tcPr>
          <w:p w14:paraId="7C5F51FA" w14:textId="77777777" w:rsidR="00CC6405" w:rsidRPr="00E04F12" w:rsidRDefault="00CC6405" w:rsidP="002178A9">
            <w:pPr>
              <w:keepLines/>
              <w:jc w:val="center"/>
              <w:rPr>
                <w:rFonts w:ascii="Arial Narrow" w:hAnsi="Arial Narrow"/>
                <w:sz w:val="20"/>
                <w:szCs w:val="20"/>
              </w:rPr>
            </w:pPr>
          </w:p>
        </w:tc>
        <w:tc>
          <w:tcPr>
            <w:tcW w:w="4288" w:type="pct"/>
            <w:gridSpan w:val="4"/>
            <w:vAlign w:val="center"/>
          </w:tcPr>
          <w:p w14:paraId="6FD8D20A" w14:textId="77777777" w:rsidR="00CC6405" w:rsidRPr="00E04F12" w:rsidRDefault="00CC6405" w:rsidP="002178A9">
            <w:pPr>
              <w:keepLines/>
              <w:rPr>
                <w:rFonts w:ascii="Arial Narrow" w:hAnsi="Arial Narrow"/>
                <w:b/>
                <w:bCs/>
                <w:sz w:val="20"/>
                <w:szCs w:val="20"/>
              </w:rPr>
            </w:pPr>
            <w:r w:rsidRPr="00E04F12">
              <w:rPr>
                <w:rFonts w:ascii="Arial Narrow" w:hAnsi="Arial Narrow"/>
                <w:b/>
                <w:bCs/>
                <w:sz w:val="20"/>
                <w:szCs w:val="20"/>
              </w:rPr>
              <w:t xml:space="preserve">Severity: </w:t>
            </w:r>
            <w:r w:rsidRPr="00E04F12">
              <w:rPr>
                <w:rFonts w:ascii="Arial Narrow" w:hAnsi="Arial Narrow"/>
                <w:bCs/>
                <w:sz w:val="20"/>
                <w:szCs w:val="20"/>
              </w:rPr>
              <w:t>Relapsed or refractory</w:t>
            </w:r>
          </w:p>
        </w:tc>
      </w:tr>
      <w:tr w:rsidR="00CC6405" w:rsidRPr="00E04F12" w14:paraId="02B09301"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Merge/>
            <w:vAlign w:val="center"/>
          </w:tcPr>
          <w:p w14:paraId="23F19DC6" w14:textId="77777777" w:rsidR="00CC6405" w:rsidRPr="00E04F12" w:rsidRDefault="00CC6405" w:rsidP="002178A9">
            <w:pPr>
              <w:keepLines/>
              <w:jc w:val="center"/>
              <w:rPr>
                <w:rFonts w:ascii="Arial Narrow" w:hAnsi="Arial Narrow"/>
                <w:sz w:val="20"/>
                <w:szCs w:val="20"/>
              </w:rPr>
            </w:pPr>
          </w:p>
        </w:tc>
        <w:tc>
          <w:tcPr>
            <w:tcW w:w="4288" w:type="pct"/>
            <w:gridSpan w:val="4"/>
            <w:vAlign w:val="center"/>
          </w:tcPr>
          <w:p w14:paraId="073E78E5" w14:textId="77777777" w:rsidR="00CC6405" w:rsidRPr="00E04F12" w:rsidRDefault="00CC6405" w:rsidP="002178A9">
            <w:pPr>
              <w:keepLines/>
              <w:rPr>
                <w:rFonts w:ascii="Arial Narrow" w:hAnsi="Arial Narrow"/>
                <w:b/>
                <w:bCs/>
                <w:sz w:val="20"/>
                <w:szCs w:val="20"/>
              </w:rPr>
            </w:pPr>
            <w:r w:rsidRPr="00E04F12">
              <w:rPr>
                <w:rFonts w:ascii="Arial Narrow" w:hAnsi="Arial Narrow"/>
                <w:b/>
                <w:bCs/>
                <w:sz w:val="20"/>
                <w:szCs w:val="20"/>
              </w:rPr>
              <w:t xml:space="preserve">Condition: </w:t>
            </w:r>
            <w:r w:rsidRPr="00E04F12">
              <w:rPr>
                <w:rFonts w:ascii="Arial Narrow" w:hAnsi="Arial Narrow"/>
                <w:bCs/>
                <w:sz w:val="20"/>
                <w:szCs w:val="20"/>
              </w:rPr>
              <w:t>Diffuse large b-cell lymphoma (DLBCL)</w:t>
            </w:r>
          </w:p>
        </w:tc>
      </w:tr>
      <w:tr w:rsidR="00CC6405" w:rsidRPr="008E718A" w14:paraId="00D2F527" w14:textId="77777777" w:rsidTr="002178A9">
        <w:tblPrEx>
          <w:tblCellMar>
            <w:top w:w="15" w:type="dxa"/>
            <w:bottom w:w="15" w:type="dxa"/>
          </w:tblCellMar>
          <w:tblLook w:val="04A0" w:firstRow="1" w:lastRow="0" w:firstColumn="1" w:lastColumn="0" w:noHBand="0" w:noVBand="1"/>
        </w:tblPrEx>
        <w:trPr>
          <w:cantSplit/>
          <w:trHeight w:val="20"/>
        </w:trPr>
        <w:tc>
          <w:tcPr>
            <w:tcW w:w="291" w:type="pct"/>
            <w:vMerge w:val="restart"/>
            <w:textDirection w:val="btLr"/>
            <w:vAlign w:val="center"/>
          </w:tcPr>
          <w:p w14:paraId="4B044E7A" w14:textId="7371D503" w:rsidR="00CC6405" w:rsidRPr="008E718A" w:rsidRDefault="00CC6405" w:rsidP="002178A9">
            <w:pPr>
              <w:keepLines/>
              <w:ind w:left="113" w:right="113"/>
              <w:jc w:val="center"/>
              <w:rPr>
                <w:rFonts w:ascii="Arial Narrow" w:hAnsi="Arial Narrow"/>
                <w:sz w:val="20"/>
                <w:szCs w:val="20"/>
              </w:rPr>
            </w:pPr>
          </w:p>
        </w:tc>
        <w:tc>
          <w:tcPr>
            <w:tcW w:w="421" w:type="pct"/>
            <w:vAlign w:val="center"/>
          </w:tcPr>
          <w:p w14:paraId="7F43723D" w14:textId="275A02C7" w:rsidR="00CC6405" w:rsidRPr="008E718A" w:rsidRDefault="00CC6405" w:rsidP="002178A9">
            <w:pPr>
              <w:keepLines/>
              <w:jc w:val="center"/>
              <w:rPr>
                <w:rFonts w:ascii="Arial Narrow" w:hAnsi="Arial Narrow"/>
                <w:sz w:val="20"/>
                <w:szCs w:val="20"/>
              </w:rPr>
            </w:pPr>
          </w:p>
        </w:tc>
        <w:tc>
          <w:tcPr>
            <w:tcW w:w="4288" w:type="pct"/>
            <w:gridSpan w:val="4"/>
            <w:vAlign w:val="center"/>
          </w:tcPr>
          <w:p w14:paraId="59828FC9" w14:textId="0FABD9F6" w:rsidR="00CC6405" w:rsidRPr="008E718A" w:rsidRDefault="00CC6405" w:rsidP="002178A9">
            <w:pPr>
              <w:keepLines/>
              <w:contextualSpacing/>
              <w:rPr>
                <w:rFonts w:ascii="Arial Narrow" w:hAnsi="Arial Narrow"/>
                <w:b/>
                <w:bCs/>
                <w:sz w:val="20"/>
                <w:szCs w:val="20"/>
              </w:rPr>
            </w:pPr>
          </w:p>
        </w:tc>
      </w:tr>
      <w:tr w:rsidR="00CC6405" w:rsidRPr="008E718A" w14:paraId="6A8C7F46" w14:textId="77777777" w:rsidTr="002178A9">
        <w:tblPrEx>
          <w:tblCellMar>
            <w:top w:w="15" w:type="dxa"/>
            <w:bottom w:w="15" w:type="dxa"/>
          </w:tblCellMar>
          <w:tblLook w:val="04A0" w:firstRow="1" w:lastRow="0" w:firstColumn="1" w:lastColumn="0" w:noHBand="0" w:noVBand="1"/>
        </w:tblPrEx>
        <w:trPr>
          <w:cantSplit/>
          <w:trHeight w:val="20"/>
        </w:trPr>
        <w:tc>
          <w:tcPr>
            <w:tcW w:w="291" w:type="pct"/>
            <w:vMerge/>
            <w:vAlign w:val="center"/>
          </w:tcPr>
          <w:p w14:paraId="3813988F" w14:textId="77777777" w:rsidR="00CC6405" w:rsidRPr="008E718A" w:rsidRDefault="00CC6405" w:rsidP="002178A9">
            <w:pPr>
              <w:keepLines/>
              <w:jc w:val="center"/>
              <w:rPr>
                <w:rFonts w:ascii="Arial Narrow" w:hAnsi="Arial Narrow"/>
                <w:sz w:val="20"/>
                <w:szCs w:val="20"/>
              </w:rPr>
            </w:pPr>
          </w:p>
        </w:tc>
        <w:tc>
          <w:tcPr>
            <w:tcW w:w="421" w:type="pct"/>
          </w:tcPr>
          <w:p w14:paraId="62D0730D" w14:textId="2608044C" w:rsidR="00CC6405" w:rsidRPr="008E718A" w:rsidRDefault="00CC6405" w:rsidP="002178A9">
            <w:pPr>
              <w:keepLines/>
              <w:jc w:val="center"/>
              <w:rPr>
                <w:rFonts w:ascii="Arial Narrow" w:hAnsi="Arial Narrow"/>
                <w:sz w:val="20"/>
                <w:szCs w:val="20"/>
              </w:rPr>
            </w:pPr>
          </w:p>
        </w:tc>
        <w:tc>
          <w:tcPr>
            <w:tcW w:w="4288" w:type="pct"/>
            <w:gridSpan w:val="4"/>
          </w:tcPr>
          <w:p w14:paraId="71DA9B80" w14:textId="501153E8" w:rsidR="00CC6405" w:rsidRPr="008E718A" w:rsidRDefault="00CC6405" w:rsidP="002178A9">
            <w:pPr>
              <w:keepLines/>
              <w:rPr>
                <w:rFonts w:ascii="Arial Narrow" w:hAnsi="Arial Narrow"/>
                <w:b/>
                <w:bCs/>
                <w:sz w:val="20"/>
                <w:szCs w:val="20"/>
              </w:rPr>
            </w:pPr>
          </w:p>
        </w:tc>
      </w:tr>
      <w:tr w:rsidR="00CC6405" w:rsidRPr="008E718A" w14:paraId="1F4C0567" w14:textId="77777777" w:rsidTr="002178A9">
        <w:tblPrEx>
          <w:tblCellMar>
            <w:top w:w="15" w:type="dxa"/>
            <w:bottom w:w="15" w:type="dxa"/>
          </w:tblCellMar>
          <w:tblLook w:val="04A0" w:firstRow="1" w:lastRow="0" w:firstColumn="1" w:lastColumn="0" w:noHBand="0" w:noVBand="1"/>
        </w:tblPrEx>
        <w:trPr>
          <w:cantSplit/>
          <w:trHeight w:val="20"/>
        </w:trPr>
        <w:tc>
          <w:tcPr>
            <w:tcW w:w="291" w:type="pct"/>
            <w:vMerge/>
            <w:vAlign w:val="center"/>
          </w:tcPr>
          <w:p w14:paraId="2AFB9159" w14:textId="77777777" w:rsidR="00CC6405" w:rsidRPr="008E718A" w:rsidRDefault="00CC6405" w:rsidP="002178A9">
            <w:pPr>
              <w:keepLines/>
              <w:jc w:val="center"/>
              <w:rPr>
                <w:rFonts w:ascii="Arial Narrow" w:hAnsi="Arial Narrow"/>
                <w:sz w:val="20"/>
                <w:szCs w:val="20"/>
              </w:rPr>
            </w:pPr>
          </w:p>
        </w:tc>
        <w:tc>
          <w:tcPr>
            <w:tcW w:w="421" w:type="pct"/>
          </w:tcPr>
          <w:p w14:paraId="1003D2E9" w14:textId="3DED6C89" w:rsidR="00CC6405" w:rsidRPr="008E718A" w:rsidRDefault="00CC6405" w:rsidP="002178A9">
            <w:pPr>
              <w:keepLines/>
              <w:jc w:val="center"/>
              <w:rPr>
                <w:rFonts w:ascii="Arial Narrow" w:hAnsi="Arial Narrow"/>
                <w:sz w:val="20"/>
                <w:szCs w:val="20"/>
              </w:rPr>
            </w:pPr>
          </w:p>
        </w:tc>
        <w:tc>
          <w:tcPr>
            <w:tcW w:w="4288" w:type="pct"/>
            <w:gridSpan w:val="4"/>
          </w:tcPr>
          <w:p w14:paraId="7DBEE45F" w14:textId="6F9629E5" w:rsidR="00CC6405" w:rsidRPr="008E718A" w:rsidRDefault="00CC6405" w:rsidP="002178A9">
            <w:pPr>
              <w:keepLines/>
              <w:rPr>
                <w:rFonts w:ascii="Arial Narrow" w:hAnsi="Arial Narrow"/>
                <w:b/>
                <w:bCs/>
                <w:sz w:val="20"/>
                <w:szCs w:val="20"/>
              </w:rPr>
            </w:pPr>
          </w:p>
        </w:tc>
      </w:tr>
      <w:tr w:rsidR="00CC6405" w:rsidRPr="00E04F12" w14:paraId="10E55212" w14:textId="77777777" w:rsidTr="002178A9">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27801AE" w14:textId="77777777" w:rsidR="00CC6405" w:rsidRPr="00E04F12" w:rsidRDefault="00CC6405" w:rsidP="002178A9">
            <w:pPr>
              <w:keepLines/>
              <w:rPr>
                <w:rFonts w:ascii="Arial Narrow" w:hAnsi="Arial Narrow"/>
                <w:sz w:val="20"/>
                <w:szCs w:val="20"/>
              </w:rPr>
            </w:pPr>
            <w:r w:rsidRPr="00E04F12">
              <w:rPr>
                <w:rFonts w:ascii="Arial Narrow" w:eastAsia="Calibri" w:hAnsi="Arial Narrow"/>
                <w:b/>
                <w:sz w:val="20"/>
                <w:szCs w:val="20"/>
              </w:rPr>
              <w:t>Restriction Summary [new4] / Treatment of Concept: [new4A]</w:t>
            </w:r>
          </w:p>
        </w:tc>
      </w:tr>
      <w:tr w:rsidR="00CC6405" w:rsidRPr="00E04F12" w14:paraId="521E5B8D"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Align w:val="center"/>
          </w:tcPr>
          <w:p w14:paraId="488A388E" w14:textId="144D116C" w:rsidR="00CC6405" w:rsidRPr="00E04F12" w:rsidRDefault="00CC6405" w:rsidP="002178A9">
            <w:pPr>
              <w:keepLines/>
              <w:jc w:val="center"/>
              <w:rPr>
                <w:rFonts w:ascii="Arial Narrow" w:hAnsi="Arial Narrow"/>
                <w:sz w:val="20"/>
                <w:szCs w:val="20"/>
              </w:rPr>
            </w:pPr>
          </w:p>
        </w:tc>
        <w:tc>
          <w:tcPr>
            <w:tcW w:w="4288" w:type="pct"/>
            <w:gridSpan w:val="4"/>
            <w:vAlign w:val="center"/>
          </w:tcPr>
          <w:p w14:paraId="79A88C61" w14:textId="77777777" w:rsidR="00CC6405" w:rsidRPr="00E04F12" w:rsidRDefault="00CC6405" w:rsidP="002178A9">
            <w:pPr>
              <w:keepLines/>
              <w:rPr>
                <w:rFonts w:ascii="Arial Narrow" w:hAnsi="Arial Narrow"/>
                <w:b/>
                <w:bCs/>
                <w:sz w:val="20"/>
                <w:szCs w:val="20"/>
              </w:rPr>
            </w:pPr>
            <w:r w:rsidRPr="00E04F12">
              <w:rPr>
                <w:rFonts w:ascii="Arial Narrow" w:hAnsi="Arial Narrow"/>
                <w:b/>
                <w:bCs/>
                <w:sz w:val="20"/>
                <w:szCs w:val="20"/>
              </w:rPr>
              <w:t>Indication:</w:t>
            </w:r>
            <w:r w:rsidRPr="00E04F12">
              <w:rPr>
                <w:rFonts w:ascii="Arial Narrow" w:hAnsi="Arial Narrow"/>
                <w:sz w:val="20"/>
                <w:szCs w:val="20"/>
              </w:rPr>
              <w:t xml:space="preserve"> Relapsed or refractory Diffuse large b-cell lymphoma (DLBCL)</w:t>
            </w:r>
          </w:p>
        </w:tc>
      </w:tr>
      <w:tr w:rsidR="00CC6405" w:rsidRPr="00E04F12" w14:paraId="53158E15" w14:textId="77777777" w:rsidTr="00A42977">
        <w:tblPrEx>
          <w:tblCellMar>
            <w:top w:w="15" w:type="dxa"/>
            <w:bottom w:w="15" w:type="dxa"/>
          </w:tblCellMar>
          <w:tblLook w:val="04A0" w:firstRow="1" w:lastRow="0" w:firstColumn="1" w:lastColumn="0" w:noHBand="0" w:noVBand="1"/>
        </w:tblPrEx>
        <w:trPr>
          <w:cantSplit/>
          <w:trHeight w:val="20"/>
        </w:trPr>
        <w:tc>
          <w:tcPr>
            <w:tcW w:w="712" w:type="pct"/>
            <w:gridSpan w:val="2"/>
            <w:vAlign w:val="center"/>
          </w:tcPr>
          <w:p w14:paraId="71AB02DE" w14:textId="77777777" w:rsidR="00CC6405" w:rsidRPr="00E04F12" w:rsidRDefault="00CC6405" w:rsidP="002178A9">
            <w:pPr>
              <w:jc w:val="center"/>
              <w:rPr>
                <w:rFonts w:ascii="Arial Narrow" w:hAnsi="Arial Narrow"/>
                <w:sz w:val="20"/>
                <w:szCs w:val="20"/>
              </w:rPr>
            </w:pPr>
          </w:p>
        </w:tc>
        <w:tc>
          <w:tcPr>
            <w:tcW w:w="4288" w:type="pct"/>
            <w:gridSpan w:val="4"/>
            <w:vAlign w:val="center"/>
            <w:hideMark/>
          </w:tcPr>
          <w:p w14:paraId="4899E5E6"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Treatment Phase:</w:t>
            </w:r>
            <w:r w:rsidRPr="00E04F12">
              <w:rPr>
                <w:rFonts w:ascii="Arial Narrow" w:hAnsi="Arial Narrow"/>
                <w:sz w:val="20"/>
                <w:szCs w:val="20"/>
              </w:rPr>
              <w:t xml:space="preserve"> Continuing treatment </w:t>
            </w:r>
            <w:r w:rsidRPr="00E04F12">
              <w:rPr>
                <w:rFonts w:ascii="Arial Narrow" w:eastAsia="Calibri" w:hAnsi="Arial Narrow"/>
                <w:spacing w:val="-2"/>
                <w:sz w:val="20"/>
                <w:szCs w:val="20"/>
              </w:rPr>
              <w:t>(cycles 2-</w:t>
            </w:r>
            <w:r>
              <w:rPr>
                <w:rFonts w:ascii="Arial Narrow" w:eastAsia="Calibri" w:hAnsi="Arial Narrow"/>
                <w:spacing w:val="-2"/>
                <w:sz w:val="20"/>
                <w:szCs w:val="20"/>
              </w:rPr>
              <w:t>12</w:t>
            </w:r>
            <w:r w:rsidRPr="00E04F12">
              <w:rPr>
                <w:rFonts w:ascii="Arial Narrow" w:eastAsia="Calibri" w:hAnsi="Arial Narrow"/>
                <w:spacing w:val="-2"/>
                <w:sz w:val="20"/>
                <w:szCs w:val="20"/>
              </w:rPr>
              <w:t>)</w:t>
            </w:r>
          </w:p>
        </w:tc>
      </w:tr>
      <w:tr w:rsidR="00CC6405" w:rsidRPr="00E04F12" w14:paraId="7B378F47" w14:textId="77777777" w:rsidTr="00A42977">
        <w:tblPrEx>
          <w:tblCellMar>
            <w:top w:w="15" w:type="dxa"/>
            <w:bottom w:w="15" w:type="dxa"/>
          </w:tblCellMar>
          <w:tblLook w:val="04A0" w:firstRow="1" w:lastRow="0" w:firstColumn="1" w:lastColumn="0" w:noHBand="0" w:noVBand="1"/>
        </w:tblPrEx>
        <w:trPr>
          <w:cantSplit/>
          <w:trHeight w:val="20"/>
        </w:trPr>
        <w:tc>
          <w:tcPr>
            <w:tcW w:w="712" w:type="pct"/>
            <w:gridSpan w:val="2"/>
            <w:vAlign w:val="center"/>
          </w:tcPr>
          <w:p w14:paraId="7CF89A2F" w14:textId="77777777" w:rsidR="00CC6405" w:rsidRPr="00E04F12" w:rsidRDefault="00CC6405" w:rsidP="002178A9">
            <w:pPr>
              <w:jc w:val="center"/>
              <w:rPr>
                <w:rFonts w:ascii="Arial Narrow" w:hAnsi="Arial Narrow"/>
                <w:sz w:val="20"/>
                <w:szCs w:val="20"/>
              </w:rPr>
            </w:pPr>
          </w:p>
        </w:tc>
        <w:tc>
          <w:tcPr>
            <w:tcW w:w="4288" w:type="pct"/>
            <w:gridSpan w:val="4"/>
            <w:vAlign w:val="center"/>
            <w:hideMark/>
          </w:tcPr>
          <w:p w14:paraId="6840061E"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 xml:space="preserve">Clinical criteria: </w:t>
            </w:r>
          </w:p>
        </w:tc>
      </w:tr>
      <w:tr w:rsidR="00CC6405" w:rsidRPr="00E04F12" w14:paraId="01493C69"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Align w:val="center"/>
          </w:tcPr>
          <w:p w14:paraId="1D808397" w14:textId="6BA22523" w:rsidR="00CC6405" w:rsidRPr="00E04F12" w:rsidRDefault="00CC6405" w:rsidP="002178A9">
            <w:pPr>
              <w:jc w:val="center"/>
              <w:rPr>
                <w:rFonts w:ascii="Arial Narrow" w:hAnsi="Arial Narrow"/>
                <w:sz w:val="20"/>
                <w:szCs w:val="20"/>
              </w:rPr>
            </w:pPr>
          </w:p>
        </w:tc>
        <w:tc>
          <w:tcPr>
            <w:tcW w:w="4288" w:type="pct"/>
            <w:gridSpan w:val="4"/>
            <w:vAlign w:val="center"/>
          </w:tcPr>
          <w:p w14:paraId="664507CD" w14:textId="77777777" w:rsidR="00CC6405" w:rsidRPr="00E04F12" w:rsidRDefault="00CC6405" w:rsidP="002178A9">
            <w:pPr>
              <w:rPr>
                <w:rFonts w:ascii="Arial Narrow" w:hAnsi="Arial Narrow"/>
                <w:sz w:val="20"/>
                <w:szCs w:val="20"/>
              </w:rPr>
            </w:pPr>
            <w:r w:rsidRPr="00E04F12">
              <w:rPr>
                <w:rFonts w:ascii="Arial Narrow" w:hAnsi="Arial Narrow"/>
                <w:sz w:val="20"/>
                <w:szCs w:val="20"/>
              </w:rPr>
              <w:t>Patient must have previously received PBS-subsidised treatment with this drug for this condition.</w:t>
            </w:r>
          </w:p>
        </w:tc>
      </w:tr>
      <w:tr w:rsidR="00CC6405" w:rsidRPr="00E04F12" w14:paraId="3D275DDA"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Align w:val="center"/>
          </w:tcPr>
          <w:p w14:paraId="719F4210" w14:textId="77777777" w:rsidR="00CC6405" w:rsidRPr="00E04F12" w:rsidRDefault="00CC6405" w:rsidP="002178A9">
            <w:pPr>
              <w:jc w:val="center"/>
              <w:rPr>
                <w:rFonts w:ascii="Arial Narrow" w:hAnsi="Arial Narrow"/>
                <w:sz w:val="20"/>
                <w:szCs w:val="20"/>
              </w:rPr>
            </w:pPr>
          </w:p>
        </w:tc>
        <w:tc>
          <w:tcPr>
            <w:tcW w:w="4288" w:type="pct"/>
            <w:gridSpan w:val="4"/>
            <w:vAlign w:val="center"/>
          </w:tcPr>
          <w:p w14:paraId="05B64951" w14:textId="77777777" w:rsidR="00CC6405" w:rsidRPr="00E04F12" w:rsidRDefault="00CC6405" w:rsidP="002178A9">
            <w:pPr>
              <w:rPr>
                <w:rFonts w:ascii="Arial Narrow" w:hAnsi="Arial Narrow"/>
                <w:sz w:val="20"/>
                <w:szCs w:val="20"/>
              </w:rPr>
            </w:pPr>
            <w:r w:rsidRPr="00E04F12">
              <w:rPr>
                <w:rFonts w:ascii="Arial Narrow" w:hAnsi="Arial Narrow"/>
                <w:b/>
                <w:bCs/>
                <w:sz w:val="20"/>
                <w:szCs w:val="20"/>
              </w:rPr>
              <w:t>AND</w:t>
            </w:r>
          </w:p>
        </w:tc>
      </w:tr>
      <w:tr w:rsidR="00CC6405" w:rsidRPr="00E04F12" w14:paraId="30E3A463"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Align w:val="center"/>
          </w:tcPr>
          <w:p w14:paraId="2A483B3B" w14:textId="77777777" w:rsidR="00CC6405" w:rsidRPr="00E04F12" w:rsidRDefault="00CC6405" w:rsidP="002178A9">
            <w:pPr>
              <w:jc w:val="center"/>
              <w:rPr>
                <w:rFonts w:ascii="Arial Narrow" w:hAnsi="Arial Narrow"/>
                <w:sz w:val="20"/>
                <w:szCs w:val="20"/>
              </w:rPr>
            </w:pPr>
          </w:p>
        </w:tc>
        <w:tc>
          <w:tcPr>
            <w:tcW w:w="4288" w:type="pct"/>
            <w:gridSpan w:val="4"/>
            <w:vAlign w:val="center"/>
          </w:tcPr>
          <w:p w14:paraId="30150167"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Clinical criteria:</w:t>
            </w:r>
          </w:p>
        </w:tc>
      </w:tr>
      <w:tr w:rsidR="00CC6405" w:rsidRPr="00E04F12" w14:paraId="727535D1"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Align w:val="center"/>
          </w:tcPr>
          <w:p w14:paraId="282626E2" w14:textId="4677A5CD" w:rsidR="00CC6405" w:rsidRPr="00E04F12" w:rsidRDefault="00CC6405" w:rsidP="002178A9">
            <w:pPr>
              <w:jc w:val="center"/>
              <w:rPr>
                <w:rFonts w:ascii="Arial Narrow" w:hAnsi="Arial Narrow"/>
                <w:sz w:val="20"/>
                <w:szCs w:val="20"/>
              </w:rPr>
            </w:pPr>
          </w:p>
        </w:tc>
        <w:tc>
          <w:tcPr>
            <w:tcW w:w="4288" w:type="pct"/>
            <w:gridSpan w:val="4"/>
            <w:vAlign w:val="center"/>
          </w:tcPr>
          <w:p w14:paraId="5AAE796D" w14:textId="77777777" w:rsidR="00CC6405" w:rsidRPr="00E04F12" w:rsidRDefault="00CC6405" w:rsidP="002178A9">
            <w:pPr>
              <w:rPr>
                <w:rFonts w:ascii="Arial Narrow" w:hAnsi="Arial Narrow"/>
                <w:sz w:val="20"/>
                <w:szCs w:val="20"/>
              </w:rPr>
            </w:pPr>
            <w:r w:rsidRPr="00E04F12">
              <w:rPr>
                <w:rFonts w:ascii="Arial Narrow" w:hAnsi="Arial Narrow"/>
                <w:sz w:val="20"/>
                <w:szCs w:val="20"/>
              </w:rPr>
              <w:t xml:space="preserve">The treatment must be in combination with gemcitabine and oxaliplatin </w:t>
            </w:r>
            <w:r>
              <w:rPr>
                <w:rFonts w:ascii="Arial Narrow" w:hAnsi="Arial Narrow"/>
                <w:sz w:val="20"/>
                <w:szCs w:val="20"/>
              </w:rPr>
              <w:t>for the first 8 cycles unless the patient develops a toxicity necessitating treatment discontinuation.</w:t>
            </w:r>
          </w:p>
        </w:tc>
      </w:tr>
      <w:tr w:rsidR="00CC6405" w:rsidRPr="00E04F12" w14:paraId="5C6CE092"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tcPr>
          <w:p w14:paraId="159E905C" w14:textId="77777777" w:rsidR="00CC6405" w:rsidRPr="00E04F12" w:rsidRDefault="00CC6405" w:rsidP="002178A9">
            <w:pPr>
              <w:jc w:val="center"/>
              <w:rPr>
                <w:rFonts w:ascii="Arial Narrow" w:hAnsi="Arial Narrow"/>
                <w:sz w:val="20"/>
                <w:szCs w:val="20"/>
              </w:rPr>
            </w:pPr>
          </w:p>
        </w:tc>
        <w:tc>
          <w:tcPr>
            <w:tcW w:w="4288" w:type="pct"/>
            <w:gridSpan w:val="4"/>
          </w:tcPr>
          <w:p w14:paraId="7F14CF97" w14:textId="77777777" w:rsidR="00CC6405" w:rsidRPr="00E04F12" w:rsidRDefault="00CC6405" w:rsidP="002178A9">
            <w:pPr>
              <w:rPr>
                <w:rFonts w:ascii="Arial Narrow" w:hAnsi="Arial Narrow"/>
                <w:b/>
                <w:bCs/>
                <w:sz w:val="20"/>
                <w:szCs w:val="20"/>
              </w:rPr>
            </w:pPr>
            <w:r w:rsidRPr="00E04F12">
              <w:rPr>
                <w:rFonts w:ascii="Arial Narrow" w:eastAsia="Calibri" w:hAnsi="Arial Narrow"/>
                <w:b/>
                <w:bCs/>
                <w:spacing w:val="-2"/>
                <w:sz w:val="20"/>
                <w:szCs w:val="20"/>
              </w:rPr>
              <w:t>AND</w:t>
            </w:r>
          </w:p>
        </w:tc>
      </w:tr>
      <w:tr w:rsidR="00CC6405" w:rsidRPr="00E04F12" w14:paraId="29AB3D8A"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tcPr>
          <w:p w14:paraId="57F01FAC" w14:textId="77777777" w:rsidR="00CC6405" w:rsidRPr="00E04F12" w:rsidRDefault="00CC6405" w:rsidP="002178A9">
            <w:pPr>
              <w:jc w:val="center"/>
              <w:rPr>
                <w:rFonts w:ascii="Arial Narrow" w:hAnsi="Arial Narrow"/>
                <w:sz w:val="20"/>
                <w:szCs w:val="20"/>
              </w:rPr>
            </w:pPr>
          </w:p>
        </w:tc>
        <w:tc>
          <w:tcPr>
            <w:tcW w:w="4288" w:type="pct"/>
            <w:gridSpan w:val="4"/>
          </w:tcPr>
          <w:p w14:paraId="31FBF322" w14:textId="77777777" w:rsidR="00CC6405" w:rsidRPr="00E04F12" w:rsidRDefault="00CC6405" w:rsidP="002178A9">
            <w:pPr>
              <w:rPr>
                <w:rFonts w:ascii="Arial Narrow" w:hAnsi="Arial Narrow"/>
                <w:b/>
                <w:bCs/>
                <w:sz w:val="20"/>
                <w:szCs w:val="20"/>
              </w:rPr>
            </w:pPr>
            <w:r w:rsidRPr="00E04F12">
              <w:rPr>
                <w:rFonts w:ascii="Arial Narrow" w:eastAsia="Calibri" w:hAnsi="Arial Narrow"/>
                <w:b/>
                <w:bCs/>
                <w:sz w:val="20"/>
                <w:szCs w:val="20"/>
              </w:rPr>
              <w:t>Clinical</w:t>
            </w:r>
            <w:r w:rsidRPr="00E04F12">
              <w:rPr>
                <w:rFonts w:ascii="Arial Narrow" w:eastAsia="Calibri" w:hAnsi="Arial Narrow"/>
                <w:b/>
                <w:bCs/>
                <w:spacing w:val="-4"/>
                <w:sz w:val="20"/>
                <w:szCs w:val="20"/>
              </w:rPr>
              <w:t xml:space="preserve"> </w:t>
            </w:r>
            <w:r w:rsidRPr="00E04F12">
              <w:rPr>
                <w:rFonts w:ascii="Arial Narrow" w:eastAsia="Calibri" w:hAnsi="Arial Narrow"/>
                <w:b/>
                <w:bCs/>
                <w:spacing w:val="-2"/>
                <w:sz w:val="20"/>
                <w:szCs w:val="20"/>
              </w:rPr>
              <w:t>criteria:</w:t>
            </w:r>
          </w:p>
        </w:tc>
      </w:tr>
      <w:tr w:rsidR="00CC6405" w:rsidRPr="00E04F12" w14:paraId="19E0CD52"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Align w:val="center"/>
          </w:tcPr>
          <w:p w14:paraId="296496F9" w14:textId="77208D80" w:rsidR="00CC6405" w:rsidRPr="00E04F12" w:rsidRDefault="00CC6405" w:rsidP="002178A9">
            <w:pPr>
              <w:jc w:val="center"/>
              <w:rPr>
                <w:rFonts w:ascii="Arial Narrow" w:hAnsi="Arial Narrow"/>
                <w:sz w:val="20"/>
                <w:szCs w:val="20"/>
              </w:rPr>
            </w:pPr>
          </w:p>
        </w:tc>
        <w:tc>
          <w:tcPr>
            <w:tcW w:w="4288" w:type="pct"/>
            <w:gridSpan w:val="4"/>
            <w:vAlign w:val="center"/>
          </w:tcPr>
          <w:p w14:paraId="13009F02" w14:textId="77777777" w:rsidR="00CC6405" w:rsidRPr="00E04F12" w:rsidRDefault="00CC6405" w:rsidP="002178A9">
            <w:pPr>
              <w:rPr>
                <w:rFonts w:ascii="Arial Narrow" w:eastAsia="Calibri" w:hAnsi="Arial Narrow"/>
                <w:b/>
                <w:bCs/>
                <w:sz w:val="20"/>
                <w:szCs w:val="20"/>
              </w:rPr>
            </w:pPr>
            <w:r w:rsidRPr="00E04F12">
              <w:rPr>
                <w:rFonts w:ascii="Arial Narrow" w:hAnsi="Arial Narrow"/>
                <w:sz w:val="20"/>
                <w:szCs w:val="20"/>
              </w:rPr>
              <w:t>Patient must not have developed disease progression while being treated with this drug for this condition.</w:t>
            </w:r>
          </w:p>
        </w:tc>
      </w:tr>
      <w:tr w:rsidR="00CC6405" w:rsidRPr="00E04F12" w14:paraId="012BF6FE"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Align w:val="center"/>
          </w:tcPr>
          <w:p w14:paraId="6031821A" w14:textId="77777777" w:rsidR="00CC6405" w:rsidRPr="00E04F12" w:rsidRDefault="00CC6405" w:rsidP="002178A9">
            <w:pPr>
              <w:jc w:val="center"/>
              <w:rPr>
                <w:rFonts w:ascii="Arial Narrow" w:hAnsi="Arial Narrow"/>
                <w:sz w:val="20"/>
                <w:szCs w:val="20"/>
              </w:rPr>
            </w:pPr>
          </w:p>
        </w:tc>
        <w:tc>
          <w:tcPr>
            <w:tcW w:w="4288" w:type="pct"/>
            <w:gridSpan w:val="4"/>
            <w:vAlign w:val="center"/>
          </w:tcPr>
          <w:p w14:paraId="66590BF1"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Clinical criteria:</w:t>
            </w:r>
          </w:p>
        </w:tc>
      </w:tr>
      <w:tr w:rsidR="00CC6405" w:rsidRPr="00E04F12" w14:paraId="1355B8AE" w14:textId="77777777" w:rsidTr="002178A9">
        <w:tblPrEx>
          <w:tblCellMar>
            <w:top w:w="15" w:type="dxa"/>
            <w:bottom w:w="15" w:type="dxa"/>
          </w:tblCellMar>
          <w:tblLook w:val="04A0" w:firstRow="1" w:lastRow="0" w:firstColumn="1" w:lastColumn="0" w:noHBand="0" w:noVBand="1"/>
        </w:tblPrEx>
        <w:trPr>
          <w:cantSplit/>
          <w:trHeight w:val="20"/>
        </w:trPr>
        <w:tc>
          <w:tcPr>
            <w:tcW w:w="712" w:type="pct"/>
            <w:gridSpan w:val="2"/>
            <w:vAlign w:val="center"/>
          </w:tcPr>
          <w:p w14:paraId="0EAF2AF8" w14:textId="36E15426" w:rsidR="00CC6405" w:rsidRPr="00E04F12" w:rsidRDefault="00CC6405" w:rsidP="002178A9">
            <w:pPr>
              <w:jc w:val="center"/>
              <w:rPr>
                <w:rFonts w:ascii="Arial Narrow" w:hAnsi="Arial Narrow"/>
                <w:sz w:val="20"/>
                <w:szCs w:val="20"/>
              </w:rPr>
            </w:pPr>
          </w:p>
        </w:tc>
        <w:tc>
          <w:tcPr>
            <w:tcW w:w="4288" w:type="pct"/>
            <w:gridSpan w:val="4"/>
            <w:vAlign w:val="center"/>
          </w:tcPr>
          <w:p w14:paraId="71102483" w14:textId="77777777" w:rsidR="00CC6405" w:rsidRPr="00E04F12" w:rsidRDefault="00CC6405" w:rsidP="002178A9">
            <w:pPr>
              <w:rPr>
                <w:rFonts w:ascii="Arial Narrow" w:hAnsi="Arial Narrow"/>
                <w:sz w:val="20"/>
                <w:szCs w:val="20"/>
              </w:rPr>
            </w:pPr>
            <w:r w:rsidRPr="00E04F12">
              <w:rPr>
                <w:rFonts w:ascii="Arial Narrow" w:hAnsi="Arial Narrow"/>
                <w:sz w:val="20"/>
                <w:szCs w:val="20"/>
              </w:rPr>
              <w:t>The treatment must not exceed a total of 12 cycles of this drug for this indication, regardless of whether treatment was non-PBS or PBS-subsidised</w:t>
            </w:r>
          </w:p>
        </w:tc>
      </w:tr>
      <w:tr w:rsidR="00CC6405" w:rsidRPr="00E04F12" w14:paraId="7D4EA550"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12" w:type="pct"/>
            <w:gridSpan w:val="2"/>
            <w:tcBorders>
              <w:top w:val="single" w:sz="4" w:space="0" w:color="auto"/>
              <w:left w:val="single" w:sz="4" w:space="0" w:color="auto"/>
              <w:bottom w:val="single" w:sz="4" w:space="0" w:color="auto"/>
              <w:right w:val="single" w:sz="4" w:space="0" w:color="auto"/>
            </w:tcBorders>
            <w:vAlign w:val="center"/>
          </w:tcPr>
          <w:p w14:paraId="5A9AA97A" w14:textId="7D65F7F7" w:rsidR="00CC6405" w:rsidRPr="00E04F12" w:rsidRDefault="00CC6405" w:rsidP="002178A9">
            <w:pPr>
              <w:jc w:val="center"/>
              <w:rPr>
                <w:rFonts w:ascii="Arial Narrow" w:hAnsi="Arial Narrow"/>
                <w:sz w:val="20"/>
                <w:szCs w:val="20"/>
              </w:rPr>
            </w:pPr>
          </w:p>
        </w:tc>
        <w:tc>
          <w:tcPr>
            <w:tcW w:w="4288" w:type="pct"/>
            <w:gridSpan w:val="4"/>
            <w:tcBorders>
              <w:top w:val="single" w:sz="4" w:space="0" w:color="auto"/>
              <w:left w:val="single" w:sz="4" w:space="0" w:color="auto"/>
              <w:bottom w:val="single" w:sz="4" w:space="0" w:color="auto"/>
              <w:right w:val="single" w:sz="4" w:space="0" w:color="auto"/>
            </w:tcBorders>
            <w:vAlign w:val="center"/>
          </w:tcPr>
          <w:p w14:paraId="7A6484FC" w14:textId="77777777" w:rsidR="00CC6405" w:rsidRPr="00E04F12" w:rsidRDefault="00CC6405" w:rsidP="002178A9">
            <w:pPr>
              <w:rPr>
                <w:rFonts w:ascii="Arial Narrow" w:hAnsi="Arial Narrow"/>
                <w:b/>
                <w:bCs/>
                <w:sz w:val="20"/>
                <w:szCs w:val="20"/>
              </w:rPr>
            </w:pPr>
            <w:r w:rsidRPr="00E04F12">
              <w:rPr>
                <w:rFonts w:ascii="Arial Narrow" w:eastAsia="Calibri" w:hAnsi="Arial Narrow"/>
                <w:b/>
                <w:bCs/>
                <w:sz w:val="20"/>
                <w:szCs w:val="20"/>
              </w:rPr>
              <w:t xml:space="preserve">Administrative Advice: </w:t>
            </w:r>
            <w:r w:rsidRPr="00E04F12">
              <w:rPr>
                <w:rFonts w:ascii="Arial Narrow" w:eastAsia="Calibri"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583AF6" w:rsidRPr="00E04F12" w14:paraId="698C6CE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12" w:type="pct"/>
            <w:gridSpan w:val="2"/>
            <w:tcBorders>
              <w:top w:val="single" w:sz="4" w:space="0" w:color="auto"/>
              <w:left w:val="single" w:sz="4" w:space="0" w:color="auto"/>
              <w:bottom w:val="single" w:sz="4" w:space="0" w:color="auto"/>
              <w:right w:val="single" w:sz="4" w:space="0" w:color="auto"/>
            </w:tcBorders>
            <w:vAlign w:val="center"/>
          </w:tcPr>
          <w:p w14:paraId="0E8809CA" w14:textId="4BE6A77B" w:rsidR="00583AF6" w:rsidRPr="00E04F12" w:rsidRDefault="00583AF6" w:rsidP="00583AF6">
            <w:pPr>
              <w:jc w:val="center"/>
              <w:rPr>
                <w:rFonts w:ascii="Arial Narrow" w:eastAsia="Calibri" w:hAnsi="Arial Narrow"/>
                <w:bCs/>
                <w:sz w:val="20"/>
                <w:szCs w:val="20"/>
              </w:rPr>
            </w:pPr>
          </w:p>
        </w:tc>
        <w:tc>
          <w:tcPr>
            <w:tcW w:w="4288" w:type="pct"/>
            <w:gridSpan w:val="4"/>
            <w:tcBorders>
              <w:top w:val="single" w:sz="4" w:space="0" w:color="auto"/>
              <w:left w:val="single" w:sz="4" w:space="0" w:color="auto"/>
              <w:bottom w:val="single" w:sz="4" w:space="0" w:color="auto"/>
              <w:right w:val="single" w:sz="4" w:space="0" w:color="auto"/>
            </w:tcBorders>
            <w:vAlign w:val="center"/>
          </w:tcPr>
          <w:p w14:paraId="13EC4129" w14:textId="3BD4B24A" w:rsidR="00583AF6" w:rsidRPr="00E04F12" w:rsidRDefault="00583AF6" w:rsidP="00583AF6">
            <w:pPr>
              <w:rPr>
                <w:rFonts w:ascii="Arial Narrow" w:eastAsia="Calibri" w:hAnsi="Arial Narrow"/>
                <w:b/>
                <w:bCs/>
                <w:sz w:val="20"/>
                <w:szCs w:val="20"/>
              </w:rPr>
            </w:pPr>
            <w:r w:rsidRPr="00E04F12">
              <w:rPr>
                <w:rFonts w:ascii="Arial Narrow" w:hAnsi="Arial Narrow"/>
                <w:b/>
                <w:bCs/>
                <w:sz w:val="20"/>
                <w:szCs w:val="20"/>
              </w:rPr>
              <w:t>Administrative Advice:</w:t>
            </w:r>
            <w:r w:rsidRPr="008E718A">
              <w:rPr>
                <w:rFonts w:ascii="Arial Narrow" w:hAnsi="Arial Narrow"/>
                <w:b/>
                <w:bCs/>
                <w:sz w:val="20"/>
                <w:szCs w:val="20"/>
              </w:rPr>
              <w:t xml:space="preserve"> </w:t>
            </w:r>
            <w:r w:rsidRPr="00E04F12">
              <w:rPr>
                <w:rFonts w:ascii="Arial Narrow" w:hAnsi="Arial Narrow"/>
                <w:sz w:val="20"/>
                <w:szCs w:val="20"/>
              </w:rPr>
              <w:t>No increase in the maximum amount or number of units may be authorised.</w:t>
            </w:r>
          </w:p>
        </w:tc>
      </w:tr>
      <w:tr w:rsidR="00583AF6" w:rsidRPr="00E04F12" w14:paraId="70EAC62D" w14:textId="77777777" w:rsidTr="00583A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12" w:type="pct"/>
            <w:gridSpan w:val="2"/>
            <w:tcBorders>
              <w:top w:val="single" w:sz="4" w:space="0" w:color="auto"/>
              <w:left w:val="single" w:sz="4" w:space="0" w:color="auto"/>
              <w:bottom w:val="single" w:sz="4" w:space="0" w:color="auto"/>
              <w:right w:val="single" w:sz="4" w:space="0" w:color="auto"/>
            </w:tcBorders>
          </w:tcPr>
          <w:p w14:paraId="7D659B15" w14:textId="6AB3F11F" w:rsidR="00583AF6" w:rsidRPr="00E04F12" w:rsidRDefault="00583AF6" w:rsidP="00583AF6">
            <w:pPr>
              <w:jc w:val="center"/>
              <w:rPr>
                <w:rFonts w:ascii="Arial Narrow" w:eastAsia="Calibri" w:hAnsi="Arial Narrow"/>
                <w:bCs/>
                <w:sz w:val="20"/>
                <w:szCs w:val="20"/>
              </w:rPr>
            </w:pPr>
          </w:p>
        </w:tc>
        <w:tc>
          <w:tcPr>
            <w:tcW w:w="4288" w:type="pct"/>
            <w:gridSpan w:val="4"/>
            <w:tcBorders>
              <w:top w:val="single" w:sz="4" w:space="0" w:color="auto"/>
              <w:left w:val="single" w:sz="4" w:space="0" w:color="auto"/>
              <w:bottom w:val="single" w:sz="4" w:space="0" w:color="auto"/>
              <w:right w:val="single" w:sz="4" w:space="0" w:color="auto"/>
            </w:tcBorders>
          </w:tcPr>
          <w:p w14:paraId="3DFB68A8" w14:textId="509F5479" w:rsidR="00583AF6" w:rsidRPr="00E04F12" w:rsidRDefault="00583AF6" w:rsidP="00583AF6">
            <w:pPr>
              <w:rPr>
                <w:rFonts w:ascii="Arial Narrow" w:eastAsia="Calibri" w:hAnsi="Arial Narrow"/>
                <w:b/>
                <w:bCs/>
                <w:sz w:val="20"/>
                <w:szCs w:val="20"/>
              </w:rPr>
            </w:pPr>
            <w:r w:rsidRPr="00E04F12">
              <w:rPr>
                <w:rFonts w:ascii="Arial Narrow" w:hAnsi="Arial Narrow"/>
                <w:b/>
                <w:bCs/>
                <w:sz w:val="20"/>
                <w:szCs w:val="20"/>
              </w:rPr>
              <w:t xml:space="preserve">Administrative Advice: </w:t>
            </w:r>
            <w:r w:rsidRPr="00E04F12">
              <w:rPr>
                <w:rFonts w:ascii="Arial Narrow" w:hAnsi="Arial Narrow"/>
                <w:sz w:val="20"/>
                <w:szCs w:val="20"/>
              </w:rPr>
              <w:t>No increase in the maximum number of repeats may be authorised.</w:t>
            </w:r>
          </w:p>
        </w:tc>
      </w:tr>
      <w:tr w:rsidR="00583AF6" w:rsidRPr="00E04F12" w14:paraId="37895991" w14:textId="77777777" w:rsidTr="00583A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12" w:type="pct"/>
            <w:gridSpan w:val="2"/>
            <w:tcBorders>
              <w:top w:val="single" w:sz="4" w:space="0" w:color="auto"/>
              <w:left w:val="single" w:sz="4" w:space="0" w:color="auto"/>
              <w:bottom w:val="single" w:sz="4" w:space="0" w:color="auto"/>
              <w:right w:val="single" w:sz="4" w:space="0" w:color="auto"/>
            </w:tcBorders>
          </w:tcPr>
          <w:p w14:paraId="1213783A" w14:textId="1436317E" w:rsidR="00583AF6" w:rsidRPr="00E04F12" w:rsidRDefault="00583AF6" w:rsidP="00583AF6">
            <w:pPr>
              <w:jc w:val="center"/>
              <w:rPr>
                <w:rFonts w:ascii="Arial Narrow" w:eastAsia="Calibri" w:hAnsi="Arial Narrow"/>
                <w:bCs/>
                <w:sz w:val="20"/>
                <w:szCs w:val="20"/>
              </w:rPr>
            </w:pPr>
          </w:p>
        </w:tc>
        <w:tc>
          <w:tcPr>
            <w:tcW w:w="4288" w:type="pct"/>
            <w:gridSpan w:val="4"/>
            <w:tcBorders>
              <w:top w:val="single" w:sz="4" w:space="0" w:color="auto"/>
              <w:left w:val="single" w:sz="4" w:space="0" w:color="auto"/>
              <w:bottom w:val="single" w:sz="4" w:space="0" w:color="auto"/>
              <w:right w:val="single" w:sz="4" w:space="0" w:color="auto"/>
            </w:tcBorders>
          </w:tcPr>
          <w:p w14:paraId="0FF7FBF3" w14:textId="28D42665" w:rsidR="00583AF6" w:rsidRPr="00E04F12" w:rsidRDefault="00583AF6" w:rsidP="00583AF6">
            <w:pPr>
              <w:rPr>
                <w:rFonts w:ascii="Arial Narrow" w:eastAsia="Calibri" w:hAnsi="Arial Narrow"/>
                <w:b/>
                <w:bCs/>
                <w:sz w:val="20"/>
                <w:szCs w:val="20"/>
              </w:rPr>
            </w:pPr>
            <w:r w:rsidRPr="00E04F12">
              <w:rPr>
                <w:rFonts w:ascii="Arial Narrow" w:hAnsi="Arial Narrow"/>
                <w:b/>
                <w:bCs/>
                <w:sz w:val="20"/>
                <w:szCs w:val="20"/>
              </w:rPr>
              <w:t xml:space="preserve">Administrative Advice: </w:t>
            </w:r>
            <w:r w:rsidRPr="00E04F12">
              <w:rPr>
                <w:rFonts w:ascii="Arial Narrow" w:hAnsi="Arial Narrow"/>
                <w:sz w:val="20"/>
                <w:szCs w:val="20"/>
              </w:rPr>
              <w:t>Special Pricing Arrangements apply.</w:t>
            </w:r>
          </w:p>
        </w:tc>
      </w:tr>
      <w:tr w:rsidR="00CC6405" w:rsidRPr="00E04F12" w14:paraId="7E790A3A" w14:textId="77777777" w:rsidTr="002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12" w:type="pct"/>
            <w:gridSpan w:val="2"/>
            <w:tcBorders>
              <w:top w:val="single" w:sz="4" w:space="0" w:color="auto"/>
              <w:left w:val="single" w:sz="4" w:space="0" w:color="auto"/>
              <w:bottom w:val="single" w:sz="4" w:space="0" w:color="auto"/>
              <w:right w:val="single" w:sz="4" w:space="0" w:color="auto"/>
            </w:tcBorders>
          </w:tcPr>
          <w:p w14:paraId="4D28F24F" w14:textId="77777777" w:rsidR="00CC6405" w:rsidRPr="00E04F12" w:rsidRDefault="00CC6405" w:rsidP="002178A9">
            <w:pPr>
              <w:jc w:val="center"/>
              <w:rPr>
                <w:rFonts w:ascii="Arial Narrow" w:hAnsi="Arial Narrow"/>
                <w:sz w:val="20"/>
                <w:szCs w:val="20"/>
              </w:rPr>
            </w:pPr>
          </w:p>
        </w:tc>
        <w:tc>
          <w:tcPr>
            <w:tcW w:w="4288" w:type="pct"/>
            <w:gridSpan w:val="4"/>
            <w:tcBorders>
              <w:top w:val="single" w:sz="4" w:space="0" w:color="auto"/>
              <w:left w:val="single" w:sz="4" w:space="0" w:color="auto"/>
              <w:bottom w:val="single" w:sz="4" w:space="0" w:color="auto"/>
              <w:right w:val="single" w:sz="4" w:space="0" w:color="auto"/>
            </w:tcBorders>
          </w:tcPr>
          <w:p w14:paraId="36E4B178" w14:textId="77777777" w:rsidR="00CC6405" w:rsidRPr="00E04F12" w:rsidRDefault="00CC6405" w:rsidP="002178A9">
            <w:pPr>
              <w:rPr>
                <w:rFonts w:ascii="Arial Narrow" w:hAnsi="Arial Narrow"/>
                <w:b/>
                <w:bCs/>
                <w:sz w:val="20"/>
                <w:szCs w:val="20"/>
              </w:rPr>
            </w:pPr>
          </w:p>
        </w:tc>
      </w:tr>
    </w:tbl>
    <w:p w14:paraId="048A57C6" w14:textId="77777777" w:rsidR="00CC6405" w:rsidRPr="00E04F12" w:rsidRDefault="00CC6405" w:rsidP="00CC6405">
      <w:pPr>
        <w:rPr>
          <w:rFonts w:eastAsia="Calibri"/>
        </w:rPr>
      </w:pPr>
    </w:p>
    <w:p w14:paraId="4A55EE6B" w14:textId="77777777" w:rsidR="00CC6405" w:rsidRPr="00E04F12" w:rsidRDefault="00CC6405" w:rsidP="00CC6405">
      <w:pPr>
        <w:keepNext/>
        <w:outlineLvl w:val="1"/>
        <w:rPr>
          <w:rFonts w:ascii="Arial" w:hAnsi="Arial"/>
          <w:b/>
          <w:bCs/>
          <w:szCs w:val="26"/>
        </w:rPr>
      </w:pPr>
      <w:r w:rsidRPr="00E04F12">
        <w:rPr>
          <w:b/>
          <w:bCs/>
          <w:snapToGrid w:val="0"/>
          <w:szCs w:val="26"/>
        </w:rPr>
        <w:t>Grandfather</w:t>
      </w:r>
    </w:p>
    <w:tbl>
      <w:tblPr>
        <w:tblW w:w="5000" w:type="pct"/>
        <w:tblLayout w:type="fixed"/>
        <w:tblCellMar>
          <w:top w:w="15" w:type="dxa"/>
          <w:bottom w:w="15" w:type="dxa"/>
        </w:tblCellMar>
        <w:tblLook w:val="04A0" w:firstRow="1" w:lastRow="0" w:firstColumn="1" w:lastColumn="0" w:noHBand="0" w:noVBand="1"/>
      </w:tblPr>
      <w:tblGrid>
        <w:gridCol w:w="1271"/>
        <w:gridCol w:w="7746"/>
      </w:tblGrid>
      <w:tr w:rsidR="00CC6405" w:rsidRPr="00E04F12" w14:paraId="1CCAC207" w14:textId="77777777" w:rsidTr="002178A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DA84E25" w14:textId="77777777" w:rsidR="00CC6405" w:rsidRPr="00E04F12" w:rsidRDefault="00CC6405" w:rsidP="002178A9">
            <w:pPr>
              <w:rPr>
                <w:rFonts w:ascii="Arial Narrow" w:hAnsi="Arial Narrow"/>
                <w:b/>
                <w:bCs/>
                <w:sz w:val="20"/>
                <w:szCs w:val="20"/>
              </w:rPr>
            </w:pPr>
            <w:r w:rsidRPr="00E04F12">
              <w:rPr>
                <w:rFonts w:ascii="Arial Narrow" w:eastAsia="Calibri" w:hAnsi="Arial Narrow"/>
                <w:b/>
                <w:sz w:val="20"/>
                <w:szCs w:val="20"/>
              </w:rPr>
              <w:t>Restriction Summary [new</w:t>
            </w:r>
            <w:r>
              <w:rPr>
                <w:rFonts w:ascii="Arial Narrow" w:eastAsia="Calibri" w:hAnsi="Arial Narrow"/>
                <w:b/>
                <w:sz w:val="20"/>
                <w:szCs w:val="20"/>
              </w:rPr>
              <w:t>5</w:t>
            </w:r>
            <w:r w:rsidRPr="00E04F12">
              <w:rPr>
                <w:rFonts w:ascii="Arial Narrow" w:eastAsia="Calibri" w:hAnsi="Arial Narrow"/>
                <w:b/>
                <w:sz w:val="20"/>
                <w:szCs w:val="20"/>
              </w:rPr>
              <w:t>] / Treatment of Concept: [new</w:t>
            </w:r>
            <w:r>
              <w:rPr>
                <w:rFonts w:ascii="Arial Narrow" w:eastAsia="Calibri" w:hAnsi="Arial Narrow"/>
                <w:b/>
                <w:sz w:val="20"/>
                <w:szCs w:val="20"/>
              </w:rPr>
              <w:t>5</w:t>
            </w:r>
            <w:r w:rsidRPr="00E04F12">
              <w:rPr>
                <w:rFonts w:ascii="Arial Narrow" w:eastAsia="Calibri" w:hAnsi="Arial Narrow"/>
                <w:b/>
                <w:sz w:val="20"/>
                <w:szCs w:val="20"/>
              </w:rPr>
              <w:t>A]</w:t>
            </w:r>
          </w:p>
        </w:tc>
      </w:tr>
      <w:tr w:rsidR="00CC6405" w:rsidRPr="00E04F12" w14:paraId="2D9F5642"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29823F31" w14:textId="7E157295"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4BEFA92"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Indication:</w:t>
            </w:r>
            <w:r w:rsidRPr="00E04F12">
              <w:rPr>
                <w:rFonts w:ascii="Arial Narrow" w:hAnsi="Arial Narrow"/>
                <w:sz w:val="20"/>
                <w:szCs w:val="20"/>
              </w:rPr>
              <w:t xml:space="preserve"> Relapsed or refractory Diffuse large b-cell lymphoma (DLBCL)</w:t>
            </w:r>
          </w:p>
        </w:tc>
      </w:tr>
      <w:tr w:rsidR="00CC6405" w:rsidRPr="00E04F12" w14:paraId="257D602E"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4BCE3B0"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6D77BC3D"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Treatment Phase:</w:t>
            </w:r>
            <w:r w:rsidRPr="00E04F12">
              <w:rPr>
                <w:rFonts w:ascii="Arial Narrow" w:hAnsi="Arial Narrow"/>
                <w:sz w:val="20"/>
                <w:szCs w:val="20"/>
              </w:rPr>
              <w:t xml:space="preserve"> Grandfathering treatment</w:t>
            </w:r>
          </w:p>
        </w:tc>
      </w:tr>
      <w:tr w:rsidR="00CC6405" w:rsidRPr="00E04F12" w14:paraId="2FF2D383"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5DF8D77"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7C42F661"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Clinical criteria: </w:t>
            </w:r>
          </w:p>
        </w:tc>
      </w:tr>
      <w:tr w:rsidR="00CC6405" w:rsidRPr="00E04F12" w14:paraId="19DA1CC4"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11A90E34" w14:textId="17D9A6BB"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1D928A8E" w14:textId="77777777" w:rsidR="00CC6405" w:rsidRPr="00E04F12" w:rsidRDefault="00CC6405" w:rsidP="002178A9">
            <w:pPr>
              <w:rPr>
                <w:rFonts w:ascii="Arial Narrow" w:hAnsi="Arial Narrow"/>
                <w:b/>
                <w:bCs/>
                <w:sz w:val="20"/>
                <w:szCs w:val="20"/>
              </w:rPr>
            </w:pPr>
            <w:r w:rsidRPr="00E04F12">
              <w:rPr>
                <w:rFonts w:ascii="Arial Narrow" w:hAnsi="Arial Narrow"/>
                <w:sz w:val="20"/>
                <w:szCs w:val="20"/>
              </w:rPr>
              <w:t>Patient must have received non-PBS subsidised treatment with this drug for this PBS condition prior to [PBS listing date].</w:t>
            </w:r>
          </w:p>
        </w:tc>
      </w:tr>
      <w:tr w:rsidR="00CC6405" w:rsidRPr="00E04F12" w14:paraId="65230C1A"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F8E4100"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6F6086DF"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AND</w:t>
            </w:r>
          </w:p>
        </w:tc>
      </w:tr>
      <w:tr w:rsidR="00CC6405" w:rsidRPr="00E04F12" w14:paraId="56B9DE30"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0C941B4A"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28E79131"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Clinical criteria: </w:t>
            </w:r>
          </w:p>
        </w:tc>
      </w:tr>
      <w:tr w:rsidR="00CC6405" w:rsidRPr="00E04F12" w14:paraId="5B20D396"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338DCC07" w14:textId="13DE1D4B" w:rsidR="00CC6405" w:rsidDel="00CC0CD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61D8F44B" w14:textId="77777777" w:rsidR="00CC6405" w:rsidRPr="00E04F12" w:rsidDel="00CC0CD2" w:rsidRDefault="00CC6405" w:rsidP="002178A9">
            <w:pPr>
              <w:rPr>
                <w:rFonts w:ascii="Arial Narrow" w:hAnsi="Arial Narrow"/>
                <w:sz w:val="20"/>
                <w:szCs w:val="20"/>
              </w:rPr>
            </w:pPr>
            <w:r w:rsidRPr="00CB4B02">
              <w:rPr>
                <w:rFonts w:ascii="Arial Narrow" w:hAnsi="Arial Narrow"/>
                <w:sz w:val="20"/>
                <w:szCs w:val="20"/>
              </w:rPr>
              <w:t xml:space="preserve">Patient must </w:t>
            </w:r>
            <w:r>
              <w:rPr>
                <w:rFonts w:ascii="Arial Narrow" w:hAnsi="Arial Narrow"/>
                <w:sz w:val="20"/>
                <w:szCs w:val="20"/>
              </w:rPr>
              <w:t>have been</w:t>
            </w:r>
            <w:r w:rsidRPr="00CB4B02">
              <w:rPr>
                <w:rFonts w:ascii="Arial Narrow" w:hAnsi="Arial Narrow"/>
                <w:sz w:val="20"/>
                <w:szCs w:val="20"/>
              </w:rPr>
              <w:t xml:space="preserve"> unable to receive treatment with CAR-T cell therapy </w:t>
            </w:r>
            <w:r>
              <w:rPr>
                <w:rFonts w:ascii="Arial Narrow" w:hAnsi="Arial Narrow"/>
                <w:sz w:val="20"/>
                <w:szCs w:val="20"/>
              </w:rPr>
              <w:t xml:space="preserve">prior to commencing treatment with this drug </w:t>
            </w:r>
            <w:r w:rsidRPr="00CB4B02">
              <w:rPr>
                <w:rFonts w:ascii="Arial Narrow" w:hAnsi="Arial Narrow"/>
                <w:sz w:val="20"/>
                <w:szCs w:val="20"/>
              </w:rPr>
              <w:t>for this condition</w:t>
            </w:r>
            <w:r w:rsidRPr="00E04F12">
              <w:rPr>
                <w:rFonts w:ascii="Arial Narrow" w:hAnsi="Arial Narrow"/>
                <w:sz w:val="20"/>
                <w:szCs w:val="20"/>
              </w:rPr>
              <w:t>.</w:t>
            </w:r>
          </w:p>
        </w:tc>
      </w:tr>
      <w:tr w:rsidR="00CC6405" w:rsidRPr="00E04F12" w14:paraId="21968556"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15620261"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6C01F164"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AND</w:t>
            </w:r>
          </w:p>
        </w:tc>
      </w:tr>
      <w:tr w:rsidR="00CC6405" w:rsidRPr="00E04F12" w14:paraId="0A3D09CC"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2685FF66"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7DA3A6A5"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Clinical criteria: </w:t>
            </w:r>
          </w:p>
        </w:tc>
      </w:tr>
      <w:tr w:rsidR="00CC6405" w:rsidRPr="00E04F12" w14:paraId="610F9AAC"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62AD8257" w14:textId="3748AB64"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356E3C64" w14:textId="23062C4A" w:rsidR="00CC6405" w:rsidRPr="00E04F12" w:rsidRDefault="00CC6405" w:rsidP="002178A9">
            <w:pPr>
              <w:rPr>
                <w:rFonts w:ascii="Arial Narrow" w:hAnsi="Arial Narrow"/>
                <w:sz w:val="20"/>
                <w:szCs w:val="20"/>
              </w:rPr>
            </w:pPr>
            <w:r w:rsidRPr="00E04F12">
              <w:rPr>
                <w:rFonts w:ascii="Arial Narrow" w:hAnsi="Arial Narrow"/>
                <w:sz w:val="20"/>
                <w:szCs w:val="20"/>
              </w:rPr>
              <w:t xml:space="preserve">Patient must </w:t>
            </w:r>
            <w:r w:rsidR="001D2C75">
              <w:rPr>
                <w:rFonts w:ascii="Arial Narrow" w:hAnsi="Arial Narrow"/>
                <w:sz w:val="20"/>
                <w:szCs w:val="20"/>
              </w:rPr>
              <w:t xml:space="preserve">have </w:t>
            </w:r>
            <w:r w:rsidRPr="00E04F12">
              <w:rPr>
                <w:rFonts w:ascii="Arial Narrow" w:hAnsi="Arial Narrow"/>
                <w:sz w:val="20"/>
                <w:szCs w:val="20"/>
              </w:rPr>
              <w:t>be</w:t>
            </w:r>
            <w:r w:rsidR="001D2C75">
              <w:rPr>
                <w:rFonts w:ascii="Arial Narrow" w:hAnsi="Arial Narrow"/>
                <w:sz w:val="20"/>
                <w:szCs w:val="20"/>
              </w:rPr>
              <w:t>en</w:t>
            </w:r>
            <w:r w:rsidRPr="00E04F12">
              <w:rPr>
                <w:rFonts w:ascii="Arial Narrow" w:hAnsi="Arial Narrow"/>
                <w:sz w:val="20"/>
                <w:szCs w:val="20"/>
              </w:rPr>
              <w:t xml:space="preserve"> unsuitable for stem cell transplant prior to commencing treatment with this drug for this condition.</w:t>
            </w:r>
          </w:p>
        </w:tc>
      </w:tr>
      <w:tr w:rsidR="00CC6405" w:rsidRPr="00E04F12" w14:paraId="55CEAA2A"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2EADAA3A"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57684291"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AND</w:t>
            </w:r>
          </w:p>
        </w:tc>
      </w:tr>
      <w:tr w:rsidR="00CC6405" w:rsidRPr="00E04F12" w14:paraId="4A58BF26"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7462DFE7"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1034882C"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Clinical criteria: </w:t>
            </w:r>
          </w:p>
        </w:tc>
      </w:tr>
      <w:tr w:rsidR="00CC6405" w:rsidRPr="00E04F12" w14:paraId="0ADFCC8A"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49A9F35D" w14:textId="36A9422B"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17EA1978" w14:textId="006F1975" w:rsidR="00CC6405" w:rsidRPr="00E04F12" w:rsidRDefault="00CC6405" w:rsidP="002178A9">
            <w:pPr>
              <w:rPr>
                <w:rFonts w:ascii="Arial Narrow" w:hAnsi="Arial Narrow"/>
                <w:sz w:val="20"/>
                <w:szCs w:val="20"/>
              </w:rPr>
            </w:pPr>
            <w:r w:rsidRPr="00E04F12">
              <w:rPr>
                <w:rFonts w:ascii="Arial Narrow" w:hAnsi="Arial Narrow"/>
                <w:sz w:val="20"/>
                <w:szCs w:val="20"/>
              </w:rPr>
              <w:t xml:space="preserve">Patient must have </w:t>
            </w:r>
            <w:r w:rsidR="001D2C75">
              <w:rPr>
                <w:rFonts w:ascii="Arial Narrow" w:hAnsi="Arial Narrow"/>
                <w:sz w:val="20"/>
                <w:szCs w:val="20"/>
              </w:rPr>
              <w:t xml:space="preserve">had </w:t>
            </w:r>
            <w:r w:rsidRPr="00E04F12">
              <w:rPr>
                <w:rFonts w:ascii="Arial Narrow" w:hAnsi="Arial Narrow"/>
                <w:sz w:val="20"/>
                <w:szCs w:val="20"/>
              </w:rPr>
              <w:t>a WHO performance status of 2 or less prior to commencing treatment with this drug for this condition.</w:t>
            </w:r>
          </w:p>
        </w:tc>
      </w:tr>
      <w:tr w:rsidR="00CC6405" w:rsidRPr="00E04F12" w14:paraId="453F86DD"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tcPr>
          <w:p w14:paraId="46B68999"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tcPr>
          <w:p w14:paraId="63C986A6" w14:textId="77777777" w:rsidR="00CC6405" w:rsidRPr="00E04F12" w:rsidRDefault="00CC6405" w:rsidP="002178A9">
            <w:pPr>
              <w:rPr>
                <w:rFonts w:ascii="Arial Narrow" w:hAnsi="Arial Narrow"/>
                <w:sz w:val="20"/>
                <w:szCs w:val="20"/>
              </w:rPr>
            </w:pPr>
            <w:r w:rsidRPr="00E04F12">
              <w:rPr>
                <w:rFonts w:ascii="Arial Narrow" w:eastAsia="Calibri" w:hAnsi="Arial Narrow"/>
                <w:b/>
                <w:bCs/>
                <w:spacing w:val="-2"/>
                <w:sz w:val="20"/>
                <w:szCs w:val="20"/>
              </w:rPr>
              <w:t>AND</w:t>
            </w:r>
          </w:p>
        </w:tc>
      </w:tr>
      <w:tr w:rsidR="00CC6405" w:rsidRPr="00E04F12" w14:paraId="147E9F76"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tcPr>
          <w:p w14:paraId="3125B017"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tcPr>
          <w:p w14:paraId="0DE13A1A" w14:textId="77777777" w:rsidR="00CC6405" w:rsidRPr="00E04F12" w:rsidRDefault="00CC6405" w:rsidP="002178A9">
            <w:pPr>
              <w:rPr>
                <w:rFonts w:ascii="Arial Narrow" w:hAnsi="Arial Narrow"/>
                <w:sz w:val="20"/>
                <w:szCs w:val="20"/>
              </w:rPr>
            </w:pPr>
            <w:r w:rsidRPr="00E04F12">
              <w:rPr>
                <w:rFonts w:ascii="Arial Narrow" w:eastAsia="Calibri" w:hAnsi="Arial Narrow"/>
                <w:b/>
                <w:bCs/>
                <w:sz w:val="20"/>
                <w:szCs w:val="20"/>
              </w:rPr>
              <w:t>Clinical</w:t>
            </w:r>
            <w:r w:rsidRPr="00E04F12">
              <w:rPr>
                <w:rFonts w:ascii="Arial Narrow" w:eastAsia="Calibri" w:hAnsi="Arial Narrow"/>
                <w:b/>
                <w:bCs/>
                <w:spacing w:val="-4"/>
                <w:sz w:val="20"/>
                <w:szCs w:val="20"/>
              </w:rPr>
              <w:t xml:space="preserve"> </w:t>
            </w:r>
            <w:r w:rsidRPr="00E04F12">
              <w:rPr>
                <w:rFonts w:ascii="Arial Narrow" w:eastAsia="Calibri" w:hAnsi="Arial Narrow"/>
                <w:b/>
                <w:bCs/>
                <w:spacing w:val="-2"/>
                <w:sz w:val="20"/>
                <w:szCs w:val="20"/>
              </w:rPr>
              <w:t>criteria:</w:t>
            </w:r>
          </w:p>
        </w:tc>
      </w:tr>
      <w:tr w:rsidR="00CC6405" w:rsidRPr="00E04F12" w14:paraId="2A170330"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8B82531" w14:textId="165C3DF8"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2B77B2E7" w14:textId="77777777" w:rsidR="00CC6405" w:rsidRPr="00E04F12" w:rsidRDefault="00CC6405" w:rsidP="002178A9">
            <w:pPr>
              <w:rPr>
                <w:rFonts w:ascii="Arial Narrow" w:hAnsi="Arial Narrow"/>
                <w:sz w:val="20"/>
                <w:szCs w:val="20"/>
              </w:rPr>
            </w:pPr>
            <w:r w:rsidRPr="00E04F12">
              <w:rPr>
                <w:rFonts w:ascii="Arial Narrow" w:hAnsi="Arial Narrow"/>
                <w:sz w:val="20"/>
                <w:szCs w:val="20"/>
              </w:rPr>
              <w:t>Patient must not have developed disease progression while being treated with this drug for this condition.</w:t>
            </w:r>
          </w:p>
        </w:tc>
      </w:tr>
      <w:tr w:rsidR="00CC6405" w:rsidRPr="00E04F12" w14:paraId="6446A1A9"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4FE215EA"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2F6F84CE"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AND</w:t>
            </w:r>
          </w:p>
        </w:tc>
      </w:tr>
      <w:tr w:rsidR="00CC6405" w:rsidRPr="00E04F12" w14:paraId="0C3AB52D"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04B4AD89"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22720BC8"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Clinical criteria:</w:t>
            </w:r>
          </w:p>
        </w:tc>
      </w:tr>
      <w:tr w:rsidR="00CC6405" w:rsidRPr="00E04F12" w14:paraId="47FD1E6F"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434537B2" w14:textId="6BC21E78"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517671EB" w14:textId="77777777" w:rsidR="00CC6405" w:rsidRPr="00E04F12" w:rsidRDefault="00CC6405" w:rsidP="002178A9">
            <w:pPr>
              <w:rPr>
                <w:rFonts w:ascii="Arial Narrow" w:hAnsi="Arial Narrow"/>
                <w:b/>
                <w:bCs/>
                <w:sz w:val="20"/>
                <w:szCs w:val="20"/>
              </w:rPr>
            </w:pPr>
            <w:r w:rsidRPr="00E04F12">
              <w:rPr>
                <w:rFonts w:ascii="Arial Narrow" w:hAnsi="Arial Narrow"/>
                <w:sz w:val="20"/>
                <w:szCs w:val="20"/>
              </w:rPr>
              <w:t xml:space="preserve">The treatment must be given in combination with gemcitabine and </w:t>
            </w:r>
            <w:proofErr w:type="spellStart"/>
            <w:r w:rsidRPr="00E04F12">
              <w:rPr>
                <w:rFonts w:ascii="Arial Narrow" w:hAnsi="Arial Narrow"/>
                <w:sz w:val="20"/>
                <w:szCs w:val="20"/>
              </w:rPr>
              <w:t>oxaliplatin</w:t>
            </w:r>
            <w:r>
              <w:rPr>
                <w:rFonts w:ascii="Arial Narrow" w:hAnsi="Arial Narrow"/>
                <w:sz w:val="20"/>
                <w:szCs w:val="20"/>
              </w:rPr>
              <w:t>in</w:t>
            </w:r>
            <w:proofErr w:type="spellEnd"/>
            <w:r>
              <w:rPr>
                <w:rFonts w:ascii="Arial Narrow" w:hAnsi="Arial Narrow"/>
                <w:sz w:val="20"/>
                <w:szCs w:val="20"/>
              </w:rPr>
              <w:t xml:space="preserve"> for </w:t>
            </w:r>
            <w:r w:rsidRPr="00E04F12">
              <w:rPr>
                <w:rFonts w:ascii="Arial Narrow" w:hAnsi="Arial Narrow"/>
                <w:sz w:val="20"/>
                <w:szCs w:val="20"/>
              </w:rPr>
              <w:t>the first 8 cycles</w:t>
            </w:r>
            <w:r>
              <w:rPr>
                <w:rFonts w:ascii="Arial Narrow" w:hAnsi="Arial Narrow"/>
                <w:sz w:val="20"/>
                <w:szCs w:val="20"/>
              </w:rPr>
              <w:t xml:space="preserve"> unless the patient develops a toxicity necessitating treatment discontinuation</w:t>
            </w:r>
          </w:p>
        </w:tc>
      </w:tr>
      <w:tr w:rsidR="00CC6405" w:rsidRPr="00E04F12" w14:paraId="761FF343"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4856EE6"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1DFC60F2"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AND</w:t>
            </w:r>
          </w:p>
        </w:tc>
      </w:tr>
      <w:tr w:rsidR="00CC6405" w:rsidRPr="00E04F12" w14:paraId="0768DBBA"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42C438E4" w14:textId="77777777"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7CC75DDD"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Clinical criteria:</w:t>
            </w:r>
          </w:p>
        </w:tc>
      </w:tr>
      <w:tr w:rsidR="00CC6405" w:rsidRPr="00E04F12" w14:paraId="6EDA0CFC"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CC22C89" w14:textId="1117D776"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203365EE" w14:textId="77777777" w:rsidR="00CC6405" w:rsidRPr="00E04F12" w:rsidRDefault="00CC6405" w:rsidP="002178A9">
            <w:pPr>
              <w:rPr>
                <w:rFonts w:ascii="Arial Narrow" w:hAnsi="Arial Narrow"/>
                <w:b/>
                <w:bCs/>
                <w:sz w:val="20"/>
                <w:szCs w:val="20"/>
              </w:rPr>
            </w:pPr>
            <w:r w:rsidRPr="00E04F12">
              <w:rPr>
                <w:rFonts w:ascii="Arial Narrow" w:hAnsi="Arial Narrow"/>
                <w:sz w:val="20"/>
                <w:szCs w:val="20"/>
              </w:rPr>
              <w:t>The treatment must not exceed a total of 12 cycles of this drug for this condition, regardless of whether treatment was non-PBS or PBS-subsidised</w:t>
            </w:r>
          </w:p>
        </w:tc>
      </w:tr>
      <w:tr w:rsidR="00CC6405" w:rsidRPr="00E04F12" w14:paraId="162AE105"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3E312239" w14:textId="5AB172B4"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7DFAB627" w14:textId="77777777" w:rsidR="00CC6405" w:rsidRPr="00E04F12" w:rsidRDefault="00CC6405" w:rsidP="002178A9">
            <w:pPr>
              <w:rPr>
                <w:rFonts w:ascii="Arial Narrow" w:hAnsi="Arial Narrow"/>
                <w:b/>
                <w:bCs/>
                <w:sz w:val="20"/>
                <w:szCs w:val="20"/>
              </w:rPr>
            </w:pPr>
            <w:r w:rsidRPr="00E04F12">
              <w:rPr>
                <w:rFonts w:ascii="Arial Narrow" w:eastAsia="Calibri" w:hAnsi="Arial Narrow"/>
                <w:b/>
                <w:bCs/>
                <w:sz w:val="20"/>
                <w:szCs w:val="20"/>
              </w:rPr>
              <w:t xml:space="preserve">Administrative Advice: </w:t>
            </w:r>
            <w:r w:rsidRPr="00E04F12">
              <w:rPr>
                <w:rFonts w:ascii="Arial Narrow" w:eastAsia="Calibri"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CC6405" w:rsidRPr="00E04F12" w14:paraId="0A62CD74"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06073132" w14:textId="648A3D01"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5CF6FD5D" w14:textId="77777777" w:rsidR="00CC6405" w:rsidRPr="00E04F12" w:rsidRDefault="00CC6405" w:rsidP="002178A9">
            <w:pPr>
              <w:rPr>
                <w:rFonts w:ascii="Arial Narrow" w:hAnsi="Arial Narrow"/>
                <w:b/>
                <w:bCs/>
                <w:sz w:val="20"/>
                <w:szCs w:val="20"/>
              </w:rPr>
            </w:pPr>
            <w:r w:rsidRPr="00E04F12">
              <w:rPr>
                <w:rFonts w:ascii="Arial Narrow" w:eastAsia="Calibri" w:hAnsi="Arial Narrow"/>
                <w:b/>
                <w:bCs/>
                <w:sz w:val="20"/>
                <w:szCs w:val="20"/>
              </w:rPr>
              <w:t xml:space="preserve">Administrative Advice: </w:t>
            </w:r>
            <w:r w:rsidRPr="00E04F12">
              <w:rPr>
                <w:rFonts w:ascii="Arial Narrow" w:eastAsia="Calibri" w:hAnsi="Arial Narrow"/>
                <w:bCs/>
                <w:sz w:val="20"/>
                <w:szCs w:val="20"/>
              </w:rPr>
              <w:t>This grandfather restriction will cease to operate from 12 months after the date specified in the clinical criteria.</w:t>
            </w:r>
          </w:p>
        </w:tc>
      </w:tr>
      <w:tr w:rsidR="00CC6405" w:rsidRPr="00E04F12" w14:paraId="7C3FE150"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0B708780" w14:textId="2653327F"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770B015A" w14:textId="77777777" w:rsidR="00CC6405" w:rsidRPr="00E04F12" w:rsidRDefault="00CC6405" w:rsidP="002178A9">
            <w:pPr>
              <w:keepLines/>
              <w:contextualSpacing/>
              <w:rPr>
                <w:rFonts w:ascii="Arial Narrow" w:hAnsi="Arial Narrow"/>
                <w:b/>
                <w:bCs/>
                <w:sz w:val="20"/>
                <w:szCs w:val="20"/>
              </w:rPr>
            </w:pPr>
            <w:r w:rsidRPr="00E04F12">
              <w:rPr>
                <w:rFonts w:ascii="Arial Narrow" w:hAnsi="Arial Narrow"/>
                <w:b/>
                <w:bCs/>
                <w:sz w:val="20"/>
                <w:szCs w:val="20"/>
              </w:rPr>
              <w:t xml:space="preserve">Administrative Advice: </w:t>
            </w:r>
            <w:r w:rsidRPr="00E04F12">
              <w:rPr>
                <w:rFonts w:ascii="Arial Narrow" w:hAnsi="Arial Narrow"/>
                <w:sz w:val="20"/>
                <w:szCs w:val="20"/>
              </w:rPr>
              <w:t>No increase in the maximum amount or number of units may be authorised.</w:t>
            </w:r>
          </w:p>
        </w:tc>
      </w:tr>
      <w:tr w:rsidR="00CC6405" w:rsidRPr="00E04F12" w14:paraId="294CE4D2"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tcPr>
          <w:p w14:paraId="39B3B193" w14:textId="60C4F186"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tcPr>
          <w:p w14:paraId="3DB02374" w14:textId="77777777" w:rsidR="00CC6405" w:rsidRPr="00E04F12" w:rsidRDefault="00CC6405" w:rsidP="002178A9">
            <w:pPr>
              <w:keepLines/>
              <w:contextualSpacing/>
              <w:rPr>
                <w:rFonts w:ascii="Arial Narrow" w:hAnsi="Arial Narrow"/>
                <w:b/>
                <w:bCs/>
                <w:sz w:val="20"/>
                <w:szCs w:val="20"/>
              </w:rPr>
            </w:pPr>
            <w:r w:rsidRPr="00E04F12">
              <w:rPr>
                <w:rFonts w:ascii="Arial Narrow" w:hAnsi="Arial Narrow"/>
                <w:b/>
                <w:bCs/>
                <w:sz w:val="20"/>
                <w:szCs w:val="20"/>
              </w:rPr>
              <w:t xml:space="preserve">Administrative Advice: </w:t>
            </w:r>
            <w:r w:rsidRPr="00E04F12">
              <w:rPr>
                <w:rFonts w:ascii="Arial Narrow" w:hAnsi="Arial Narrow"/>
                <w:sz w:val="20"/>
                <w:szCs w:val="20"/>
              </w:rPr>
              <w:t>No increase in the maximum number of repeats may be authorised.</w:t>
            </w:r>
          </w:p>
        </w:tc>
      </w:tr>
      <w:tr w:rsidR="00CC6405" w:rsidRPr="00E04F12" w14:paraId="5C0BDC2E"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tcPr>
          <w:p w14:paraId="05F3114D" w14:textId="7E729524"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tcPr>
          <w:p w14:paraId="58EB759D" w14:textId="77777777" w:rsidR="00CC6405" w:rsidRPr="00E04F12" w:rsidRDefault="00CC6405" w:rsidP="002178A9">
            <w:pPr>
              <w:rPr>
                <w:rFonts w:ascii="Arial Narrow" w:hAnsi="Arial Narrow"/>
                <w:b/>
                <w:bCs/>
                <w:sz w:val="20"/>
                <w:szCs w:val="20"/>
              </w:rPr>
            </w:pPr>
            <w:r w:rsidRPr="00E04F12">
              <w:rPr>
                <w:rFonts w:ascii="Arial Narrow" w:hAnsi="Arial Narrow"/>
                <w:b/>
                <w:bCs/>
                <w:sz w:val="20"/>
                <w:szCs w:val="20"/>
              </w:rPr>
              <w:t xml:space="preserve">Administrative Advice: </w:t>
            </w:r>
            <w:r w:rsidRPr="00E04F12">
              <w:rPr>
                <w:rFonts w:ascii="Arial Narrow" w:hAnsi="Arial Narrow"/>
                <w:sz w:val="20"/>
                <w:szCs w:val="20"/>
              </w:rPr>
              <w:t>Special Pricing Arrangements apply.</w:t>
            </w:r>
          </w:p>
        </w:tc>
      </w:tr>
      <w:tr w:rsidR="00CC6405" w:rsidRPr="00E04F12" w14:paraId="1BD7D591"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4E0AA9E0" w14:textId="0CD082C3" w:rsidR="00CC6405" w:rsidRPr="00E04F12" w:rsidRDefault="00CC6405" w:rsidP="002178A9">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A23D610" w14:textId="77777777" w:rsidR="00CC6405" w:rsidRPr="00E04F12" w:rsidRDefault="00CC6405" w:rsidP="002178A9">
            <w:pPr>
              <w:rPr>
                <w:rFonts w:ascii="Arial Narrow" w:hAnsi="Arial Narrow"/>
                <w:b/>
                <w:bCs/>
                <w:sz w:val="20"/>
                <w:szCs w:val="20"/>
              </w:rPr>
            </w:pPr>
            <w:r w:rsidRPr="00E04F12">
              <w:rPr>
                <w:rFonts w:ascii="Arial Narrow" w:eastAsia="Calibri" w:hAnsi="Arial Narrow"/>
                <w:b/>
                <w:bCs/>
                <w:sz w:val="20"/>
                <w:szCs w:val="20"/>
              </w:rPr>
              <w:t xml:space="preserve">Administrative Advice: </w:t>
            </w:r>
            <w:r w:rsidRPr="00E04F12">
              <w:rPr>
                <w:rFonts w:ascii="Arial Narrow" w:eastAsia="Calibri"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CC6405" w:rsidRPr="00E04F12" w14:paraId="1FB90B62" w14:textId="77777777" w:rsidTr="002178A9">
        <w:trPr>
          <w:trHeight w:val="20"/>
        </w:trPr>
        <w:tc>
          <w:tcPr>
            <w:tcW w:w="705" w:type="pct"/>
            <w:tcBorders>
              <w:top w:val="single" w:sz="4" w:space="0" w:color="auto"/>
              <w:left w:val="single" w:sz="4" w:space="0" w:color="auto"/>
              <w:bottom w:val="single" w:sz="4" w:space="0" w:color="auto"/>
              <w:right w:val="single" w:sz="4" w:space="0" w:color="auto"/>
            </w:tcBorders>
          </w:tcPr>
          <w:p w14:paraId="4228E688" w14:textId="77777777" w:rsidR="00CC6405" w:rsidRPr="00E04F12" w:rsidRDefault="00CC6405" w:rsidP="002178A9">
            <w:pPr>
              <w:jc w:val="center"/>
              <w:rPr>
                <w:rFonts w:ascii="Arial Narrow" w:hAnsi="Arial Narrow"/>
                <w:color w:val="333333"/>
                <w:sz w:val="20"/>
                <w:szCs w:val="20"/>
              </w:rPr>
            </w:pPr>
          </w:p>
        </w:tc>
        <w:tc>
          <w:tcPr>
            <w:tcW w:w="4295" w:type="pct"/>
            <w:tcBorders>
              <w:top w:val="single" w:sz="4" w:space="0" w:color="auto"/>
              <w:left w:val="single" w:sz="4" w:space="0" w:color="auto"/>
              <w:bottom w:val="single" w:sz="4" w:space="0" w:color="auto"/>
              <w:right w:val="single" w:sz="4" w:space="0" w:color="auto"/>
            </w:tcBorders>
          </w:tcPr>
          <w:p w14:paraId="3620B47E" w14:textId="77777777" w:rsidR="00CC6405" w:rsidRPr="00E04F12" w:rsidRDefault="00CC6405" w:rsidP="002178A9">
            <w:pPr>
              <w:rPr>
                <w:rFonts w:ascii="Arial Narrow" w:hAnsi="Arial Narrow"/>
                <w:b/>
                <w:bCs/>
                <w:color w:val="333333"/>
                <w:sz w:val="20"/>
                <w:szCs w:val="20"/>
              </w:rPr>
            </w:pPr>
          </w:p>
        </w:tc>
      </w:tr>
    </w:tbl>
    <w:p w14:paraId="18F67EA1" w14:textId="77777777" w:rsidR="00CC6405" w:rsidRDefault="00CC6405" w:rsidP="00CC6405">
      <w:pPr>
        <w:rPr>
          <w:rFonts w:eastAsia="Calibri"/>
        </w:rPr>
      </w:pPr>
    </w:p>
    <w:p w14:paraId="436499AA" w14:textId="77777777" w:rsidR="00CC6405" w:rsidRDefault="00CC6405" w:rsidP="00CC6405">
      <w:pPr>
        <w:keepNext/>
        <w:outlineLvl w:val="1"/>
        <w:rPr>
          <w:b/>
          <w:bCs/>
          <w:snapToGrid w:val="0"/>
          <w:szCs w:val="26"/>
        </w:rPr>
      </w:pPr>
      <w:r>
        <w:rPr>
          <w:b/>
          <w:bCs/>
          <w:snapToGrid w:val="0"/>
          <w:szCs w:val="26"/>
        </w:rPr>
        <w:t>Epcoritamab flow-on changes</w:t>
      </w:r>
    </w:p>
    <w:p w14:paraId="0567EAEC" w14:textId="77777777" w:rsidR="00CC6405" w:rsidRDefault="00CC6405" w:rsidP="00CC6405">
      <w:pPr>
        <w:spacing w:after="120"/>
        <w:rPr>
          <w:rFonts w:eastAsia="Calibri" w:cs="Calibri"/>
        </w:rPr>
      </w:pPr>
      <w:r w:rsidRPr="008242F3">
        <w:rPr>
          <w:rFonts w:eastAsia="Calibri" w:cs="Calibri"/>
        </w:rPr>
        <w:t xml:space="preserve">Suggested additions are in </w:t>
      </w:r>
      <w:r w:rsidRPr="00E22C81">
        <w:rPr>
          <w:rFonts w:eastAsia="Calibri" w:cs="Calibri"/>
          <w:iCs/>
        </w:rPr>
        <w:t xml:space="preserve">italics </w:t>
      </w:r>
      <w:r w:rsidRPr="008242F3">
        <w:rPr>
          <w:rFonts w:eastAsia="Calibri" w:cs="Calibri"/>
        </w:rPr>
        <w:t>and deletions are in strikethrough.</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2126"/>
        <w:gridCol w:w="1330"/>
        <w:gridCol w:w="819"/>
        <w:gridCol w:w="817"/>
        <w:gridCol w:w="819"/>
        <w:gridCol w:w="1834"/>
      </w:tblGrid>
      <w:tr w:rsidR="00CC6405" w:rsidRPr="00446E53" w14:paraId="5DE6821E" w14:textId="77777777" w:rsidTr="002178A9">
        <w:trPr>
          <w:cantSplit/>
          <w:trHeight w:val="20"/>
        </w:trPr>
        <w:tc>
          <w:tcPr>
            <w:tcW w:w="3402" w:type="dxa"/>
            <w:gridSpan w:val="2"/>
            <w:vAlign w:val="center"/>
          </w:tcPr>
          <w:p w14:paraId="7EAC233E" w14:textId="77777777" w:rsidR="00CC6405" w:rsidRPr="00446E53" w:rsidRDefault="00CC6405" w:rsidP="002178A9">
            <w:pPr>
              <w:keepLines/>
              <w:rPr>
                <w:rFonts w:ascii="Arial Narrow" w:hAnsi="Arial Narrow"/>
                <w:b/>
                <w:bCs/>
                <w:sz w:val="20"/>
                <w:szCs w:val="20"/>
              </w:rPr>
            </w:pPr>
            <w:r w:rsidRPr="00446E53">
              <w:rPr>
                <w:rFonts w:ascii="Arial Narrow" w:hAnsi="Arial Narrow"/>
                <w:b/>
                <w:bCs/>
                <w:sz w:val="20"/>
                <w:szCs w:val="20"/>
              </w:rPr>
              <w:t>MEDICINAL PRODUCT</w:t>
            </w:r>
          </w:p>
          <w:p w14:paraId="2CD0F49D" w14:textId="77777777" w:rsidR="00CC6405" w:rsidRPr="00446E53" w:rsidRDefault="00CC6405" w:rsidP="002178A9">
            <w:pPr>
              <w:keepLines/>
              <w:rPr>
                <w:rFonts w:ascii="Arial Narrow" w:hAnsi="Arial Narrow"/>
                <w:b/>
                <w:sz w:val="20"/>
                <w:szCs w:val="20"/>
              </w:rPr>
            </w:pPr>
            <w:r w:rsidRPr="00446E53">
              <w:rPr>
                <w:rFonts w:ascii="Arial Narrow" w:hAnsi="Arial Narrow"/>
                <w:b/>
                <w:bCs/>
                <w:sz w:val="20"/>
                <w:szCs w:val="20"/>
              </w:rPr>
              <w:t>medicinal product pack</w:t>
            </w:r>
          </w:p>
        </w:tc>
        <w:tc>
          <w:tcPr>
            <w:tcW w:w="1330" w:type="dxa"/>
            <w:vAlign w:val="center"/>
          </w:tcPr>
          <w:p w14:paraId="674504DF" w14:textId="77777777" w:rsidR="00CC6405" w:rsidRPr="00446E53" w:rsidRDefault="00CC6405" w:rsidP="002178A9">
            <w:pPr>
              <w:keepLines/>
              <w:jc w:val="center"/>
              <w:rPr>
                <w:rFonts w:ascii="Arial Narrow" w:hAnsi="Arial Narrow"/>
                <w:b/>
                <w:sz w:val="20"/>
                <w:szCs w:val="20"/>
              </w:rPr>
            </w:pPr>
            <w:r w:rsidRPr="00446E53">
              <w:rPr>
                <w:rFonts w:ascii="Arial Narrow" w:hAnsi="Arial Narrow"/>
                <w:b/>
                <w:sz w:val="20"/>
                <w:szCs w:val="20"/>
              </w:rPr>
              <w:t>PBS item code</w:t>
            </w:r>
          </w:p>
        </w:tc>
        <w:tc>
          <w:tcPr>
            <w:tcW w:w="819" w:type="dxa"/>
            <w:vAlign w:val="center"/>
          </w:tcPr>
          <w:p w14:paraId="5DD8D70C" w14:textId="77777777" w:rsidR="00CC6405" w:rsidRPr="00446E53" w:rsidRDefault="00CC6405" w:rsidP="002178A9">
            <w:pPr>
              <w:keepLines/>
              <w:jc w:val="center"/>
              <w:rPr>
                <w:rFonts w:ascii="Arial Narrow" w:hAnsi="Arial Narrow"/>
                <w:b/>
                <w:sz w:val="20"/>
                <w:szCs w:val="20"/>
              </w:rPr>
            </w:pPr>
            <w:r w:rsidRPr="00446E53">
              <w:rPr>
                <w:rFonts w:ascii="Arial Narrow" w:hAnsi="Arial Narrow"/>
                <w:b/>
                <w:sz w:val="20"/>
                <w:szCs w:val="20"/>
              </w:rPr>
              <w:t>Max. qty packs</w:t>
            </w:r>
          </w:p>
        </w:tc>
        <w:tc>
          <w:tcPr>
            <w:tcW w:w="817" w:type="dxa"/>
            <w:vAlign w:val="center"/>
          </w:tcPr>
          <w:p w14:paraId="62BEC0BF" w14:textId="77777777" w:rsidR="00CC6405" w:rsidRPr="00446E53" w:rsidRDefault="00CC6405" w:rsidP="002178A9">
            <w:pPr>
              <w:keepLines/>
              <w:jc w:val="center"/>
              <w:rPr>
                <w:rFonts w:ascii="Arial Narrow" w:hAnsi="Arial Narrow"/>
                <w:b/>
                <w:sz w:val="20"/>
                <w:szCs w:val="20"/>
              </w:rPr>
            </w:pPr>
            <w:r w:rsidRPr="00446E53">
              <w:rPr>
                <w:rFonts w:ascii="Arial Narrow" w:hAnsi="Arial Narrow"/>
                <w:b/>
                <w:sz w:val="20"/>
                <w:szCs w:val="20"/>
              </w:rPr>
              <w:t>Max. qty units</w:t>
            </w:r>
          </w:p>
        </w:tc>
        <w:tc>
          <w:tcPr>
            <w:tcW w:w="819" w:type="dxa"/>
            <w:vAlign w:val="center"/>
          </w:tcPr>
          <w:p w14:paraId="4AF553FA" w14:textId="77777777" w:rsidR="00CC6405" w:rsidRPr="00446E53" w:rsidRDefault="00CC6405" w:rsidP="002178A9">
            <w:pPr>
              <w:keepLines/>
              <w:jc w:val="center"/>
              <w:rPr>
                <w:rFonts w:ascii="Arial Narrow" w:hAnsi="Arial Narrow"/>
                <w:b/>
                <w:sz w:val="20"/>
                <w:szCs w:val="20"/>
              </w:rPr>
            </w:pPr>
            <w:r w:rsidRPr="00446E53">
              <w:rPr>
                <w:rFonts w:ascii="Arial Narrow" w:hAnsi="Arial Narrow"/>
                <w:b/>
                <w:sz w:val="20"/>
                <w:szCs w:val="20"/>
              </w:rPr>
              <w:t>№.of</w:t>
            </w:r>
          </w:p>
          <w:p w14:paraId="40A36993" w14:textId="77777777" w:rsidR="00CC6405" w:rsidRPr="00446E53" w:rsidRDefault="00CC6405" w:rsidP="002178A9">
            <w:pPr>
              <w:keepLines/>
              <w:jc w:val="center"/>
              <w:rPr>
                <w:rFonts w:ascii="Arial Narrow" w:hAnsi="Arial Narrow"/>
                <w:b/>
                <w:sz w:val="20"/>
                <w:szCs w:val="20"/>
              </w:rPr>
            </w:pPr>
            <w:r w:rsidRPr="00446E53">
              <w:rPr>
                <w:rFonts w:ascii="Arial Narrow" w:hAnsi="Arial Narrow"/>
                <w:b/>
                <w:sz w:val="20"/>
                <w:szCs w:val="20"/>
              </w:rPr>
              <w:t>Rpts</w:t>
            </w:r>
          </w:p>
        </w:tc>
        <w:tc>
          <w:tcPr>
            <w:tcW w:w="1834" w:type="dxa"/>
            <w:vAlign w:val="center"/>
          </w:tcPr>
          <w:p w14:paraId="5815F861" w14:textId="77777777" w:rsidR="00CC6405" w:rsidRPr="00446E53" w:rsidRDefault="00CC6405" w:rsidP="002178A9">
            <w:pPr>
              <w:keepLines/>
              <w:rPr>
                <w:rFonts w:ascii="Arial Narrow" w:hAnsi="Arial Narrow"/>
                <w:b/>
                <w:sz w:val="20"/>
                <w:szCs w:val="20"/>
                <w:lang w:val="fr-FR"/>
              </w:rPr>
            </w:pPr>
            <w:r w:rsidRPr="00446E53">
              <w:rPr>
                <w:rFonts w:ascii="Arial Narrow" w:hAnsi="Arial Narrow"/>
                <w:b/>
                <w:sz w:val="20"/>
                <w:szCs w:val="20"/>
              </w:rPr>
              <w:t>Available brands</w:t>
            </w:r>
          </w:p>
        </w:tc>
      </w:tr>
      <w:tr w:rsidR="00CC6405" w:rsidRPr="00315D5C" w14:paraId="6E6FD54C" w14:textId="77777777" w:rsidTr="002178A9">
        <w:trPr>
          <w:cantSplit/>
          <w:trHeight w:val="20"/>
        </w:trPr>
        <w:tc>
          <w:tcPr>
            <w:tcW w:w="9021" w:type="dxa"/>
            <w:gridSpan w:val="7"/>
            <w:vAlign w:val="center"/>
          </w:tcPr>
          <w:p w14:paraId="6F1AB3C7" w14:textId="77777777" w:rsidR="00CC6405" w:rsidRPr="00315D5C" w:rsidRDefault="00CC6405" w:rsidP="002178A9">
            <w:pPr>
              <w:keepLines/>
              <w:rPr>
                <w:rFonts w:ascii="Arial Narrow" w:hAnsi="Arial Narrow"/>
                <w:sz w:val="20"/>
                <w:szCs w:val="20"/>
              </w:rPr>
            </w:pPr>
            <w:r w:rsidRPr="0026322F">
              <w:rPr>
                <w:rFonts w:ascii="Arial Narrow" w:hAnsi="Arial Narrow"/>
                <w:sz w:val="20"/>
                <w:szCs w:val="20"/>
              </w:rPr>
              <w:t>EPCORITAMAB</w:t>
            </w:r>
          </w:p>
        </w:tc>
      </w:tr>
      <w:tr w:rsidR="00CC6405" w:rsidRPr="00315D5C" w14:paraId="5BC86531" w14:textId="77777777" w:rsidTr="002178A9">
        <w:trPr>
          <w:cantSplit/>
          <w:trHeight w:val="20"/>
        </w:trPr>
        <w:tc>
          <w:tcPr>
            <w:tcW w:w="3402" w:type="dxa"/>
            <w:gridSpan w:val="2"/>
            <w:vAlign w:val="center"/>
          </w:tcPr>
          <w:p w14:paraId="5356B620" w14:textId="77777777" w:rsidR="00CC6405" w:rsidRPr="00315D5C" w:rsidRDefault="00CC6405" w:rsidP="002178A9">
            <w:pPr>
              <w:keepLines/>
              <w:rPr>
                <w:rFonts w:ascii="Arial Narrow" w:hAnsi="Arial Narrow"/>
                <w:sz w:val="20"/>
                <w:szCs w:val="20"/>
              </w:rPr>
            </w:pPr>
            <w:r w:rsidRPr="0016145E">
              <w:rPr>
                <w:rFonts w:ascii="Arial Narrow" w:hAnsi="Arial Narrow"/>
                <w:sz w:val="20"/>
                <w:szCs w:val="20"/>
              </w:rPr>
              <w:t>epcoritamab 4 mg/0.8 mL injection, 0.8 mL vial</w:t>
            </w:r>
          </w:p>
        </w:tc>
        <w:tc>
          <w:tcPr>
            <w:tcW w:w="1330" w:type="dxa"/>
            <w:vAlign w:val="center"/>
          </w:tcPr>
          <w:p w14:paraId="4095CAA8" w14:textId="77777777" w:rsidR="00CC6405" w:rsidRPr="00315D5C" w:rsidRDefault="00CC6405" w:rsidP="002178A9">
            <w:pPr>
              <w:keepLines/>
              <w:jc w:val="center"/>
              <w:rPr>
                <w:rFonts w:ascii="Arial Narrow" w:hAnsi="Arial Narrow"/>
                <w:sz w:val="20"/>
                <w:szCs w:val="20"/>
              </w:rPr>
            </w:pPr>
            <w:r w:rsidRPr="00CE7A60">
              <w:rPr>
                <w:rFonts w:ascii="Arial Narrow" w:hAnsi="Arial Narrow"/>
                <w:sz w:val="20"/>
                <w:szCs w:val="20"/>
              </w:rPr>
              <w:t xml:space="preserve">14803D </w:t>
            </w:r>
            <w:r>
              <w:rPr>
                <w:rFonts w:ascii="Arial Narrow" w:hAnsi="Arial Narrow"/>
                <w:sz w:val="20"/>
                <w:szCs w:val="20"/>
              </w:rPr>
              <w:t>(CT)</w:t>
            </w:r>
          </w:p>
        </w:tc>
        <w:tc>
          <w:tcPr>
            <w:tcW w:w="819" w:type="dxa"/>
            <w:vAlign w:val="center"/>
          </w:tcPr>
          <w:p w14:paraId="4D8C717D" w14:textId="77777777" w:rsidR="00CC6405" w:rsidRPr="00315D5C" w:rsidRDefault="00CC6405" w:rsidP="002178A9">
            <w:pPr>
              <w:keepLines/>
              <w:jc w:val="center"/>
              <w:rPr>
                <w:rFonts w:ascii="Arial Narrow" w:hAnsi="Arial Narrow"/>
                <w:sz w:val="20"/>
                <w:szCs w:val="20"/>
              </w:rPr>
            </w:pPr>
            <w:r w:rsidRPr="001428E9">
              <w:rPr>
                <w:rFonts w:ascii="Arial Narrow" w:hAnsi="Arial Narrow"/>
                <w:sz w:val="20"/>
                <w:szCs w:val="20"/>
              </w:rPr>
              <w:t>1</w:t>
            </w:r>
          </w:p>
        </w:tc>
        <w:tc>
          <w:tcPr>
            <w:tcW w:w="817" w:type="dxa"/>
            <w:vAlign w:val="center"/>
          </w:tcPr>
          <w:p w14:paraId="1FEA95D0" w14:textId="77777777" w:rsidR="00CC6405" w:rsidRPr="00315D5C" w:rsidRDefault="00CC6405" w:rsidP="002178A9">
            <w:pPr>
              <w:keepLines/>
              <w:jc w:val="center"/>
              <w:rPr>
                <w:rFonts w:ascii="Arial Narrow" w:hAnsi="Arial Narrow"/>
                <w:sz w:val="20"/>
                <w:szCs w:val="20"/>
              </w:rPr>
            </w:pPr>
            <w:r>
              <w:rPr>
                <w:rFonts w:ascii="Arial Narrow" w:hAnsi="Arial Narrow"/>
                <w:sz w:val="20"/>
                <w:szCs w:val="20"/>
              </w:rPr>
              <w:t>1</w:t>
            </w:r>
          </w:p>
        </w:tc>
        <w:tc>
          <w:tcPr>
            <w:tcW w:w="819" w:type="dxa"/>
            <w:vAlign w:val="center"/>
          </w:tcPr>
          <w:p w14:paraId="05821865" w14:textId="77777777" w:rsidR="00CC6405" w:rsidRPr="00315D5C" w:rsidRDefault="00CC6405" w:rsidP="002178A9">
            <w:pPr>
              <w:keepLines/>
              <w:jc w:val="center"/>
              <w:rPr>
                <w:rFonts w:ascii="Arial Narrow" w:hAnsi="Arial Narrow"/>
                <w:sz w:val="20"/>
                <w:szCs w:val="20"/>
              </w:rPr>
            </w:pPr>
            <w:r>
              <w:rPr>
                <w:rFonts w:ascii="Arial Narrow" w:hAnsi="Arial Narrow"/>
                <w:sz w:val="20"/>
                <w:szCs w:val="20"/>
              </w:rPr>
              <w:t>1</w:t>
            </w:r>
          </w:p>
        </w:tc>
        <w:tc>
          <w:tcPr>
            <w:tcW w:w="1834" w:type="dxa"/>
            <w:vAlign w:val="center"/>
          </w:tcPr>
          <w:p w14:paraId="6AEE8745" w14:textId="77777777" w:rsidR="00CC6405" w:rsidRPr="00315D5C" w:rsidRDefault="00CC6405" w:rsidP="002178A9">
            <w:pPr>
              <w:keepLines/>
              <w:rPr>
                <w:rFonts w:ascii="Arial Narrow" w:hAnsi="Arial Narrow"/>
                <w:sz w:val="20"/>
                <w:szCs w:val="20"/>
              </w:rPr>
            </w:pPr>
            <w:proofErr w:type="spellStart"/>
            <w:r>
              <w:rPr>
                <w:rFonts w:ascii="Arial Narrow" w:hAnsi="Arial Narrow"/>
                <w:sz w:val="20"/>
                <w:szCs w:val="20"/>
              </w:rPr>
              <w:t>Epkinly</w:t>
            </w:r>
            <w:proofErr w:type="spellEnd"/>
          </w:p>
        </w:tc>
      </w:tr>
      <w:tr w:rsidR="00CC6405" w:rsidRPr="00AD375D" w14:paraId="4CC06060" w14:textId="77777777" w:rsidTr="002178A9">
        <w:trPr>
          <w:cantSplit/>
          <w:trHeight w:val="20"/>
        </w:trPr>
        <w:tc>
          <w:tcPr>
            <w:tcW w:w="3402" w:type="dxa"/>
            <w:gridSpan w:val="2"/>
            <w:vAlign w:val="center"/>
          </w:tcPr>
          <w:p w14:paraId="31DEDDD8" w14:textId="77777777" w:rsidR="00CC6405" w:rsidRPr="00446E53" w:rsidRDefault="00CC6405" w:rsidP="002178A9">
            <w:pPr>
              <w:keepLines/>
              <w:rPr>
                <w:rFonts w:ascii="Arial Narrow" w:hAnsi="Arial Narrow"/>
                <w:sz w:val="20"/>
                <w:szCs w:val="20"/>
              </w:rPr>
            </w:pPr>
            <w:r w:rsidRPr="0016145E">
              <w:rPr>
                <w:rFonts w:ascii="Arial Narrow" w:hAnsi="Arial Narrow"/>
                <w:sz w:val="20"/>
                <w:szCs w:val="20"/>
              </w:rPr>
              <w:t>epcoritamab 4 mg/0.8 mL injection, 0.8 mL vial</w:t>
            </w:r>
          </w:p>
        </w:tc>
        <w:tc>
          <w:tcPr>
            <w:tcW w:w="1330" w:type="dxa"/>
            <w:vAlign w:val="center"/>
          </w:tcPr>
          <w:p w14:paraId="4DF18787" w14:textId="77777777" w:rsidR="00CC6405" w:rsidRPr="00FD7773" w:rsidRDefault="00CC6405" w:rsidP="002178A9">
            <w:pPr>
              <w:keepLines/>
              <w:jc w:val="center"/>
              <w:rPr>
                <w:rFonts w:ascii="Arial Narrow" w:hAnsi="Arial Narrow"/>
                <w:sz w:val="20"/>
                <w:szCs w:val="20"/>
              </w:rPr>
            </w:pPr>
            <w:r w:rsidRPr="00CE7A60">
              <w:rPr>
                <w:rFonts w:ascii="Arial Narrow" w:hAnsi="Arial Narrow"/>
                <w:sz w:val="20"/>
                <w:szCs w:val="20"/>
              </w:rPr>
              <w:t>14792M </w:t>
            </w:r>
            <w:r>
              <w:rPr>
                <w:rFonts w:ascii="Arial Narrow" w:hAnsi="Arial Narrow"/>
                <w:sz w:val="20"/>
                <w:szCs w:val="20"/>
              </w:rPr>
              <w:t>(GE)</w:t>
            </w:r>
          </w:p>
        </w:tc>
        <w:tc>
          <w:tcPr>
            <w:tcW w:w="819" w:type="dxa"/>
            <w:vAlign w:val="center"/>
          </w:tcPr>
          <w:p w14:paraId="45E91AA3" w14:textId="77777777" w:rsidR="00CC6405" w:rsidRPr="00446E53" w:rsidRDefault="00CC6405" w:rsidP="002178A9">
            <w:pPr>
              <w:keepLines/>
              <w:jc w:val="center"/>
              <w:rPr>
                <w:rFonts w:ascii="Arial Narrow" w:hAnsi="Arial Narrow"/>
                <w:color w:val="FF0000"/>
                <w:sz w:val="20"/>
                <w:szCs w:val="20"/>
              </w:rPr>
            </w:pPr>
            <w:r w:rsidRPr="001428E9">
              <w:rPr>
                <w:rFonts w:ascii="Arial Narrow" w:hAnsi="Arial Narrow"/>
                <w:sz w:val="20"/>
                <w:szCs w:val="20"/>
              </w:rPr>
              <w:t>1</w:t>
            </w:r>
          </w:p>
        </w:tc>
        <w:tc>
          <w:tcPr>
            <w:tcW w:w="817" w:type="dxa"/>
            <w:vAlign w:val="center"/>
          </w:tcPr>
          <w:p w14:paraId="1AAFBBD4" w14:textId="77777777" w:rsidR="00CC6405" w:rsidRPr="00446E53" w:rsidRDefault="00CC6405" w:rsidP="002178A9">
            <w:pPr>
              <w:keepLines/>
              <w:jc w:val="center"/>
              <w:rPr>
                <w:rFonts w:ascii="Arial Narrow" w:hAnsi="Arial Narrow"/>
                <w:color w:val="FF0000"/>
                <w:sz w:val="20"/>
                <w:szCs w:val="20"/>
              </w:rPr>
            </w:pPr>
            <w:r>
              <w:rPr>
                <w:rFonts w:ascii="Arial Narrow" w:hAnsi="Arial Narrow"/>
                <w:sz w:val="20"/>
                <w:szCs w:val="20"/>
              </w:rPr>
              <w:t>1</w:t>
            </w:r>
          </w:p>
        </w:tc>
        <w:tc>
          <w:tcPr>
            <w:tcW w:w="819" w:type="dxa"/>
            <w:vAlign w:val="center"/>
          </w:tcPr>
          <w:p w14:paraId="62C57AF9" w14:textId="77777777" w:rsidR="00CC6405" w:rsidRPr="00446E53" w:rsidRDefault="00CC6405" w:rsidP="002178A9">
            <w:pPr>
              <w:keepLines/>
              <w:jc w:val="center"/>
              <w:rPr>
                <w:rFonts w:ascii="Arial Narrow" w:hAnsi="Arial Narrow"/>
                <w:color w:val="FF0000"/>
                <w:sz w:val="20"/>
                <w:szCs w:val="20"/>
              </w:rPr>
            </w:pPr>
            <w:r>
              <w:rPr>
                <w:rFonts w:ascii="Arial Narrow" w:hAnsi="Arial Narrow"/>
                <w:sz w:val="20"/>
                <w:szCs w:val="20"/>
              </w:rPr>
              <w:t>1</w:t>
            </w:r>
          </w:p>
        </w:tc>
        <w:tc>
          <w:tcPr>
            <w:tcW w:w="1834" w:type="dxa"/>
            <w:vAlign w:val="center"/>
          </w:tcPr>
          <w:p w14:paraId="4D0B7CD2" w14:textId="77777777" w:rsidR="00CC6405" w:rsidRPr="00AD375D" w:rsidRDefault="00CC6405" w:rsidP="002178A9">
            <w:pPr>
              <w:keepLines/>
              <w:rPr>
                <w:rFonts w:ascii="Arial Narrow" w:hAnsi="Arial Narrow"/>
                <w:color w:val="FF0000"/>
                <w:sz w:val="20"/>
                <w:szCs w:val="20"/>
              </w:rPr>
            </w:pPr>
            <w:proofErr w:type="spellStart"/>
            <w:r>
              <w:rPr>
                <w:rFonts w:ascii="Arial Narrow" w:hAnsi="Arial Narrow"/>
                <w:sz w:val="20"/>
                <w:szCs w:val="20"/>
              </w:rPr>
              <w:t>Epkinly</w:t>
            </w:r>
            <w:proofErr w:type="spellEnd"/>
          </w:p>
        </w:tc>
      </w:tr>
      <w:tr w:rsidR="00CC6405" w:rsidRPr="00446E53" w14:paraId="6A3C3A80" w14:textId="77777777" w:rsidTr="002178A9">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0B3E25C9" w14:textId="77777777" w:rsidR="00CC6405" w:rsidRPr="00446E53" w:rsidRDefault="00CC6405" w:rsidP="002178A9">
            <w:pPr>
              <w:rPr>
                <w:rFonts w:ascii="Arial Narrow" w:hAnsi="Arial Narrow"/>
                <w:sz w:val="20"/>
                <w:szCs w:val="20"/>
              </w:rPr>
            </w:pPr>
          </w:p>
        </w:tc>
      </w:tr>
      <w:tr w:rsidR="00CC6405" w:rsidRPr="008242F3" w14:paraId="62B9ABB5" w14:textId="77777777" w:rsidTr="002178A9">
        <w:trPr>
          <w:cantSplit/>
          <w:trHeight w:val="20"/>
        </w:trPr>
        <w:tc>
          <w:tcPr>
            <w:tcW w:w="9021" w:type="dxa"/>
            <w:gridSpan w:val="7"/>
            <w:vAlign w:val="center"/>
          </w:tcPr>
          <w:p w14:paraId="239D4054" w14:textId="77777777" w:rsidR="00CC6405" w:rsidRPr="008242F3" w:rsidRDefault="00CC6405" w:rsidP="002178A9">
            <w:pPr>
              <w:keepNext/>
              <w:rPr>
                <w:rFonts w:ascii="Arial Narrow" w:eastAsia="Calibri" w:hAnsi="Arial Narrow"/>
                <w:color w:val="FF0000"/>
                <w:sz w:val="20"/>
                <w:szCs w:val="20"/>
              </w:rPr>
            </w:pPr>
            <w:r w:rsidRPr="008242F3">
              <w:rPr>
                <w:rFonts w:ascii="Arial Narrow" w:eastAsia="Calibri" w:hAnsi="Arial Narrow"/>
                <w:b/>
                <w:sz w:val="20"/>
                <w:szCs w:val="20"/>
              </w:rPr>
              <w:t xml:space="preserve">Restriction Summary </w:t>
            </w:r>
            <w:r w:rsidRPr="0026322F">
              <w:rPr>
                <w:rFonts w:ascii="Arial Narrow" w:eastAsia="Calibri" w:hAnsi="Arial Narrow"/>
                <w:b/>
                <w:sz w:val="20"/>
                <w:szCs w:val="20"/>
              </w:rPr>
              <w:t>16467</w:t>
            </w:r>
            <w:r w:rsidRPr="008242F3">
              <w:rPr>
                <w:rFonts w:ascii="Arial Narrow" w:eastAsia="Calibri" w:hAnsi="Arial Narrow"/>
                <w:b/>
                <w:sz w:val="20"/>
                <w:szCs w:val="20"/>
              </w:rPr>
              <w:t xml:space="preserve"> / Treatment of Concept: </w:t>
            </w:r>
            <w:r w:rsidRPr="0026322F">
              <w:rPr>
                <w:rFonts w:ascii="Arial Narrow" w:eastAsia="Calibri" w:hAnsi="Arial Narrow"/>
                <w:b/>
                <w:sz w:val="20"/>
                <w:szCs w:val="20"/>
              </w:rPr>
              <w:t>16405</w:t>
            </w:r>
          </w:p>
        </w:tc>
      </w:tr>
      <w:tr w:rsidR="00CC6405" w:rsidRPr="008242F3" w14:paraId="10DCD90E" w14:textId="77777777" w:rsidTr="002178A9">
        <w:tblPrEx>
          <w:tblCellMar>
            <w:top w:w="15" w:type="dxa"/>
            <w:bottom w:w="15" w:type="dxa"/>
          </w:tblCellMar>
          <w:tblLook w:val="04A0" w:firstRow="1" w:lastRow="0" w:firstColumn="1" w:lastColumn="0" w:noHBand="0" w:noVBand="1"/>
        </w:tblPrEx>
        <w:trPr>
          <w:cantSplit/>
          <w:trHeight w:val="20"/>
        </w:trPr>
        <w:tc>
          <w:tcPr>
            <w:tcW w:w="1276" w:type="dxa"/>
            <w:vMerge w:val="restart"/>
          </w:tcPr>
          <w:p w14:paraId="07FD2CC1" w14:textId="77777777" w:rsidR="00CC6405" w:rsidRPr="0026322F" w:rsidRDefault="00CC6405" w:rsidP="002178A9">
            <w:pPr>
              <w:keepNext/>
              <w:jc w:val="center"/>
              <w:rPr>
                <w:rFonts w:ascii="Arial Narrow" w:eastAsia="Calibri" w:hAnsi="Arial Narrow"/>
                <w:b/>
                <w:sz w:val="20"/>
                <w:szCs w:val="20"/>
              </w:rPr>
            </w:pPr>
            <w:r w:rsidRPr="0026322F">
              <w:rPr>
                <w:rFonts w:ascii="Arial Narrow" w:eastAsia="Calibri" w:hAnsi="Arial Narrow"/>
                <w:b/>
                <w:sz w:val="20"/>
                <w:szCs w:val="20"/>
              </w:rPr>
              <w:t xml:space="preserve">Concept ID </w:t>
            </w:r>
            <w:r w:rsidRPr="0026322F">
              <w:rPr>
                <w:rFonts w:ascii="Arial Narrow" w:eastAsia="Calibri" w:hAnsi="Arial Narrow"/>
                <w:sz w:val="20"/>
                <w:szCs w:val="20"/>
              </w:rPr>
              <w:t>(for internal Dept. use)</w:t>
            </w:r>
          </w:p>
        </w:tc>
        <w:tc>
          <w:tcPr>
            <w:tcW w:w="7745" w:type="dxa"/>
            <w:gridSpan w:val="6"/>
          </w:tcPr>
          <w:p w14:paraId="16AA8E1B" w14:textId="77777777" w:rsidR="00CC6405" w:rsidRPr="0026322F" w:rsidRDefault="00CC6405" w:rsidP="002178A9">
            <w:pPr>
              <w:pStyle w:val="COMTabletext"/>
              <w:keepLines/>
              <w:rPr>
                <w:rFonts w:eastAsia="Times New Roman" w:cs="Times New Roman"/>
                <w:b/>
                <w:color w:val="333333"/>
                <w:szCs w:val="20"/>
                <w14:ligatures w14:val="none"/>
              </w:rPr>
            </w:pPr>
            <w:r w:rsidRPr="0026322F">
              <w:rPr>
                <w:rFonts w:eastAsia="Times New Roman" w:cs="Times New Roman"/>
                <w:b/>
                <w:color w:val="333333"/>
                <w:szCs w:val="20"/>
                <w14:ligatures w14:val="none"/>
              </w:rPr>
              <w:t>Category / Program:</w:t>
            </w:r>
          </w:p>
          <w:p w14:paraId="281A58CF" w14:textId="77777777" w:rsidR="00CC6405" w:rsidRPr="0026322F" w:rsidRDefault="00CC6405" w:rsidP="002178A9">
            <w:pPr>
              <w:pStyle w:val="COMTabletext"/>
              <w:keepLines/>
              <w:rPr>
                <w:rFonts w:eastAsia="Times New Roman" w:cs="Times New Roman"/>
                <w:bCs w:val="0"/>
                <w:color w:val="333333"/>
                <w:szCs w:val="20"/>
                <w14:ligatures w14:val="none"/>
              </w:rPr>
            </w:pPr>
            <w:r w:rsidRPr="0026322F">
              <w:rPr>
                <w:rFonts w:eastAsia="Times New Roman" w:cs="Times New Roman"/>
                <w:bCs w:val="0"/>
                <w:color w:val="333333"/>
                <w:szCs w:val="20"/>
                <w14:ligatures w14:val="none"/>
              </w:rPr>
              <w:fldChar w:fldCharType="begin" w:fldLock="1">
                <w:ffData>
                  <w:name w:val=""/>
                  <w:enabled/>
                  <w:calcOnExit w:val="0"/>
                  <w:checkBox>
                    <w:sizeAuto/>
                    <w:default w:val="1"/>
                  </w:checkBox>
                </w:ffData>
              </w:fldChar>
            </w:r>
            <w:r w:rsidRPr="0026322F">
              <w:rPr>
                <w:rFonts w:eastAsia="Times New Roman" w:cs="Times New Roman"/>
                <w:bCs w:val="0"/>
                <w:color w:val="333333"/>
                <w:szCs w:val="20"/>
                <w14:ligatures w14:val="none"/>
              </w:rPr>
              <w:instrText xml:space="preserve"> FORMCHECKBOX </w:instrText>
            </w:r>
            <w:r w:rsidRPr="0026322F">
              <w:rPr>
                <w:rFonts w:eastAsia="Times New Roman" w:cs="Times New Roman"/>
                <w:bCs w:val="0"/>
                <w:color w:val="333333"/>
                <w:szCs w:val="20"/>
                <w14:ligatures w14:val="none"/>
              </w:rPr>
            </w:r>
            <w:r w:rsidRPr="0026322F">
              <w:rPr>
                <w:rFonts w:eastAsia="Times New Roman" w:cs="Times New Roman"/>
                <w:bCs w:val="0"/>
                <w:color w:val="333333"/>
                <w:szCs w:val="20"/>
                <w14:ligatures w14:val="none"/>
              </w:rPr>
              <w:fldChar w:fldCharType="separate"/>
            </w:r>
            <w:r w:rsidRPr="0026322F">
              <w:rPr>
                <w:rFonts w:eastAsia="Times New Roman" w:cs="Times New Roman"/>
                <w:bCs w:val="0"/>
                <w:color w:val="333333"/>
                <w:szCs w:val="20"/>
                <w14:ligatures w14:val="none"/>
              </w:rPr>
              <w:fldChar w:fldCharType="end"/>
            </w:r>
            <w:r w:rsidRPr="0026322F">
              <w:rPr>
                <w:rFonts w:eastAsia="Times New Roman" w:cs="Times New Roman"/>
                <w:bCs w:val="0"/>
                <w:color w:val="333333"/>
                <w:szCs w:val="20"/>
                <w14:ligatures w14:val="none"/>
              </w:rPr>
              <w:t xml:space="preserve">Section 100 – Efficient Funding of Chemotherapy – Related Benefits (Code CT) </w:t>
            </w:r>
          </w:p>
          <w:p w14:paraId="15CDBD1E" w14:textId="77777777" w:rsidR="00CC6405" w:rsidRPr="0026322F" w:rsidRDefault="00CC6405" w:rsidP="002178A9">
            <w:pPr>
              <w:keepNext/>
              <w:rPr>
                <w:rFonts w:ascii="Arial Narrow" w:hAnsi="Arial Narrow"/>
                <w:color w:val="333333"/>
                <w:sz w:val="20"/>
                <w:szCs w:val="20"/>
              </w:rPr>
            </w:pPr>
            <w:r w:rsidRPr="0026322F">
              <w:rPr>
                <w:rFonts w:ascii="Arial Narrow" w:hAnsi="Arial Narrow"/>
                <w:color w:val="333333"/>
                <w:sz w:val="20"/>
                <w:szCs w:val="20"/>
              </w:rPr>
              <w:fldChar w:fldCharType="begin" w:fldLock="1">
                <w:ffData>
                  <w:name w:val=""/>
                  <w:enabled/>
                  <w:calcOnExit w:val="0"/>
                  <w:checkBox>
                    <w:sizeAuto/>
                    <w:default w:val="1"/>
                  </w:checkBox>
                </w:ffData>
              </w:fldChar>
            </w:r>
            <w:r w:rsidRPr="0026322F">
              <w:rPr>
                <w:rFonts w:ascii="Arial Narrow" w:hAnsi="Arial Narrow"/>
                <w:color w:val="333333"/>
                <w:sz w:val="20"/>
                <w:szCs w:val="20"/>
              </w:rPr>
              <w:instrText xml:space="preserve"> FORMCHECKBOX </w:instrText>
            </w:r>
            <w:r w:rsidRPr="0026322F">
              <w:rPr>
                <w:rFonts w:ascii="Arial Narrow" w:hAnsi="Arial Narrow"/>
                <w:color w:val="333333"/>
                <w:sz w:val="20"/>
                <w:szCs w:val="20"/>
              </w:rPr>
            </w:r>
            <w:r w:rsidRPr="0026322F">
              <w:rPr>
                <w:rFonts w:ascii="Arial Narrow" w:hAnsi="Arial Narrow"/>
                <w:color w:val="333333"/>
                <w:sz w:val="20"/>
                <w:szCs w:val="20"/>
              </w:rPr>
              <w:fldChar w:fldCharType="separate"/>
            </w:r>
            <w:r w:rsidRPr="0026322F">
              <w:rPr>
                <w:rFonts w:ascii="Arial Narrow" w:hAnsi="Arial Narrow"/>
                <w:color w:val="333333"/>
                <w:sz w:val="20"/>
                <w:szCs w:val="20"/>
              </w:rPr>
              <w:fldChar w:fldCharType="end"/>
            </w:r>
            <w:r w:rsidRPr="0026322F">
              <w:rPr>
                <w:rFonts w:ascii="Arial Narrow" w:hAnsi="Arial Narrow"/>
                <w:color w:val="333333"/>
                <w:sz w:val="20"/>
                <w:szCs w:val="20"/>
              </w:rPr>
              <w:t>General Schedule (Code GE)</w:t>
            </w:r>
          </w:p>
        </w:tc>
      </w:tr>
      <w:tr w:rsidR="00CC6405" w:rsidRPr="008242F3" w14:paraId="1FC2CE31" w14:textId="77777777" w:rsidTr="002178A9">
        <w:tblPrEx>
          <w:tblCellMar>
            <w:top w:w="15" w:type="dxa"/>
            <w:bottom w:w="15" w:type="dxa"/>
          </w:tblCellMar>
          <w:tblLook w:val="04A0" w:firstRow="1" w:lastRow="0" w:firstColumn="1" w:lastColumn="0" w:noHBand="0" w:noVBand="1"/>
        </w:tblPrEx>
        <w:trPr>
          <w:cantSplit/>
          <w:trHeight w:val="20"/>
        </w:trPr>
        <w:tc>
          <w:tcPr>
            <w:tcW w:w="1276" w:type="dxa"/>
            <w:vMerge/>
          </w:tcPr>
          <w:p w14:paraId="037FA78F" w14:textId="77777777" w:rsidR="00CC6405" w:rsidRPr="0026322F" w:rsidRDefault="00CC6405" w:rsidP="002178A9">
            <w:pPr>
              <w:keepNext/>
              <w:rPr>
                <w:rFonts w:ascii="Arial Narrow" w:eastAsia="Calibri" w:hAnsi="Arial Narrow"/>
                <w:sz w:val="20"/>
                <w:szCs w:val="20"/>
              </w:rPr>
            </w:pPr>
          </w:p>
        </w:tc>
        <w:tc>
          <w:tcPr>
            <w:tcW w:w="7745" w:type="dxa"/>
            <w:gridSpan w:val="6"/>
          </w:tcPr>
          <w:p w14:paraId="534BD8A3" w14:textId="77777777" w:rsidR="00CC6405" w:rsidRPr="0026322F" w:rsidRDefault="00CC6405" w:rsidP="002178A9">
            <w:pPr>
              <w:keepNext/>
              <w:rPr>
                <w:rFonts w:ascii="Arial Narrow" w:hAnsi="Arial Narrow"/>
                <w:color w:val="333333"/>
                <w:sz w:val="20"/>
                <w:szCs w:val="20"/>
              </w:rPr>
            </w:pPr>
            <w:r w:rsidRPr="0026322F">
              <w:rPr>
                <w:rFonts w:ascii="Arial Narrow" w:hAnsi="Arial Narrow"/>
                <w:b/>
                <w:bCs/>
                <w:color w:val="333333"/>
                <w:sz w:val="20"/>
                <w:szCs w:val="20"/>
              </w:rPr>
              <w:t>Prescriber type:</w:t>
            </w:r>
            <w:r w:rsidRPr="0026322F">
              <w:rPr>
                <w:rFonts w:ascii="Arial Narrow" w:hAnsi="Arial Narrow"/>
                <w:color w:val="333333"/>
                <w:sz w:val="20"/>
                <w:szCs w:val="20"/>
              </w:rPr>
              <w:t xml:space="preserve"> </w:t>
            </w:r>
            <w:r w:rsidRPr="0026322F">
              <w:rPr>
                <w:rFonts w:ascii="Arial Narrow" w:hAnsi="Arial Narrow"/>
                <w:color w:val="333333"/>
                <w:sz w:val="20"/>
                <w:szCs w:val="20"/>
              </w:rPr>
              <w:fldChar w:fldCharType="begin" w:fldLock="1">
                <w:ffData>
                  <w:name w:val=""/>
                  <w:enabled/>
                  <w:calcOnExit w:val="0"/>
                  <w:checkBox>
                    <w:sizeAuto/>
                    <w:default w:val="1"/>
                  </w:checkBox>
                </w:ffData>
              </w:fldChar>
            </w:r>
            <w:r w:rsidRPr="0026322F">
              <w:rPr>
                <w:rFonts w:ascii="Arial Narrow" w:hAnsi="Arial Narrow"/>
                <w:color w:val="333333"/>
                <w:sz w:val="20"/>
                <w:szCs w:val="20"/>
              </w:rPr>
              <w:instrText xml:space="preserve"> FORMCHECKBOX </w:instrText>
            </w:r>
            <w:r w:rsidRPr="0026322F">
              <w:rPr>
                <w:rFonts w:ascii="Arial Narrow" w:hAnsi="Arial Narrow"/>
                <w:color w:val="333333"/>
                <w:sz w:val="20"/>
                <w:szCs w:val="20"/>
              </w:rPr>
            </w:r>
            <w:r w:rsidRPr="0026322F">
              <w:rPr>
                <w:rFonts w:ascii="Arial Narrow" w:hAnsi="Arial Narrow"/>
                <w:color w:val="333333"/>
                <w:sz w:val="20"/>
                <w:szCs w:val="20"/>
              </w:rPr>
              <w:fldChar w:fldCharType="separate"/>
            </w:r>
            <w:r w:rsidRPr="0026322F">
              <w:rPr>
                <w:rFonts w:ascii="Arial Narrow" w:hAnsi="Arial Narrow"/>
                <w:color w:val="333333"/>
                <w:sz w:val="20"/>
                <w:szCs w:val="20"/>
              </w:rPr>
              <w:fldChar w:fldCharType="end"/>
            </w:r>
            <w:r w:rsidRPr="0026322F">
              <w:rPr>
                <w:rFonts w:ascii="Arial Narrow" w:hAnsi="Arial Narrow"/>
                <w:color w:val="333333"/>
                <w:sz w:val="20"/>
                <w:szCs w:val="20"/>
              </w:rPr>
              <w:t xml:space="preserve"> Medical Practitioners</w:t>
            </w:r>
          </w:p>
        </w:tc>
      </w:tr>
      <w:tr w:rsidR="00CC6405" w:rsidRPr="008242F3" w14:paraId="54FF2FD5" w14:textId="77777777" w:rsidTr="002178A9">
        <w:tblPrEx>
          <w:tblCellMar>
            <w:top w:w="15" w:type="dxa"/>
            <w:bottom w:w="15" w:type="dxa"/>
          </w:tblCellMar>
          <w:tblLook w:val="04A0" w:firstRow="1" w:lastRow="0" w:firstColumn="1" w:lastColumn="0" w:noHBand="0" w:noVBand="1"/>
        </w:tblPrEx>
        <w:trPr>
          <w:cantSplit/>
          <w:trHeight w:val="20"/>
        </w:trPr>
        <w:tc>
          <w:tcPr>
            <w:tcW w:w="1276" w:type="dxa"/>
            <w:vMerge/>
          </w:tcPr>
          <w:p w14:paraId="0F6CF3A3" w14:textId="77777777" w:rsidR="00CC6405" w:rsidRPr="0026322F" w:rsidRDefault="00CC6405" w:rsidP="002178A9">
            <w:pPr>
              <w:rPr>
                <w:rFonts w:ascii="Arial Narrow" w:eastAsia="Calibri" w:hAnsi="Arial Narrow"/>
                <w:sz w:val="20"/>
                <w:szCs w:val="20"/>
              </w:rPr>
            </w:pPr>
          </w:p>
        </w:tc>
        <w:tc>
          <w:tcPr>
            <w:tcW w:w="7745" w:type="dxa"/>
            <w:gridSpan w:val="6"/>
          </w:tcPr>
          <w:p w14:paraId="61CB72C7" w14:textId="77777777" w:rsidR="00CC6405" w:rsidRPr="0026322F" w:rsidRDefault="00CC6405" w:rsidP="002178A9">
            <w:pPr>
              <w:rPr>
                <w:rFonts w:ascii="Arial Narrow" w:hAnsi="Arial Narrow"/>
                <w:color w:val="333333"/>
                <w:sz w:val="20"/>
                <w:szCs w:val="20"/>
              </w:rPr>
            </w:pPr>
            <w:r w:rsidRPr="0026322F">
              <w:rPr>
                <w:rFonts w:ascii="Arial Narrow" w:hAnsi="Arial Narrow"/>
                <w:b/>
                <w:bCs/>
                <w:color w:val="333333"/>
                <w:sz w:val="20"/>
                <w:szCs w:val="20"/>
              </w:rPr>
              <w:t>Benefit type:</w:t>
            </w:r>
            <w:r w:rsidRPr="0026322F">
              <w:rPr>
                <w:rFonts w:ascii="Arial Narrow" w:hAnsi="Arial Narrow"/>
                <w:color w:val="333333"/>
                <w:sz w:val="20"/>
                <w:szCs w:val="20"/>
              </w:rPr>
              <w:t xml:space="preserve"> </w:t>
            </w:r>
            <w:r w:rsidRPr="0026322F">
              <w:rPr>
                <w:rFonts w:ascii="Arial Narrow" w:hAnsi="Arial Narrow"/>
                <w:color w:val="333333"/>
                <w:sz w:val="20"/>
                <w:szCs w:val="20"/>
              </w:rPr>
              <w:fldChar w:fldCharType="begin" w:fldLock="1">
                <w:ffData>
                  <w:name w:val=""/>
                  <w:enabled/>
                  <w:calcOnExit w:val="0"/>
                  <w:checkBox>
                    <w:sizeAuto/>
                    <w:default w:val="1"/>
                  </w:checkBox>
                </w:ffData>
              </w:fldChar>
            </w:r>
            <w:r w:rsidRPr="0026322F">
              <w:rPr>
                <w:rFonts w:ascii="Arial Narrow" w:hAnsi="Arial Narrow"/>
                <w:color w:val="333333"/>
                <w:sz w:val="20"/>
                <w:szCs w:val="20"/>
              </w:rPr>
              <w:instrText xml:space="preserve"> FORMCHECKBOX </w:instrText>
            </w:r>
            <w:r w:rsidRPr="0026322F">
              <w:rPr>
                <w:rFonts w:ascii="Arial Narrow" w:hAnsi="Arial Narrow"/>
                <w:color w:val="333333"/>
                <w:sz w:val="20"/>
                <w:szCs w:val="20"/>
              </w:rPr>
            </w:r>
            <w:r w:rsidRPr="0026322F">
              <w:rPr>
                <w:rFonts w:ascii="Arial Narrow" w:hAnsi="Arial Narrow"/>
                <w:color w:val="333333"/>
                <w:sz w:val="20"/>
                <w:szCs w:val="20"/>
              </w:rPr>
              <w:fldChar w:fldCharType="separate"/>
            </w:r>
            <w:r w:rsidRPr="0026322F">
              <w:rPr>
                <w:rFonts w:ascii="Arial Narrow" w:hAnsi="Arial Narrow"/>
                <w:color w:val="333333"/>
                <w:sz w:val="20"/>
                <w:szCs w:val="20"/>
              </w:rPr>
              <w:fldChar w:fldCharType="end"/>
            </w:r>
            <w:r w:rsidRPr="0026322F">
              <w:rPr>
                <w:rFonts w:ascii="Arial Narrow" w:hAnsi="Arial Narrow"/>
                <w:color w:val="333333"/>
                <w:sz w:val="20"/>
                <w:szCs w:val="20"/>
              </w:rPr>
              <w:t xml:space="preserve"> Authority Required (immediate assessment): Telephone/Online</w:t>
            </w:r>
          </w:p>
        </w:tc>
      </w:tr>
      <w:tr w:rsidR="00CC6405" w:rsidRPr="008242F3" w14:paraId="09B8AFD1"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5CDADBAA" w14:textId="36352FE8" w:rsidR="00CC6405" w:rsidRPr="0026322F" w:rsidRDefault="00CC6405" w:rsidP="002178A9">
            <w:pPr>
              <w:keepLines/>
              <w:jc w:val="center"/>
              <w:rPr>
                <w:rFonts w:ascii="Arial Narrow" w:hAnsi="Arial Narrow"/>
                <w:color w:val="333333"/>
                <w:sz w:val="20"/>
                <w:szCs w:val="20"/>
              </w:rPr>
            </w:pPr>
          </w:p>
        </w:tc>
        <w:tc>
          <w:tcPr>
            <w:tcW w:w="7745" w:type="dxa"/>
            <w:gridSpan w:val="6"/>
          </w:tcPr>
          <w:p w14:paraId="5329E811" w14:textId="77777777" w:rsidR="00CC6405" w:rsidRPr="0026322F" w:rsidRDefault="00CC6405" w:rsidP="002178A9">
            <w:pPr>
              <w:keepLines/>
              <w:rPr>
                <w:rFonts w:ascii="Arial Narrow" w:hAnsi="Arial Narrow"/>
                <w:color w:val="333333"/>
                <w:sz w:val="20"/>
                <w:szCs w:val="20"/>
              </w:rPr>
            </w:pPr>
            <w:r w:rsidRPr="0026322F">
              <w:rPr>
                <w:rFonts w:ascii="Arial Narrow" w:hAnsi="Arial Narrow"/>
                <w:b/>
                <w:sz w:val="20"/>
                <w:szCs w:val="20"/>
              </w:rPr>
              <w:t>Indication:</w:t>
            </w:r>
            <w:r w:rsidRPr="0026322F">
              <w:rPr>
                <w:rFonts w:ascii="Arial Narrow" w:hAnsi="Arial Narrow"/>
                <w:sz w:val="20"/>
                <w:szCs w:val="20"/>
              </w:rPr>
              <w:t xml:space="preserve"> Relapsed or refractory Diffuse large B-cell lymphoma (DLBCL)</w:t>
            </w:r>
          </w:p>
        </w:tc>
      </w:tr>
      <w:tr w:rsidR="00CC6405" w:rsidRPr="008242F3" w14:paraId="3B2F468C"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0D3D9E06" w14:textId="77777777" w:rsidR="00CC6405" w:rsidRPr="0026322F" w:rsidRDefault="00CC6405" w:rsidP="002178A9">
            <w:pPr>
              <w:jc w:val="center"/>
              <w:rPr>
                <w:rFonts w:ascii="Arial Narrow" w:hAnsi="Arial Narrow"/>
                <w:color w:val="333333"/>
                <w:sz w:val="20"/>
                <w:szCs w:val="20"/>
              </w:rPr>
            </w:pPr>
          </w:p>
        </w:tc>
        <w:tc>
          <w:tcPr>
            <w:tcW w:w="7745" w:type="dxa"/>
            <w:gridSpan w:val="6"/>
          </w:tcPr>
          <w:p w14:paraId="0FE40F65" w14:textId="77777777" w:rsidR="00CC6405" w:rsidRPr="0026322F" w:rsidRDefault="00CC6405" w:rsidP="002178A9">
            <w:pPr>
              <w:rPr>
                <w:rFonts w:ascii="Arial Narrow" w:hAnsi="Arial Narrow"/>
                <w:color w:val="FF0000"/>
                <w:sz w:val="20"/>
                <w:szCs w:val="20"/>
              </w:rPr>
            </w:pPr>
            <w:r w:rsidRPr="0026322F">
              <w:rPr>
                <w:rFonts w:ascii="Arial Narrow" w:hAnsi="Arial Narrow"/>
                <w:b/>
                <w:sz w:val="20"/>
                <w:szCs w:val="20"/>
              </w:rPr>
              <w:t>Treatment Phase:</w:t>
            </w:r>
            <w:r w:rsidRPr="0026322F">
              <w:rPr>
                <w:rFonts w:ascii="Arial Narrow" w:hAnsi="Arial Narrow"/>
                <w:sz w:val="20"/>
                <w:szCs w:val="20"/>
              </w:rPr>
              <w:t xml:space="preserve"> Induction treatment</w:t>
            </w:r>
          </w:p>
        </w:tc>
      </w:tr>
      <w:tr w:rsidR="00CC6405" w:rsidRPr="008242F3" w14:paraId="4E454A58"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1FB22CD2" w14:textId="77777777" w:rsidR="00CC6405" w:rsidRPr="0026322F" w:rsidRDefault="00CC6405" w:rsidP="002178A9">
            <w:pPr>
              <w:jc w:val="center"/>
              <w:rPr>
                <w:rFonts w:ascii="Arial Narrow" w:hAnsi="Arial Narrow"/>
                <w:color w:val="333333"/>
                <w:sz w:val="20"/>
                <w:szCs w:val="20"/>
              </w:rPr>
            </w:pPr>
          </w:p>
        </w:tc>
        <w:tc>
          <w:tcPr>
            <w:tcW w:w="7745" w:type="dxa"/>
            <w:gridSpan w:val="6"/>
          </w:tcPr>
          <w:p w14:paraId="116E4477" w14:textId="77777777" w:rsidR="00CC6405" w:rsidRPr="0026322F" w:rsidRDefault="00CC6405" w:rsidP="002178A9">
            <w:pPr>
              <w:rPr>
                <w:rFonts w:ascii="Arial Narrow" w:hAnsi="Arial Narrow"/>
                <w:color w:val="333333"/>
                <w:sz w:val="20"/>
                <w:szCs w:val="20"/>
              </w:rPr>
            </w:pPr>
            <w:r w:rsidRPr="0026322F">
              <w:rPr>
                <w:rFonts w:ascii="Arial Narrow" w:hAnsi="Arial Narrow"/>
                <w:b/>
                <w:sz w:val="20"/>
                <w:szCs w:val="20"/>
              </w:rPr>
              <w:t>Clinical criteria:</w:t>
            </w:r>
          </w:p>
        </w:tc>
      </w:tr>
      <w:tr w:rsidR="00CC6405" w:rsidRPr="00473B8A" w14:paraId="5264D80A"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5341E5E3" w14:textId="317BB28C" w:rsidR="00CC6405" w:rsidRPr="0026322F" w:rsidRDefault="00CC6405" w:rsidP="002178A9">
            <w:pPr>
              <w:jc w:val="center"/>
              <w:rPr>
                <w:rFonts w:ascii="Arial Narrow" w:hAnsi="Arial Narrow"/>
                <w:strike/>
                <w:color w:val="333333"/>
                <w:sz w:val="20"/>
                <w:szCs w:val="20"/>
              </w:rPr>
            </w:pPr>
          </w:p>
        </w:tc>
        <w:tc>
          <w:tcPr>
            <w:tcW w:w="7745" w:type="dxa"/>
            <w:gridSpan w:val="6"/>
          </w:tcPr>
          <w:p w14:paraId="221D2017" w14:textId="77777777" w:rsidR="00CC6405" w:rsidRPr="0026322F" w:rsidRDefault="00CC6405" w:rsidP="002178A9">
            <w:pPr>
              <w:rPr>
                <w:rFonts w:ascii="Arial Narrow" w:hAnsi="Arial Narrow"/>
                <w:strike/>
                <w:color w:val="333333"/>
                <w:sz w:val="20"/>
                <w:szCs w:val="20"/>
              </w:rPr>
            </w:pPr>
            <w:r w:rsidRPr="0026322F">
              <w:rPr>
                <w:rFonts w:ascii="Arial Narrow" w:hAnsi="Arial Narrow"/>
                <w:sz w:val="20"/>
                <w:szCs w:val="20"/>
              </w:rPr>
              <w:t>The condition must have relapsed, or be refractory to, at least two prior systemic therapies,</w:t>
            </w:r>
          </w:p>
        </w:tc>
      </w:tr>
      <w:tr w:rsidR="00CC6405" w:rsidRPr="00ED1B9A" w14:paraId="58B2A209"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01C0CEA1" w14:textId="77777777" w:rsidR="00CC6405" w:rsidRPr="0026322F" w:rsidRDefault="00CC6405" w:rsidP="002178A9">
            <w:pPr>
              <w:jc w:val="center"/>
              <w:rPr>
                <w:rFonts w:ascii="Arial Narrow" w:hAnsi="Arial Narrow"/>
                <w:color w:val="95B3D7" w:themeColor="accent1" w:themeTint="99"/>
                <w:sz w:val="20"/>
                <w:szCs w:val="20"/>
              </w:rPr>
            </w:pPr>
          </w:p>
        </w:tc>
        <w:tc>
          <w:tcPr>
            <w:tcW w:w="7745" w:type="dxa"/>
            <w:gridSpan w:val="6"/>
          </w:tcPr>
          <w:p w14:paraId="5CC3A58B" w14:textId="77777777" w:rsidR="00CC6405" w:rsidRPr="0026322F" w:rsidRDefault="00CC6405" w:rsidP="002178A9">
            <w:pPr>
              <w:rPr>
                <w:rFonts w:ascii="Arial Narrow" w:hAnsi="Arial Narrow"/>
                <w:color w:val="95B3D7" w:themeColor="accent1" w:themeTint="99"/>
                <w:sz w:val="20"/>
                <w:szCs w:val="20"/>
              </w:rPr>
            </w:pPr>
            <w:r w:rsidRPr="0026322F">
              <w:rPr>
                <w:rFonts w:ascii="Arial Narrow" w:hAnsi="Arial Narrow"/>
                <w:b/>
                <w:sz w:val="20"/>
                <w:szCs w:val="20"/>
              </w:rPr>
              <w:t>AND</w:t>
            </w:r>
          </w:p>
        </w:tc>
      </w:tr>
      <w:tr w:rsidR="00CC6405" w:rsidRPr="00ED1B9A" w14:paraId="2F33CC04"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57FF0A43" w14:textId="77777777" w:rsidR="00CC6405" w:rsidRPr="0026322F" w:rsidRDefault="00CC6405" w:rsidP="002178A9">
            <w:pPr>
              <w:jc w:val="center"/>
              <w:rPr>
                <w:rFonts w:ascii="Arial Narrow" w:hAnsi="Arial Narrow"/>
                <w:i/>
                <w:iCs/>
                <w:color w:val="95B3D7" w:themeColor="accent1" w:themeTint="99"/>
                <w:sz w:val="20"/>
                <w:szCs w:val="20"/>
              </w:rPr>
            </w:pPr>
          </w:p>
        </w:tc>
        <w:tc>
          <w:tcPr>
            <w:tcW w:w="7745" w:type="dxa"/>
            <w:gridSpan w:val="6"/>
          </w:tcPr>
          <w:p w14:paraId="6E3981C1" w14:textId="77777777" w:rsidR="00CC6405" w:rsidRPr="0026322F" w:rsidRDefault="00CC6405" w:rsidP="002178A9">
            <w:pPr>
              <w:rPr>
                <w:rFonts w:ascii="Arial Narrow" w:hAnsi="Arial Narrow"/>
                <w:i/>
                <w:iCs/>
                <w:color w:val="333333"/>
                <w:sz w:val="20"/>
                <w:szCs w:val="20"/>
              </w:rPr>
            </w:pPr>
            <w:r w:rsidRPr="0026322F">
              <w:rPr>
                <w:rFonts w:ascii="Arial Narrow" w:hAnsi="Arial Narrow"/>
                <w:b/>
                <w:sz w:val="20"/>
                <w:szCs w:val="20"/>
              </w:rPr>
              <w:t>Clinical criteria:</w:t>
            </w:r>
          </w:p>
        </w:tc>
      </w:tr>
      <w:tr w:rsidR="00CC6405" w:rsidRPr="008242F3" w14:paraId="563C2385"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71267584" w14:textId="717D6179" w:rsidR="00CC6405" w:rsidRPr="0026322F" w:rsidRDefault="00CC6405" w:rsidP="002178A9">
            <w:pPr>
              <w:jc w:val="center"/>
              <w:rPr>
                <w:rFonts w:ascii="Arial Narrow" w:hAnsi="Arial Narrow"/>
                <w:color w:val="333333"/>
                <w:sz w:val="20"/>
                <w:szCs w:val="20"/>
              </w:rPr>
            </w:pPr>
          </w:p>
        </w:tc>
        <w:tc>
          <w:tcPr>
            <w:tcW w:w="7745" w:type="dxa"/>
            <w:gridSpan w:val="6"/>
          </w:tcPr>
          <w:p w14:paraId="6B772E67" w14:textId="77777777" w:rsidR="00CC6405" w:rsidRPr="0026322F" w:rsidRDefault="00CC6405" w:rsidP="002178A9">
            <w:pPr>
              <w:rPr>
                <w:rFonts w:ascii="Arial Narrow" w:hAnsi="Arial Narrow"/>
                <w:b/>
                <w:bCs/>
                <w:color w:val="333333"/>
                <w:sz w:val="20"/>
                <w:szCs w:val="20"/>
              </w:rPr>
            </w:pPr>
            <w:r w:rsidRPr="0026322F">
              <w:rPr>
                <w:rFonts w:ascii="Arial Narrow" w:hAnsi="Arial Narrow"/>
                <w:sz w:val="20"/>
                <w:szCs w:val="20"/>
              </w:rPr>
              <w:t>Patient must have a WHO performance status no higher than 2</w:t>
            </w:r>
          </w:p>
        </w:tc>
      </w:tr>
      <w:tr w:rsidR="00CC6405" w:rsidRPr="008242F3" w14:paraId="0AB8D3EC"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5C2B9A21" w14:textId="77777777" w:rsidR="00CC6405" w:rsidRPr="0026322F" w:rsidRDefault="00CC6405" w:rsidP="002178A9">
            <w:pPr>
              <w:jc w:val="center"/>
              <w:rPr>
                <w:rFonts w:ascii="Arial Narrow" w:hAnsi="Arial Narrow"/>
                <w:color w:val="333333"/>
                <w:sz w:val="20"/>
                <w:szCs w:val="20"/>
              </w:rPr>
            </w:pPr>
          </w:p>
        </w:tc>
        <w:tc>
          <w:tcPr>
            <w:tcW w:w="7745" w:type="dxa"/>
            <w:gridSpan w:val="6"/>
          </w:tcPr>
          <w:p w14:paraId="0FC4C4A6" w14:textId="77777777" w:rsidR="00CC6405" w:rsidRPr="0026322F" w:rsidRDefault="00CC6405" w:rsidP="002178A9">
            <w:pPr>
              <w:rPr>
                <w:rFonts w:ascii="Arial Narrow" w:hAnsi="Arial Narrow"/>
                <w:color w:val="333333"/>
                <w:sz w:val="20"/>
                <w:szCs w:val="20"/>
              </w:rPr>
            </w:pPr>
            <w:r w:rsidRPr="0026322F">
              <w:rPr>
                <w:rFonts w:ascii="Arial Narrow" w:hAnsi="Arial Narrow"/>
                <w:b/>
                <w:sz w:val="20"/>
                <w:szCs w:val="20"/>
              </w:rPr>
              <w:t>AND</w:t>
            </w:r>
          </w:p>
        </w:tc>
      </w:tr>
      <w:tr w:rsidR="00CC6405" w:rsidRPr="008242F3" w14:paraId="0800236F"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6FA6C060" w14:textId="77777777" w:rsidR="00CC6405" w:rsidRPr="0026322F" w:rsidRDefault="00CC6405" w:rsidP="002178A9">
            <w:pPr>
              <w:jc w:val="center"/>
              <w:rPr>
                <w:rFonts w:ascii="Arial Narrow" w:hAnsi="Arial Narrow"/>
                <w:color w:val="333333"/>
                <w:sz w:val="20"/>
                <w:szCs w:val="20"/>
              </w:rPr>
            </w:pPr>
          </w:p>
        </w:tc>
        <w:tc>
          <w:tcPr>
            <w:tcW w:w="7745" w:type="dxa"/>
            <w:gridSpan w:val="6"/>
          </w:tcPr>
          <w:p w14:paraId="6B2F1331" w14:textId="77777777" w:rsidR="00CC6405" w:rsidRPr="0026322F" w:rsidRDefault="00CC6405" w:rsidP="002178A9">
            <w:pPr>
              <w:rPr>
                <w:rFonts w:ascii="Arial Narrow" w:hAnsi="Arial Narrow"/>
                <w:color w:val="333333"/>
                <w:sz w:val="20"/>
                <w:szCs w:val="20"/>
              </w:rPr>
            </w:pPr>
            <w:r w:rsidRPr="0026322F">
              <w:rPr>
                <w:rFonts w:ascii="Arial Narrow" w:hAnsi="Arial Narrow"/>
                <w:b/>
                <w:sz w:val="20"/>
                <w:szCs w:val="20"/>
              </w:rPr>
              <w:t>Clinical criteria:</w:t>
            </w:r>
          </w:p>
        </w:tc>
      </w:tr>
      <w:tr w:rsidR="00CC6405" w:rsidRPr="008242F3" w14:paraId="59CD5DE4"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085C0AB5" w14:textId="72115D22" w:rsidR="00CC6405" w:rsidRPr="0026322F" w:rsidRDefault="00CC6405" w:rsidP="002178A9">
            <w:pPr>
              <w:jc w:val="center"/>
              <w:rPr>
                <w:rFonts w:ascii="Arial Narrow" w:hAnsi="Arial Narrow"/>
                <w:color w:val="333333"/>
                <w:sz w:val="20"/>
                <w:szCs w:val="20"/>
              </w:rPr>
            </w:pPr>
          </w:p>
        </w:tc>
        <w:tc>
          <w:tcPr>
            <w:tcW w:w="7745" w:type="dxa"/>
            <w:gridSpan w:val="6"/>
            <w:vAlign w:val="center"/>
          </w:tcPr>
          <w:p w14:paraId="4E1369C4" w14:textId="77777777" w:rsidR="00CC6405" w:rsidRPr="0026322F" w:rsidRDefault="00CC6405" w:rsidP="002178A9">
            <w:pPr>
              <w:rPr>
                <w:rFonts w:ascii="Arial Narrow" w:hAnsi="Arial Narrow"/>
                <w:b/>
                <w:bCs/>
                <w:color w:val="333333"/>
                <w:sz w:val="20"/>
                <w:szCs w:val="20"/>
              </w:rPr>
            </w:pPr>
            <w:r w:rsidRPr="0026322F">
              <w:rPr>
                <w:rFonts w:ascii="Arial Narrow" w:hAnsi="Arial Narrow"/>
                <w:sz w:val="20"/>
                <w:szCs w:val="20"/>
              </w:rPr>
              <w:t xml:space="preserve">Patient must have previously received treatment with chimeric antigen </w:t>
            </w:r>
            <w:r w:rsidRPr="0091792E">
              <w:rPr>
                <w:rFonts w:ascii="Arial Narrow" w:hAnsi="Arial Narrow"/>
                <w:sz w:val="20"/>
                <w:szCs w:val="20"/>
              </w:rPr>
              <w:t>receptor-T (CAR-T) cell therapy</w:t>
            </w:r>
            <w:r w:rsidRPr="0026322F">
              <w:rPr>
                <w:rFonts w:ascii="Arial Narrow" w:hAnsi="Arial Narrow"/>
                <w:sz w:val="20"/>
                <w:szCs w:val="20"/>
              </w:rPr>
              <w:t xml:space="preserve"> for this condition; OR</w:t>
            </w:r>
          </w:p>
        </w:tc>
      </w:tr>
      <w:tr w:rsidR="00CC6405" w:rsidRPr="008242F3" w14:paraId="0921096A"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3697DDED" w14:textId="1F2EDD0F" w:rsidR="00CC6405" w:rsidRPr="0026322F" w:rsidRDefault="00CC6405" w:rsidP="002178A9">
            <w:pPr>
              <w:jc w:val="center"/>
              <w:rPr>
                <w:rFonts w:ascii="Arial Narrow" w:hAnsi="Arial Narrow"/>
                <w:color w:val="333333"/>
                <w:sz w:val="20"/>
                <w:szCs w:val="20"/>
              </w:rPr>
            </w:pPr>
          </w:p>
        </w:tc>
        <w:tc>
          <w:tcPr>
            <w:tcW w:w="7745" w:type="dxa"/>
            <w:gridSpan w:val="6"/>
            <w:vAlign w:val="center"/>
          </w:tcPr>
          <w:p w14:paraId="7B29AEBA" w14:textId="77777777" w:rsidR="00CC6405" w:rsidRPr="0026322F" w:rsidRDefault="00CC6405" w:rsidP="002178A9">
            <w:pPr>
              <w:rPr>
                <w:rFonts w:ascii="Arial Narrow" w:hAnsi="Arial Narrow"/>
                <w:color w:val="333333"/>
                <w:sz w:val="20"/>
                <w:szCs w:val="20"/>
              </w:rPr>
            </w:pPr>
            <w:r w:rsidRPr="0026322F">
              <w:rPr>
                <w:rFonts w:ascii="Arial Narrow" w:hAnsi="Arial Narrow"/>
                <w:sz w:val="20"/>
                <w:szCs w:val="20"/>
              </w:rPr>
              <w:t xml:space="preserve">Patient must be currently unable to receive treatment with </w:t>
            </w:r>
            <w:r w:rsidRPr="0026322F">
              <w:rPr>
                <w:rFonts w:ascii="Arial Narrow" w:hAnsi="Arial Narrow"/>
                <w:i/>
                <w:iCs/>
                <w:sz w:val="20"/>
                <w:szCs w:val="20"/>
              </w:rPr>
              <w:t>CAR</w:t>
            </w:r>
            <w:r w:rsidRPr="0026322F">
              <w:rPr>
                <w:rFonts w:ascii="Arial Narrow" w:hAnsi="Arial Narrow"/>
                <w:sz w:val="20"/>
                <w:szCs w:val="20"/>
              </w:rPr>
              <w:t>-T cell therapy for this condition.</w:t>
            </w:r>
          </w:p>
        </w:tc>
      </w:tr>
      <w:tr w:rsidR="00CC6405" w:rsidRPr="008242F3" w14:paraId="53647ACB"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5372D417" w14:textId="77777777" w:rsidR="00CC6405" w:rsidRPr="0026322F" w:rsidRDefault="00CC6405" w:rsidP="002178A9">
            <w:pPr>
              <w:jc w:val="center"/>
              <w:rPr>
                <w:rFonts w:ascii="Arial Narrow" w:hAnsi="Arial Narrow"/>
                <w:color w:val="333333"/>
                <w:sz w:val="20"/>
                <w:szCs w:val="20"/>
              </w:rPr>
            </w:pPr>
          </w:p>
        </w:tc>
        <w:tc>
          <w:tcPr>
            <w:tcW w:w="7745" w:type="dxa"/>
            <w:gridSpan w:val="6"/>
          </w:tcPr>
          <w:p w14:paraId="773F531D" w14:textId="77777777" w:rsidR="00CC6405" w:rsidRPr="0026322F" w:rsidRDefault="00CC6405" w:rsidP="002178A9">
            <w:pPr>
              <w:rPr>
                <w:rFonts w:ascii="Arial Narrow" w:hAnsi="Arial Narrow"/>
                <w:color w:val="333333"/>
                <w:sz w:val="20"/>
                <w:szCs w:val="20"/>
              </w:rPr>
            </w:pPr>
            <w:r w:rsidRPr="0026322F">
              <w:rPr>
                <w:rFonts w:ascii="Arial Narrow" w:hAnsi="Arial Narrow"/>
                <w:b/>
                <w:sz w:val="20"/>
                <w:szCs w:val="20"/>
              </w:rPr>
              <w:t>AND</w:t>
            </w:r>
          </w:p>
        </w:tc>
      </w:tr>
      <w:tr w:rsidR="00CC6405" w:rsidRPr="008242F3" w14:paraId="34501ECD"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50C78FF1" w14:textId="77777777" w:rsidR="00CC6405" w:rsidRPr="00191629" w:rsidRDefault="00CC6405" w:rsidP="002178A9">
            <w:pPr>
              <w:jc w:val="center"/>
              <w:rPr>
                <w:rFonts w:ascii="Arial Narrow" w:hAnsi="Arial Narrow"/>
                <w:sz w:val="20"/>
                <w:szCs w:val="20"/>
              </w:rPr>
            </w:pPr>
          </w:p>
        </w:tc>
        <w:tc>
          <w:tcPr>
            <w:tcW w:w="7745" w:type="dxa"/>
            <w:gridSpan w:val="6"/>
          </w:tcPr>
          <w:p w14:paraId="12E9F45C" w14:textId="77777777" w:rsidR="00CC6405" w:rsidRPr="00191629" w:rsidRDefault="00CC6405" w:rsidP="002178A9">
            <w:pPr>
              <w:rPr>
                <w:rFonts w:ascii="Arial Narrow" w:hAnsi="Arial Narrow"/>
                <w:sz w:val="20"/>
                <w:szCs w:val="20"/>
              </w:rPr>
            </w:pPr>
            <w:r w:rsidRPr="00191629">
              <w:rPr>
                <w:rFonts w:ascii="Arial Narrow" w:hAnsi="Arial Narrow"/>
                <w:b/>
                <w:i/>
                <w:iCs/>
                <w:sz w:val="20"/>
                <w:szCs w:val="20"/>
              </w:rPr>
              <w:t>Clinical criteria:</w:t>
            </w:r>
          </w:p>
        </w:tc>
      </w:tr>
      <w:tr w:rsidR="00CC6405" w:rsidRPr="008242F3" w14:paraId="7EAACA6A"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00BA6CDA" w14:textId="249D89CD" w:rsidR="00CC6405" w:rsidRPr="00191629" w:rsidRDefault="00CC6405" w:rsidP="002178A9">
            <w:pPr>
              <w:jc w:val="center"/>
              <w:rPr>
                <w:rFonts w:ascii="Arial Narrow" w:hAnsi="Arial Narrow"/>
                <w:sz w:val="20"/>
                <w:szCs w:val="20"/>
              </w:rPr>
            </w:pPr>
          </w:p>
        </w:tc>
        <w:tc>
          <w:tcPr>
            <w:tcW w:w="7745" w:type="dxa"/>
            <w:gridSpan w:val="6"/>
          </w:tcPr>
          <w:p w14:paraId="0AEE9A86" w14:textId="77777777" w:rsidR="00CC6405" w:rsidRPr="00191629" w:rsidRDefault="00CC6405" w:rsidP="002178A9">
            <w:pPr>
              <w:rPr>
                <w:rFonts w:ascii="Arial Narrow" w:hAnsi="Arial Narrow"/>
                <w:sz w:val="20"/>
                <w:szCs w:val="20"/>
              </w:rPr>
            </w:pPr>
            <w:r w:rsidRPr="00191629">
              <w:rPr>
                <w:rFonts w:ascii="Arial Narrow" w:hAnsi="Arial Narrow"/>
                <w:i/>
                <w:iCs/>
                <w:sz w:val="20"/>
                <w:szCs w:val="20"/>
              </w:rPr>
              <w:t xml:space="preserve">Patient must not have received prior treatment with a PBS-subsidised bispecific </w:t>
            </w:r>
            <w:r>
              <w:rPr>
                <w:rFonts w:ascii="Arial Narrow" w:hAnsi="Arial Narrow"/>
                <w:i/>
                <w:iCs/>
                <w:sz w:val="20"/>
                <w:szCs w:val="20"/>
              </w:rPr>
              <w:t xml:space="preserve">monoclonal </w:t>
            </w:r>
            <w:r w:rsidRPr="00191629">
              <w:rPr>
                <w:rFonts w:ascii="Arial Narrow" w:hAnsi="Arial Narrow"/>
                <w:i/>
                <w:iCs/>
                <w:sz w:val="20"/>
                <w:szCs w:val="20"/>
              </w:rPr>
              <w:t>antibody</w:t>
            </w:r>
          </w:p>
        </w:tc>
      </w:tr>
      <w:tr w:rsidR="00CC6405" w:rsidRPr="008242F3" w14:paraId="6AD6E87A"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792431A3" w14:textId="77777777" w:rsidR="00CC6405" w:rsidRPr="00191629" w:rsidRDefault="00CC6405" w:rsidP="002178A9">
            <w:pPr>
              <w:jc w:val="center"/>
              <w:rPr>
                <w:rFonts w:ascii="Arial Narrow" w:hAnsi="Arial Narrow"/>
                <w:sz w:val="20"/>
                <w:szCs w:val="20"/>
              </w:rPr>
            </w:pPr>
          </w:p>
        </w:tc>
        <w:tc>
          <w:tcPr>
            <w:tcW w:w="7745" w:type="dxa"/>
            <w:gridSpan w:val="6"/>
          </w:tcPr>
          <w:p w14:paraId="7C913CD0" w14:textId="77777777" w:rsidR="00CC6405" w:rsidRPr="00191629" w:rsidRDefault="00CC6405" w:rsidP="002178A9">
            <w:pPr>
              <w:rPr>
                <w:rFonts w:ascii="Arial Narrow" w:hAnsi="Arial Narrow"/>
                <w:sz w:val="20"/>
                <w:szCs w:val="20"/>
              </w:rPr>
            </w:pPr>
            <w:r w:rsidRPr="00191629">
              <w:rPr>
                <w:rFonts w:ascii="Arial Narrow" w:hAnsi="Arial Narrow"/>
                <w:b/>
                <w:i/>
                <w:iCs/>
                <w:sz w:val="20"/>
                <w:szCs w:val="20"/>
              </w:rPr>
              <w:t>AND</w:t>
            </w:r>
          </w:p>
        </w:tc>
      </w:tr>
      <w:tr w:rsidR="00CC6405" w:rsidRPr="008242F3" w14:paraId="11F692D4"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51A18655" w14:textId="77777777" w:rsidR="00CC6405" w:rsidRPr="0026322F" w:rsidRDefault="00CC6405" w:rsidP="002178A9">
            <w:pPr>
              <w:jc w:val="center"/>
              <w:rPr>
                <w:rFonts w:ascii="Arial Narrow" w:hAnsi="Arial Narrow"/>
                <w:color w:val="333333"/>
                <w:sz w:val="20"/>
                <w:szCs w:val="20"/>
              </w:rPr>
            </w:pPr>
          </w:p>
        </w:tc>
        <w:tc>
          <w:tcPr>
            <w:tcW w:w="7745" w:type="dxa"/>
            <w:gridSpan w:val="6"/>
          </w:tcPr>
          <w:p w14:paraId="3CAB4804" w14:textId="77777777" w:rsidR="00CC6405" w:rsidRPr="0026322F" w:rsidRDefault="00CC6405" w:rsidP="002178A9">
            <w:pPr>
              <w:rPr>
                <w:rFonts w:ascii="Arial Narrow" w:hAnsi="Arial Narrow"/>
                <w:b/>
                <w:bCs/>
                <w:color w:val="333333"/>
                <w:sz w:val="20"/>
                <w:szCs w:val="20"/>
              </w:rPr>
            </w:pPr>
            <w:r w:rsidRPr="0026322F">
              <w:rPr>
                <w:rFonts w:ascii="Arial Narrow" w:hAnsi="Arial Narrow"/>
                <w:b/>
                <w:sz w:val="20"/>
                <w:szCs w:val="20"/>
              </w:rPr>
              <w:t>Clinical criteria:</w:t>
            </w:r>
          </w:p>
        </w:tc>
      </w:tr>
      <w:tr w:rsidR="00CC6405" w:rsidRPr="008242F3" w14:paraId="67727526"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3B6B8C88" w14:textId="4ABC3119" w:rsidR="00CC6405" w:rsidRPr="0026322F" w:rsidRDefault="00CC6405" w:rsidP="002178A9">
            <w:pPr>
              <w:jc w:val="center"/>
              <w:rPr>
                <w:rFonts w:ascii="Arial Narrow" w:hAnsi="Arial Narrow"/>
                <w:color w:val="333333"/>
                <w:sz w:val="20"/>
                <w:szCs w:val="20"/>
              </w:rPr>
            </w:pPr>
          </w:p>
        </w:tc>
        <w:tc>
          <w:tcPr>
            <w:tcW w:w="7745" w:type="dxa"/>
            <w:gridSpan w:val="6"/>
          </w:tcPr>
          <w:p w14:paraId="27FB1C1E" w14:textId="77777777" w:rsidR="00CC6405" w:rsidRPr="0026322F" w:rsidRDefault="00CC6405" w:rsidP="002178A9">
            <w:pPr>
              <w:rPr>
                <w:rFonts w:ascii="Arial Narrow" w:hAnsi="Arial Narrow"/>
                <w:b/>
                <w:bCs/>
                <w:color w:val="333333"/>
                <w:sz w:val="20"/>
                <w:szCs w:val="20"/>
              </w:rPr>
            </w:pPr>
            <w:r w:rsidRPr="0026322F">
              <w:rPr>
                <w:rFonts w:ascii="Arial Narrow" w:hAnsi="Arial Narrow"/>
                <w:sz w:val="20"/>
                <w:szCs w:val="20"/>
              </w:rPr>
              <w:t>Patient must not be eligible for stem cell transplantation</w:t>
            </w:r>
          </w:p>
        </w:tc>
      </w:tr>
      <w:tr w:rsidR="00CC6405" w:rsidRPr="008242F3" w14:paraId="68E3511D"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2D05333C" w14:textId="77777777" w:rsidR="00CC6405" w:rsidRPr="0026322F" w:rsidRDefault="00CC6405" w:rsidP="002178A9">
            <w:pPr>
              <w:jc w:val="center"/>
              <w:rPr>
                <w:rFonts w:ascii="Arial Narrow" w:hAnsi="Arial Narrow"/>
                <w:color w:val="333333"/>
                <w:sz w:val="20"/>
                <w:szCs w:val="20"/>
              </w:rPr>
            </w:pPr>
          </w:p>
        </w:tc>
        <w:tc>
          <w:tcPr>
            <w:tcW w:w="7745" w:type="dxa"/>
            <w:gridSpan w:val="6"/>
          </w:tcPr>
          <w:p w14:paraId="3B8B4503" w14:textId="77777777" w:rsidR="00CC6405" w:rsidRPr="0026322F" w:rsidRDefault="00CC6405" w:rsidP="002178A9">
            <w:pPr>
              <w:rPr>
                <w:rFonts w:ascii="Arial Narrow" w:hAnsi="Arial Narrow"/>
                <w:b/>
                <w:bCs/>
                <w:color w:val="333333"/>
                <w:sz w:val="20"/>
                <w:szCs w:val="20"/>
              </w:rPr>
            </w:pPr>
            <w:r w:rsidRPr="0026322F">
              <w:rPr>
                <w:rFonts w:ascii="Arial Narrow" w:hAnsi="Arial Narrow"/>
                <w:b/>
                <w:sz w:val="20"/>
                <w:szCs w:val="20"/>
              </w:rPr>
              <w:t>AND</w:t>
            </w:r>
          </w:p>
        </w:tc>
      </w:tr>
      <w:tr w:rsidR="00CC6405" w:rsidRPr="008242F3" w14:paraId="63306EB9"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73ABBB3F" w14:textId="77777777" w:rsidR="00CC6405" w:rsidRPr="0026322F" w:rsidRDefault="00CC6405" w:rsidP="002178A9">
            <w:pPr>
              <w:jc w:val="center"/>
              <w:rPr>
                <w:rFonts w:ascii="Arial Narrow" w:hAnsi="Arial Narrow"/>
                <w:color w:val="333333"/>
                <w:sz w:val="20"/>
                <w:szCs w:val="20"/>
              </w:rPr>
            </w:pPr>
          </w:p>
        </w:tc>
        <w:tc>
          <w:tcPr>
            <w:tcW w:w="7745" w:type="dxa"/>
            <w:gridSpan w:val="6"/>
          </w:tcPr>
          <w:p w14:paraId="1E3B4771" w14:textId="77777777" w:rsidR="00CC6405" w:rsidRPr="0026322F" w:rsidRDefault="00CC6405" w:rsidP="002178A9">
            <w:pPr>
              <w:rPr>
                <w:rFonts w:ascii="Arial Narrow" w:hAnsi="Arial Narrow"/>
                <w:b/>
                <w:bCs/>
                <w:color w:val="333333"/>
                <w:sz w:val="20"/>
                <w:szCs w:val="20"/>
              </w:rPr>
            </w:pPr>
            <w:r w:rsidRPr="0026322F">
              <w:rPr>
                <w:rFonts w:ascii="Arial Narrow" w:hAnsi="Arial Narrow"/>
                <w:b/>
                <w:sz w:val="20"/>
                <w:szCs w:val="20"/>
              </w:rPr>
              <w:t>Clinical criteria:</w:t>
            </w:r>
          </w:p>
        </w:tc>
      </w:tr>
      <w:tr w:rsidR="00CC6405" w:rsidRPr="008242F3" w14:paraId="6ABADA7B"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5414A3A5" w14:textId="30B46BB1" w:rsidR="00CC6405" w:rsidRPr="0026322F" w:rsidRDefault="00CC6405" w:rsidP="002178A9">
            <w:pPr>
              <w:jc w:val="center"/>
              <w:rPr>
                <w:rFonts w:ascii="Arial Narrow" w:hAnsi="Arial Narrow"/>
                <w:color w:val="333333"/>
                <w:sz w:val="20"/>
                <w:szCs w:val="20"/>
              </w:rPr>
            </w:pPr>
          </w:p>
        </w:tc>
        <w:tc>
          <w:tcPr>
            <w:tcW w:w="7745" w:type="dxa"/>
            <w:gridSpan w:val="6"/>
          </w:tcPr>
          <w:p w14:paraId="36D6D51F" w14:textId="77777777" w:rsidR="00CC6405" w:rsidRPr="0026322F" w:rsidRDefault="00CC6405" w:rsidP="002178A9">
            <w:pPr>
              <w:rPr>
                <w:rFonts w:ascii="Arial Narrow" w:hAnsi="Arial Narrow"/>
                <w:b/>
                <w:bCs/>
                <w:color w:val="333333"/>
                <w:sz w:val="20"/>
                <w:szCs w:val="20"/>
              </w:rPr>
            </w:pPr>
            <w:r w:rsidRPr="0026322F">
              <w:rPr>
                <w:rFonts w:ascii="Arial Narrow" w:hAnsi="Arial Narrow"/>
                <w:sz w:val="20"/>
                <w:szCs w:val="20"/>
              </w:rPr>
              <w:t>The treatment must be discontinued in patients who experience disease progression whilst on treatment.</w:t>
            </w:r>
          </w:p>
        </w:tc>
      </w:tr>
      <w:tr w:rsidR="00CC6405" w:rsidRPr="008242F3" w14:paraId="0230A141"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1D5C80D2" w14:textId="14943673" w:rsidR="00CC6405" w:rsidRPr="0026322F" w:rsidRDefault="00CC6405" w:rsidP="002178A9">
            <w:pPr>
              <w:jc w:val="center"/>
              <w:rPr>
                <w:rFonts w:ascii="Arial Narrow" w:hAnsi="Arial Narrow"/>
                <w:color w:val="333333"/>
                <w:sz w:val="20"/>
                <w:szCs w:val="20"/>
              </w:rPr>
            </w:pPr>
          </w:p>
        </w:tc>
        <w:tc>
          <w:tcPr>
            <w:tcW w:w="7745" w:type="dxa"/>
            <w:gridSpan w:val="6"/>
          </w:tcPr>
          <w:p w14:paraId="00C6AD7E" w14:textId="77777777" w:rsidR="00CC6405" w:rsidRPr="0026322F" w:rsidRDefault="00CC6405" w:rsidP="002178A9">
            <w:pPr>
              <w:pStyle w:val="COMTabletext"/>
              <w:rPr>
                <w:b/>
                <w:bCs w:val="0"/>
                <w:szCs w:val="20"/>
              </w:rPr>
            </w:pPr>
            <w:r w:rsidRPr="0026322F">
              <w:rPr>
                <w:b/>
                <w:bCs w:val="0"/>
                <w:szCs w:val="20"/>
              </w:rPr>
              <w:t>Prescribing Instructions:</w:t>
            </w:r>
          </w:p>
          <w:p w14:paraId="60FA6CE6" w14:textId="77777777" w:rsidR="00CC6405" w:rsidRPr="0026322F" w:rsidRDefault="00CC6405" w:rsidP="002178A9">
            <w:pPr>
              <w:rPr>
                <w:rFonts w:ascii="Arial Narrow" w:hAnsi="Arial Narrow"/>
                <w:b/>
                <w:bCs/>
                <w:color w:val="333333"/>
                <w:sz w:val="20"/>
                <w:szCs w:val="20"/>
              </w:rPr>
            </w:pPr>
            <w:r w:rsidRPr="0026322F">
              <w:rPr>
                <w:rFonts w:ascii="Arial Narrow" w:hAnsi="Arial Narrow"/>
                <w:sz w:val="20"/>
                <w:szCs w:val="20"/>
              </w:rPr>
              <w:t>Prior systemic therapy may include autologous stem cell transplant.</w:t>
            </w:r>
          </w:p>
        </w:tc>
      </w:tr>
      <w:tr w:rsidR="00CC6405" w:rsidRPr="008242F3" w14:paraId="2288B943"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1EA6F68F" w14:textId="14F9A8C1" w:rsidR="00CC6405" w:rsidRPr="0026322F" w:rsidRDefault="00CC6405" w:rsidP="002178A9">
            <w:pPr>
              <w:jc w:val="center"/>
              <w:rPr>
                <w:rFonts w:ascii="Arial Narrow" w:hAnsi="Arial Narrow"/>
                <w:color w:val="333333"/>
                <w:sz w:val="20"/>
                <w:szCs w:val="20"/>
              </w:rPr>
            </w:pPr>
          </w:p>
        </w:tc>
        <w:tc>
          <w:tcPr>
            <w:tcW w:w="7745" w:type="dxa"/>
            <w:gridSpan w:val="6"/>
            <w:vAlign w:val="center"/>
          </w:tcPr>
          <w:p w14:paraId="064D8B6B" w14:textId="77777777" w:rsidR="00CC6405" w:rsidRPr="0026322F" w:rsidRDefault="00CC6405" w:rsidP="002178A9">
            <w:pPr>
              <w:pStyle w:val="COMTabletext"/>
              <w:rPr>
                <w:szCs w:val="20"/>
              </w:rPr>
            </w:pPr>
            <w:r w:rsidRPr="0026322F">
              <w:rPr>
                <w:b/>
                <w:bCs w:val="0"/>
                <w:szCs w:val="20"/>
              </w:rPr>
              <w:t>Prescribing Instructions:</w:t>
            </w:r>
            <w:r w:rsidRPr="0026322F">
              <w:rPr>
                <w:szCs w:val="20"/>
              </w:rPr>
              <w:t xml:space="preserve"> </w:t>
            </w:r>
          </w:p>
          <w:p w14:paraId="67EA4C94" w14:textId="77777777" w:rsidR="00CC6405" w:rsidRPr="0026322F" w:rsidRDefault="00CC6405" w:rsidP="002178A9">
            <w:pPr>
              <w:rPr>
                <w:rFonts w:ascii="Arial Narrow" w:hAnsi="Arial Narrow"/>
                <w:b/>
                <w:bCs/>
                <w:color w:val="333333"/>
                <w:sz w:val="20"/>
                <w:szCs w:val="20"/>
              </w:rPr>
            </w:pPr>
            <w:r w:rsidRPr="0026322F">
              <w:rPr>
                <w:rFonts w:ascii="Arial Narrow" w:hAnsi="Arial Narrow"/>
                <w:sz w:val="20"/>
                <w:szCs w:val="20"/>
              </w:rPr>
              <w:t xml:space="preserve">Definition of patients unable to receive treatment with </w:t>
            </w:r>
            <w:r w:rsidRPr="0026322F">
              <w:rPr>
                <w:rFonts w:ascii="Arial Narrow" w:hAnsi="Arial Narrow"/>
                <w:i/>
                <w:iCs/>
                <w:sz w:val="20"/>
                <w:szCs w:val="20"/>
              </w:rPr>
              <w:t>CAR</w:t>
            </w:r>
            <w:r w:rsidRPr="0026322F">
              <w:rPr>
                <w:rFonts w:ascii="Arial Narrow" w:hAnsi="Arial Narrow"/>
                <w:sz w:val="20"/>
                <w:szCs w:val="20"/>
              </w:rPr>
              <w:t>-T cell therapy for this condition include geographical, psychosocial, clinical ineligibility or urgency.</w:t>
            </w:r>
          </w:p>
        </w:tc>
      </w:tr>
      <w:tr w:rsidR="00CC6405" w:rsidRPr="008242F3" w14:paraId="18911061"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7237FD9A" w14:textId="48CBB8D3" w:rsidR="00CC6405" w:rsidRPr="0026322F" w:rsidRDefault="00CC6405" w:rsidP="002178A9">
            <w:pPr>
              <w:jc w:val="center"/>
              <w:rPr>
                <w:rFonts w:ascii="Arial Narrow" w:hAnsi="Arial Narrow"/>
                <w:color w:val="333333"/>
                <w:sz w:val="20"/>
                <w:szCs w:val="20"/>
              </w:rPr>
            </w:pPr>
          </w:p>
        </w:tc>
        <w:tc>
          <w:tcPr>
            <w:tcW w:w="7745" w:type="dxa"/>
            <w:gridSpan w:val="6"/>
            <w:vAlign w:val="center"/>
          </w:tcPr>
          <w:p w14:paraId="6908FAF9" w14:textId="77777777" w:rsidR="00CC6405" w:rsidRPr="0026322F" w:rsidRDefault="00CC6405" w:rsidP="002178A9">
            <w:pPr>
              <w:rPr>
                <w:rFonts w:ascii="Arial Narrow" w:hAnsi="Arial Narrow"/>
                <w:b/>
                <w:bCs/>
                <w:color w:val="333333"/>
                <w:sz w:val="20"/>
                <w:szCs w:val="20"/>
              </w:rPr>
            </w:pPr>
            <w:r w:rsidRPr="0026322F">
              <w:rPr>
                <w:rFonts w:ascii="Arial Narrow" w:hAnsi="Arial Narrow"/>
                <w:b/>
                <w:sz w:val="20"/>
                <w:szCs w:val="20"/>
              </w:rPr>
              <w:t xml:space="preserve">Administrative Advice: </w:t>
            </w:r>
            <w:r w:rsidRPr="0026322F">
              <w:rPr>
                <w:rFonts w:ascii="Arial Narrow" w:hAnsi="Arial Narrow"/>
                <w:sz w:val="20"/>
                <w:szCs w:val="20"/>
              </w:rPr>
              <w:t>A dose of 0.16 mg to be administered on Day 1 with initial 4 mg vial. A dose of 0.8 mg to be administered on Day 8 with the repeat 4 mg vial. Refer to the epcoritamab Therapeutic Goods Administration (TGA) approved Product Information.</w:t>
            </w:r>
          </w:p>
        </w:tc>
      </w:tr>
      <w:tr w:rsidR="00CC6405" w:rsidRPr="008242F3" w14:paraId="0CA57F6E" w14:textId="77777777" w:rsidTr="002178A9">
        <w:tblPrEx>
          <w:tblCellMar>
            <w:top w:w="15" w:type="dxa"/>
            <w:bottom w:w="15" w:type="dxa"/>
          </w:tblCellMar>
          <w:tblLook w:val="04A0" w:firstRow="1" w:lastRow="0" w:firstColumn="1" w:lastColumn="0" w:noHBand="0" w:noVBand="1"/>
        </w:tblPrEx>
        <w:trPr>
          <w:cantSplit/>
          <w:trHeight w:val="20"/>
        </w:trPr>
        <w:tc>
          <w:tcPr>
            <w:tcW w:w="1276" w:type="dxa"/>
            <w:vAlign w:val="center"/>
          </w:tcPr>
          <w:p w14:paraId="102E1EA0" w14:textId="77777777" w:rsidR="00CC6405" w:rsidRPr="0026322F" w:rsidRDefault="00CC6405" w:rsidP="002178A9">
            <w:pPr>
              <w:jc w:val="center"/>
              <w:rPr>
                <w:rFonts w:ascii="Arial Narrow" w:hAnsi="Arial Narrow"/>
                <w:color w:val="333333"/>
                <w:sz w:val="20"/>
                <w:szCs w:val="20"/>
              </w:rPr>
            </w:pPr>
          </w:p>
        </w:tc>
        <w:tc>
          <w:tcPr>
            <w:tcW w:w="7745" w:type="dxa"/>
            <w:gridSpan w:val="6"/>
            <w:vAlign w:val="center"/>
          </w:tcPr>
          <w:p w14:paraId="54599B3E" w14:textId="77777777" w:rsidR="00CC6405" w:rsidRPr="0026322F" w:rsidRDefault="00CC6405" w:rsidP="002178A9">
            <w:pPr>
              <w:rPr>
                <w:rFonts w:ascii="Arial Narrow" w:hAnsi="Arial Narrow"/>
                <w:b/>
                <w:bCs/>
                <w:color w:val="333333"/>
                <w:sz w:val="20"/>
                <w:szCs w:val="20"/>
              </w:rPr>
            </w:pPr>
          </w:p>
        </w:tc>
      </w:tr>
    </w:tbl>
    <w:p w14:paraId="2808CC4E" w14:textId="77777777" w:rsidR="00142F53" w:rsidRDefault="00142F53" w:rsidP="00A975A4">
      <w:pPr>
        <w:spacing w:before="60" w:after="60"/>
        <w:ind w:left="720"/>
        <w:rPr>
          <w:rFonts w:asciiTheme="minorHAnsi" w:hAnsiTheme="minorHAnsi"/>
          <w:iCs/>
          <w:snapToGrid w:val="0"/>
        </w:rPr>
      </w:pPr>
    </w:p>
    <w:p w14:paraId="4FF68839" w14:textId="1B95AB62" w:rsidR="00A41337" w:rsidRDefault="002D7CD1" w:rsidP="00D95AE9">
      <w:pPr>
        <w:spacing w:before="120" w:after="120"/>
        <w:rPr>
          <w:rFonts w:asciiTheme="minorHAnsi" w:hAnsiTheme="minorHAnsi"/>
          <w:b/>
          <w:i/>
          <w:iCs/>
          <w:snapToGrid w:val="0"/>
          <w:lang w:val="en-GB" w:eastAsia="en-US"/>
        </w:rPr>
      </w:pPr>
      <w:r w:rsidRPr="008E4308">
        <w:rPr>
          <w:rFonts w:asciiTheme="minorHAnsi" w:hAnsiTheme="minorHAnsi"/>
          <w:b/>
          <w:i/>
          <w:iCs/>
          <w:snapToGrid w:val="0"/>
          <w:lang w:val="en-GB" w:eastAsia="en-US"/>
        </w:rPr>
        <w:t>These restrictions may be subject to further review. Should there be any changes made to the restriction the sponsor will be informed.</w:t>
      </w:r>
      <w:bookmarkEnd w:id="112"/>
    </w:p>
    <w:p w14:paraId="1486A754" w14:textId="77777777" w:rsidR="00A42977" w:rsidRPr="00A42977" w:rsidRDefault="00A42977" w:rsidP="00A42977">
      <w:pPr>
        <w:pStyle w:val="2-SectionHeading"/>
        <w:numPr>
          <w:ilvl w:val="0"/>
          <w:numId w:val="1"/>
        </w:numPr>
      </w:pPr>
      <w:r w:rsidRPr="00A42977">
        <w:t>Context for Decision</w:t>
      </w:r>
    </w:p>
    <w:p w14:paraId="0CCE0ACD" w14:textId="77777777" w:rsidR="00A42977" w:rsidRPr="00A42977" w:rsidRDefault="00A42977" w:rsidP="00A42977">
      <w:pPr>
        <w:spacing w:after="120"/>
        <w:ind w:left="720"/>
        <w:rPr>
          <w:rFonts w:asciiTheme="minorHAnsi" w:hAnsiTheme="minorHAnsi"/>
          <w:bCs/>
          <w:lang w:val="en-GB"/>
        </w:rPr>
      </w:pPr>
      <w:r w:rsidRPr="00A42977">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781004F" w14:textId="77777777" w:rsidR="00A42977" w:rsidRPr="00A42977" w:rsidRDefault="00A42977" w:rsidP="00A42977">
      <w:pPr>
        <w:pStyle w:val="2-SectionHeading"/>
        <w:numPr>
          <w:ilvl w:val="0"/>
          <w:numId w:val="1"/>
        </w:numPr>
      </w:pPr>
      <w:r w:rsidRPr="00A42977">
        <w:t>Sponsor’s Comment</w:t>
      </w:r>
    </w:p>
    <w:p w14:paraId="12B29F92" w14:textId="77777777" w:rsidR="00A42977" w:rsidRPr="00A42977" w:rsidRDefault="00A42977" w:rsidP="00A42977">
      <w:pPr>
        <w:spacing w:after="120" w:line="276" w:lineRule="auto"/>
        <w:ind w:left="720"/>
        <w:rPr>
          <w:rFonts w:asciiTheme="minorHAnsi" w:eastAsiaTheme="minorHAnsi" w:hAnsiTheme="minorHAnsi"/>
          <w:bCs/>
          <w:szCs w:val="22"/>
          <w:lang w:eastAsia="en-US"/>
        </w:rPr>
      </w:pPr>
      <w:r w:rsidRPr="00A42977">
        <w:rPr>
          <w:rFonts w:asciiTheme="minorHAnsi" w:eastAsiaTheme="minorHAnsi" w:hAnsiTheme="minorHAnsi"/>
          <w:bCs/>
          <w:szCs w:val="22"/>
          <w:lang w:eastAsia="en-US"/>
        </w:rPr>
        <w:t>The sponsor had no comment.</w:t>
      </w:r>
    </w:p>
    <w:p w14:paraId="216CA34C" w14:textId="77777777" w:rsidR="0026271A" w:rsidRPr="00BE0C30" w:rsidRDefault="0026271A" w:rsidP="00D95AE9">
      <w:pPr>
        <w:spacing w:before="120" w:after="120"/>
      </w:pPr>
    </w:p>
    <w:sectPr w:rsidR="0026271A" w:rsidRPr="00BE0C30" w:rsidSect="00A41337">
      <w:headerReference w:type="even" r:id="rId32"/>
      <w:headerReference w:type="default" r:id="rId33"/>
      <w:footerReference w:type="even" r:id="rId34"/>
      <w:footerReference w:type="default" r:id="rId35"/>
      <w:headerReference w:type="first" r:id="rId36"/>
      <w:footerReference w:type="first" r:id="rId3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21C0C" w14:textId="77777777" w:rsidR="00AE731D" w:rsidRDefault="00AE731D" w:rsidP="00124A51">
      <w:r>
        <w:separator/>
      </w:r>
    </w:p>
    <w:p w14:paraId="7E3ADB56" w14:textId="77777777" w:rsidR="00AE731D" w:rsidRDefault="00AE731D"/>
  </w:endnote>
  <w:endnote w:type="continuationSeparator" w:id="0">
    <w:p w14:paraId="3FCEB494" w14:textId="77777777" w:rsidR="00AE731D" w:rsidRDefault="00AE731D" w:rsidP="00124A51">
      <w:r>
        <w:continuationSeparator/>
      </w:r>
    </w:p>
    <w:p w14:paraId="77F26755" w14:textId="77777777" w:rsidR="00AE731D" w:rsidRDefault="00AE731D"/>
  </w:endnote>
  <w:endnote w:type="continuationNotice" w:id="1">
    <w:p w14:paraId="3E93E4E1" w14:textId="77777777" w:rsidR="00AE731D" w:rsidRDefault="00AE7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Calibri"/>
    <w:charset w:val="00"/>
    <w:family w:val="roman"/>
    <w:pitch w:val="default"/>
  </w:font>
  <w:font w:name="Arial Nova Light">
    <w:charset w:val="00"/>
    <w:family w:val="swiss"/>
    <w:pitch w:val="variable"/>
    <w:sig w:usb0="0000028F" w:usb1="00000002"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calaLancet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CB24" w14:textId="77777777" w:rsidR="00BD6E95" w:rsidRDefault="00BD6E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18" w:name="_Hlk76375156"/>
  <w:p w14:paraId="37166AEB" w14:textId="77777777" w:rsidR="00154A47" w:rsidRPr="00F90A91" w:rsidRDefault="00154A47" w:rsidP="00154A47">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11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37FA" w14:textId="77777777" w:rsidR="00BD6E95" w:rsidRDefault="00BD6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8F860" w14:textId="77777777" w:rsidR="00AE731D" w:rsidRDefault="00AE731D" w:rsidP="00124A51">
      <w:r>
        <w:separator/>
      </w:r>
    </w:p>
    <w:p w14:paraId="4EBD7D2D" w14:textId="77777777" w:rsidR="00AE731D" w:rsidRDefault="00AE731D"/>
  </w:footnote>
  <w:footnote w:type="continuationSeparator" w:id="0">
    <w:p w14:paraId="541A6863" w14:textId="77777777" w:rsidR="00AE731D" w:rsidRDefault="00AE731D" w:rsidP="00124A51">
      <w:r>
        <w:continuationSeparator/>
      </w:r>
    </w:p>
    <w:p w14:paraId="14237290" w14:textId="77777777" w:rsidR="00AE731D" w:rsidRDefault="00AE731D"/>
  </w:footnote>
  <w:footnote w:type="continuationNotice" w:id="1">
    <w:p w14:paraId="1691BF46" w14:textId="77777777" w:rsidR="00AE731D" w:rsidRDefault="00AE731D"/>
  </w:footnote>
  <w:footnote w:id="2">
    <w:p w14:paraId="2D1D1186" w14:textId="77777777" w:rsidR="00F13E8D" w:rsidRDefault="00F13E8D" w:rsidP="006341A3">
      <w:pPr>
        <w:pStyle w:val="FootnoteText"/>
      </w:pPr>
      <w:r w:rsidRPr="00E94A81">
        <w:rPr>
          <w:rStyle w:val="FootnoteReference"/>
          <w:sz w:val="18"/>
        </w:rPr>
        <w:footnoteRef/>
      </w:r>
      <w:r w:rsidRPr="00E94A81">
        <w:rPr>
          <w:sz w:val="18"/>
        </w:rPr>
        <w:t xml:space="preserve"> eviQ Cancer Treatments Online: Non-Hodgkin lymphoma R-GemOX (rituximab gemcitabine oxaliplatin), Cancer Institute NSW, viewed March 2025. </w:t>
      </w:r>
    </w:p>
  </w:footnote>
  <w:footnote w:id="3">
    <w:p w14:paraId="7A76405A" w14:textId="40470636" w:rsidR="00270999" w:rsidRPr="00AF23D7" w:rsidRDefault="00270999" w:rsidP="00AA4937">
      <w:pPr>
        <w:pStyle w:val="Default"/>
        <w:rPr>
          <w:rFonts w:cs="Arial"/>
          <w:color w:val="auto"/>
          <w:sz w:val="18"/>
          <w:szCs w:val="20"/>
        </w:rPr>
      </w:pPr>
      <w:r w:rsidRPr="00AF23D7">
        <w:rPr>
          <w:rFonts w:cs="Arial"/>
          <w:color w:val="auto"/>
          <w:sz w:val="18"/>
          <w:szCs w:val="20"/>
          <w:vertAlign w:val="superscript"/>
        </w:rPr>
        <w:footnoteRef/>
      </w:r>
      <w:r w:rsidRPr="00AF23D7">
        <w:rPr>
          <w:rFonts w:cs="Arial"/>
          <w:color w:val="auto"/>
          <w:sz w:val="18"/>
          <w:szCs w:val="20"/>
        </w:rPr>
        <w:t xml:space="preserve"> </w:t>
      </w:r>
      <w:r w:rsidR="00AA4937" w:rsidRPr="00AF23D7">
        <w:rPr>
          <w:rFonts w:cs="Arial"/>
          <w:color w:val="auto"/>
          <w:sz w:val="18"/>
          <w:szCs w:val="20"/>
        </w:rPr>
        <w:t>Pocock, S. J., Clayton, T. C., &amp; Altman, D. G. (2002). Survival plots of time-to-event outcomes in clinical trials: Good practice and pitfalls. The Lancet, 359(9318), 1686–1689</w:t>
      </w:r>
    </w:p>
  </w:footnote>
  <w:footnote w:id="4">
    <w:p w14:paraId="53B64BB4" w14:textId="77777777" w:rsidR="00F13E8D" w:rsidRDefault="00F13E8D" w:rsidP="002A0BBB">
      <w:pPr>
        <w:pStyle w:val="FootnoteText"/>
      </w:pPr>
      <w:r>
        <w:rPr>
          <w:rStyle w:val="FootnoteReference"/>
        </w:rPr>
        <w:footnoteRef/>
      </w:r>
      <w:r w:rsidRPr="001B0C88">
        <w:rPr>
          <w:rFonts w:ascii="Arial Narrow" w:hAnsi="Arial Narrow"/>
          <w:sz w:val="18"/>
          <w:szCs w:val="18"/>
        </w:rPr>
        <w:t xml:space="preserve">Australian Institute of Health and Welfare. (2024a). Cancer data in Australia. Retrieved from Canberra: </w:t>
      </w:r>
      <w:hyperlink r:id="rId1" w:history="1">
        <w:r w:rsidRPr="003B7CFD">
          <w:rPr>
            <w:rStyle w:val="Hyperlink"/>
            <w:rFonts w:ascii="Arial Narrow" w:hAnsi="Arial Narrow"/>
            <w:sz w:val="18"/>
            <w:szCs w:val="18"/>
          </w:rPr>
          <w:t>https://www.aihw.gov.au/reports/cancer/cancer-data-in-australia/contents/survival</w:t>
        </w:r>
      </w:hyperlink>
      <w:r>
        <w:rPr>
          <w:rFonts w:ascii="Arial Narrow" w:hAnsi="Arial Narrow"/>
          <w:sz w:val="18"/>
          <w:szCs w:val="18"/>
        </w:rPr>
        <w:t xml:space="preserve">. </w:t>
      </w:r>
    </w:p>
  </w:footnote>
  <w:footnote w:id="5">
    <w:p w14:paraId="7AD490DE" w14:textId="77777777" w:rsidR="00F13E8D" w:rsidRDefault="00F13E8D" w:rsidP="00E6401B">
      <w:pPr>
        <w:pStyle w:val="FootnoteText"/>
      </w:pPr>
      <w:r>
        <w:rPr>
          <w:rStyle w:val="FootnoteReference"/>
        </w:rPr>
        <w:footnoteRef/>
      </w:r>
      <w:r>
        <w:t xml:space="preserve"> </w:t>
      </w:r>
      <w:r>
        <w:rPr>
          <w:rFonts w:ascii="Arial Narrow" w:hAnsi="Arial Narrow"/>
          <w:sz w:val="18"/>
          <w:szCs w:val="18"/>
        </w:rPr>
        <w:t>Norman R. et al. The Use of a Discrete Choice Experiment Including Both Duration and Dead for the Development of an EQ-5D-5L Value Set for Australia.</w:t>
      </w:r>
      <w:r>
        <w:rPr>
          <w:rStyle w:val="TableFooterChar"/>
        </w:rPr>
        <w:t xml:space="preserve"> Pharmacoeconomics. 2023 Apr;41(4):427-38.</w:t>
      </w:r>
    </w:p>
  </w:footnote>
  <w:footnote w:id="6">
    <w:p w14:paraId="62B16257" w14:textId="77777777" w:rsidR="00F13E8D" w:rsidRDefault="00F13E8D" w:rsidP="00E6401B">
      <w:pPr>
        <w:pStyle w:val="FootnoteText"/>
        <w:rPr>
          <w:rFonts w:ascii="Arial Narrow" w:hAnsi="Arial Narrow"/>
          <w:snapToGrid w:val="0"/>
          <w:sz w:val="18"/>
          <w:szCs w:val="22"/>
        </w:rPr>
      </w:pPr>
      <w:r>
        <w:rPr>
          <w:rStyle w:val="FootnoteReference"/>
        </w:rPr>
        <w:footnoteRef/>
      </w:r>
      <w:r>
        <w:t xml:space="preserve"> </w:t>
      </w:r>
      <w:r>
        <w:rPr>
          <w:rStyle w:val="FooterTableFigureChar"/>
        </w:rPr>
        <w:t xml:space="preserve">Interim value sets for the EQ-5D-5L. 2017. Accessed on 01/08/2023: </w:t>
      </w:r>
      <w:hyperlink r:id="rId2" w:history="1">
        <w:r>
          <w:rPr>
            <w:rStyle w:val="FooterTableFigureChar"/>
          </w:rPr>
          <w:t>https://euroqol.org/wp-content/uploads/2017/02/EQ-5D-5L_Crosswalk_model_and__methodology.pdf</w:t>
        </w:r>
      </w:hyperlink>
    </w:p>
  </w:footnote>
  <w:footnote w:id="7">
    <w:p w14:paraId="4D7C0AD1" w14:textId="77777777" w:rsidR="00F13E8D" w:rsidRDefault="00F13E8D" w:rsidP="00B4405E">
      <w:pPr>
        <w:pStyle w:val="FootnoteText"/>
      </w:pPr>
      <w:r w:rsidRPr="00B0254F">
        <w:rPr>
          <w:rFonts w:ascii="Arial Narrow" w:hAnsi="Arial Narrow"/>
          <w:sz w:val="18"/>
          <w:szCs w:val="18"/>
          <w:vertAlign w:val="superscript"/>
        </w:rPr>
        <w:footnoteRef/>
      </w:r>
      <w:r w:rsidRPr="00B0254F">
        <w:rPr>
          <w:rFonts w:ascii="Arial Narrow" w:hAnsi="Arial Narrow"/>
          <w:sz w:val="18"/>
          <w:szCs w:val="18"/>
        </w:rPr>
        <w:t xml:space="preserve"> Lymphoma and Related Diseases Registry (</w:t>
      </w:r>
      <w:r w:rsidRPr="00D62057">
        <w:rPr>
          <w:rFonts w:ascii="Arial Narrow" w:hAnsi="Arial Narrow"/>
          <w:sz w:val="18"/>
          <w:szCs w:val="18"/>
        </w:rPr>
        <w:t>LaRDR</w:t>
      </w:r>
      <w:r>
        <w:rPr>
          <w:rFonts w:ascii="Arial Narrow" w:hAnsi="Arial Narrow"/>
          <w:sz w:val="18"/>
          <w:szCs w:val="18"/>
        </w:rPr>
        <w:t>)</w:t>
      </w:r>
      <w:r w:rsidRPr="00D62057">
        <w:rPr>
          <w:rFonts w:ascii="Arial Narrow" w:hAnsi="Arial Narrow"/>
          <w:sz w:val="18"/>
          <w:szCs w:val="18"/>
        </w:rPr>
        <w:t>. (2022) Australian Observational Study of the Management of Diffuse Large B-Cell Lymphoma Patients in First and Later Lines - 2 (ASTOUND-2).</w:t>
      </w:r>
    </w:p>
  </w:footnote>
  <w:footnote w:id="8">
    <w:p w14:paraId="33CD5960" w14:textId="77777777" w:rsidR="00F13E8D" w:rsidRPr="007862C6" w:rsidRDefault="00F13E8D" w:rsidP="00FE25E8">
      <w:pPr>
        <w:pStyle w:val="FootnoteText"/>
        <w:rPr>
          <w:rFonts w:ascii="Arial Narrow" w:hAnsi="Arial Narrow"/>
          <w:sz w:val="18"/>
          <w:szCs w:val="18"/>
        </w:rPr>
      </w:pPr>
      <w:r w:rsidRPr="007862C6">
        <w:rPr>
          <w:rStyle w:val="FootnoteReference"/>
          <w:rFonts w:ascii="Arial Narrow" w:hAnsi="Arial Narrow"/>
          <w:sz w:val="18"/>
          <w:szCs w:val="18"/>
        </w:rPr>
        <w:footnoteRef/>
      </w:r>
      <w:r w:rsidRPr="007862C6">
        <w:rPr>
          <w:rFonts w:ascii="Arial Narrow" w:hAnsi="Arial Narrow"/>
          <w:sz w:val="18"/>
          <w:szCs w:val="18"/>
        </w:rPr>
        <w:t xml:space="preserve"> NICE (2020). National Institute for Health and Care Excellence. Polatuzumab vedotin with rituximab and bendamustine for treating relapsed or refractory diffuse large B-cell lymphoma.</w:t>
      </w:r>
    </w:p>
  </w:footnote>
  <w:footnote w:id="9">
    <w:p w14:paraId="67EA9A1B" w14:textId="77777777" w:rsidR="00F13E8D" w:rsidRPr="007862C6" w:rsidRDefault="00F13E8D" w:rsidP="00FE25E8">
      <w:pPr>
        <w:pStyle w:val="FootnoteText"/>
        <w:rPr>
          <w:rFonts w:ascii="Arial Narrow" w:hAnsi="Arial Narrow"/>
          <w:sz w:val="18"/>
          <w:szCs w:val="18"/>
        </w:rPr>
      </w:pPr>
      <w:r w:rsidRPr="007862C6">
        <w:rPr>
          <w:rStyle w:val="FootnoteReference"/>
          <w:rFonts w:ascii="Arial Narrow" w:hAnsi="Arial Narrow"/>
          <w:sz w:val="18"/>
          <w:szCs w:val="18"/>
        </w:rPr>
        <w:footnoteRef/>
      </w:r>
      <w:r w:rsidRPr="007862C6">
        <w:rPr>
          <w:rFonts w:ascii="Arial Narrow" w:hAnsi="Arial Narrow"/>
          <w:sz w:val="18"/>
          <w:szCs w:val="18"/>
        </w:rPr>
        <w:t xml:space="preserve"> NICE (2018a). National Institute for Health and Care Excellence. Tisagenlecleucel-T for treating relapsed or refractory diffuse large B-cell lymphoma [ID1166].</w:t>
      </w:r>
    </w:p>
  </w:footnote>
  <w:footnote w:id="10">
    <w:p w14:paraId="2E26DCAB" w14:textId="77777777" w:rsidR="00F13E8D" w:rsidRPr="007862C6" w:rsidRDefault="00F13E8D" w:rsidP="00FE25E8">
      <w:pPr>
        <w:pStyle w:val="FootnoteText"/>
        <w:rPr>
          <w:rFonts w:ascii="Arial Narrow" w:hAnsi="Arial Narrow"/>
          <w:sz w:val="18"/>
          <w:szCs w:val="18"/>
        </w:rPr>
      </w:pPr>
      <w:r w:rsidRPr="007862C6">
        <w:rPr>
          <w:rStyle w:val="FootnoteReference"/>
          <w:rFonts w:ascii="Arial Narrow" w:hAnsi="Arial Narrow"/>
          <w:sz w:val="18"/>
          <w:szCs w:val="18"/>
        </w:rPr>
        <w:footnoteRef/>
      </w:r>
      <w:r w:rsidRPr="007862C6">
        <w:rPr>
          <w:rFonts w:ascii="Arial Narrow" w:hAnsi="Arial Narrow"/>
          <w:sz w:val="18"/>
          <w:szCs w:val="18"/>
        </w:rPr>
        <w:t xml:space="preserve"> NICE (2018b). National Institute for Health and Care Excellence.  Axicabtagene ciloleucel for treating diffuse large B-cell lymphoma and primary mediastinal B-cell lymphoma after 2 or more systemic therapies [ID1115].</w:t>
      </w:r>
    </w:p>
  </w:footnote>
  <w:footnote w:id="11">
    <w:p w14:paraId="23EC6450" w14:textId="77777777" w:rsidR="00F13E8D" w:rsidRPr="007862C6" w:rsidRDefault="00F13E8D" w:rsidP="00FE25E8">
      <w:pPr>
        <w:pStyle w:val="FootnoteText"/>
        <w:rPr>
          <w:rFonts w:ascii="Arial Narrow" w:hAnsi="Arial Narrow"/>
          <w:sz w:val="18"/>
          <w:szCs w:val="18"/>
        </w:rPr>
      </w:pPr>
      <w:r w:rsidRPr="007862C6">
        <w:rPr>
          <w:rStyle w:val="FootnoteReference"/>
          <w:rFonts w:ascii="Arial Narrow" w:hAnsi="Arial Narrow"/>
          <w:sz w:val="18"/>
          <w:szCs w:val="18"/>
        </w:rPr>
        <w:footnoteRef/>
      </w:r>
      <w:r w:rsidRPr="007862C6">
        <w:rPr>
          <w:rFonts w:ascii="Arial Narrow" w:hAnsi="Arial Narrow"/>
          <w:sz w:val="18"/>
          <w:szCs w:val="18"/>
        </w:rPr>
        <w:t xml:space="preserve"> Roth JA, Sullivan SD, Lin VW, et al. Cost-effectiveness of axicabtagene ciloleucel for adult patients with relapsed or refractory large B-cell lymphoma in the United States. J Med Econ. 2018;21(12):1238-45.</w:t>
      </w:r>
    </w:p>
  </w:footnote>
  <w:footnote w:id="12">
    <w:p w14:paraId="3ED122E2" w14:textId="77777777" w:rsidR="00F13E8D" w:rsidRDefault="00F13E8D" w:rsidP="00FE25E8">
      <w:pPr>
        <w:pStyle w:val="FootnoteText"/>
      </w:pPr>
      <w:r w:rsidRPr="007862C6">
        <w:rPr>
          <w:rStyle w:val="FootnoteReference"/>
          <w:rFonts w:ascii="Arial Narrow" w:hAnsi="Arial Narrow"/>
          <w:sz w:val="18"/>
          <w:szCs w:val="18"/>
        </w:rPr>
        <w:footnoteRef/>
      </w:r>
      <w:r w:rsidRPr="007862C6">
        <w:rPr>
          <w:rFonts w:ascii="Arial Narrow" w:hAnsi="Arial Narrow"/>
          <w:sz w:val="18"/>
          <w:szCs w:val="18"/>
        </w:rPr>
        <w:t xml:space="preserve"> Wang H, Manca A, Crouch S, et al. Health-state utility values in Diffulse Large B-Cell Lymphoma. Value in Health. 2018;21:S74.</w:t>
      </w:r>
    </w:p>
  </w:footnote>
  <w:footnote w:id="13">
    <w:p w14:paraId="2C039DD5" w14:textId="77777777" w:rsidR="00F13E8D" w:rsidRPr="00324982" w:rsidRDefault="00F13E8D" w:rsidP="00BE2E29">
      <w:pPr>
        <w:pStyle w:val="FootnoteText"/>
      </w:pPr>
      <w:r w:rsidRPr="00324982">
        <w:rPr>
          <w:rStyle w:val="FootnoteReference"/>
        </w:rPr>
        <w:footnoteRef/>
      </w:r>
      <w:r w:rsidRPr="00324982">
        <w:t xml:space="preserve"> </w:t>
      </w:r>
      <w:r w:rsidRPr="00324982">
        <w:rPr>
          <w:rFonts w:ascii="Arial Narrow" w:hAnsi="Arial Narrow"/>
          <w:sz w:val="18"/>
          <w:szCs w:val="18"/>
        </w:rPr>
        <w:t xml:space="preserve">AIHW Cancer Data in Australia 2024 - Book 1e Long-term incidence projections for selected cancers, Table S1e.1. URL: </w:t>
      </w:r>
      <w:hyperlink r:id="rId3" w:history="1">
        <w:r w:rsidRPr="00324982">
          <w:rPr>
            <w:rStyle w:val="Hyperlink"/>
            <w:rFonts w:ascii="Arial Narrow" w:hAnsi="Arial Narrow"/>
            <w:sz w:val="18"/>
            <w:szCs w:val="18"/>
          </w:rPr>
          <w:t>https://www.aihw.gov.au/getmedia/af7ec578-8d8f-4b53-bb8a-da736d38a9dd/cdia-2024-book-1e-long-term-cancer-incidence-projections.xlsx</w:t>
        </w:r>
      </w:hyperlink>
      <w:r w:rsidRPr="00324982">
        <w:rPr>
          <w:rFonts w:ascii="Arial Narrow" w:hAnsi="Arial Narrow"/>
          <w:sz w:val="18"/>
          <w:szCs w:val="18"/>
        </w:rPr>
        <w:t>. Access date: 08/04/2025.</w:t>
      </w:r>
    </w:p>
  </w:footnote>
  <w:footnote w:id="14">
    <w:p w14:paraId="16DFFB62" w14:textId="77777777" w:rsidR="00F13E8D" w:rsidRDefault="00F13E8D" w:rsidP="00BE2E29">
      <w:pPr>
        <w:pStyle w:val="FootnoteText"/>
      </w:pPr>
      <w:r w:rsidRPr="00324982">
        <w:rPr>
          <w:rStyle w:val="FootnoteReference"/>
        </w:rPr>
        <w:footnoteRef/>
      </w:r>
      <w:r w:rsidRPr="00324982">
        <w:t xml:space="preserve"> </w:t>
      </w:r>
      <w:r w:rsidRPr="00324982">
        <w:rPr>
          <w:rFonts w:ascii="Arial Narrow" w:hAnsi="Arial Narrow"/>
          <w:sz w:val="18"/>
          <w:szCs w:val="18"/>
        </w:rPr>
        <w:t xml:space="preserve">AIHW CDiA 2024 Book 11c1 Blood cancer incidence by histology-ICD10. URL: </w:t>
      </w:r>
      <w:hyperlink r:id="rId4" w:history="1">
        <w:r w:rsidRPr="00324982">
          <w:rPr>
            <w:rStyle w:val="Hyperlink"/>
            <w:rFonts w:ascii="Arial Narrow" w:hAnsi="Arial Narrow"/>
            <w:sz w:val="18"/>
            <w:szCs w:val="18"/>
          </w:rPr>
          <w:t>https://www.aihw.gov.au/reports/cancer/cancer-data-in-australia/contents/blood-cancer-incidence-and-survival-by-histology-e</w:t>
        </w:r>
      </w:hyperlink>
      <w:r w:rsidRPr="00324982">
        <w:rPr>
          <w:rFonts w:ascii="Arial Narrow" w:hAnsi="Arial Narrow"/>
          <w:sz w:val="18"/>
          <w:szCs w:val="18"/>
        </w:rPr>
        <w:t>. Access date: 08/04/2025.</w:t>
      </w:r>
      <w:r>
        <w:rPr>
          <w:rFonts w:ascii="Arial Narrow" w:hAnsi="Arial Narrow"/>
          <w:sz w:val="18"/>
          <w:szCs w:val="18"/>
        </w:rPr>
        <w:t xml:space="preserve"> </w:t>
      </w:r>
    </w:p>
  </w:footnote>
  <w:footnote w:id="15">
    <w:p w14:paraId="303FFC39" w14:textId="77777777" w:rsidR="00F13E8D" w:rsidRPr="00681F26" w:rsidRDefault="00F13E8D" w:rsidP="00BE2E29">
      <w:pPr>
        <w:pStyle w:val="FootnoteText"/>
        <w:rPr>
          <w:rFonts w:ascii="Arial Narrow" w:hAnsi="Arial Narrow"/>
          <w:sz w:val="18"/>
          <w:szCs w:val="18"/>
        </w:rPr>
      </w:pPr>
      <w:r w:rsidRPr="00681F26">
        <w:rPr>
          <w:rStyle w:val="FootnoteReference"/>
        </w:rPr>
        <w:footnoteRef/>
      </w:r>
      <w:r w:rsidRPr="00681F26">
        <w:t xml:space="preserve"> </w:t>
      </w:r>
      <w:r w:rsidRPr="00681F26">
        <w:rPr>
          <w:rFonts w:ascii="Arial Narrow" w:hAnsi="Arial Narrow"/>
          <w:sz w:val="18"/>
          <w:szCs w:val="18"/>
        </w:rPr>
        <w:t>Steven M. Bair, Mayur Narkhede, Zachary AK Frosch, Elise A. Chong, Daniel A. Ermann, Iris Isufi, Farrukh T. Awan, Julio C Chavez, Grace N Bosma, Diana Abbott; Treatment Intensity and Outcomes in Elderly Patients with DLBCL Receiving First Line Therapy. Blood 2023; 142 (Supplement 1): 68.</w:t>
      </w:r>
    </w:p>
  </w:footnote>
  <w:footnote w:id="16">
    <w:p w14:paraId="21BBEAEE" w14:textId="77777777" w:rsidR="00F13E8D" w:rsidRPr="00681F26" w:rsidRDefault="00F13E8D" w:rsidP="00BE2E29">
      <w:pPr>
        <w:pStyle w:val="FootnoteText"/>
        <w:rPr>
          <w:rFonts w:ascii="Arial Narrow" w:hAnsi="Arial Narrow"/>
          <w:sz w:val="18"/>
          <w:szCs w:val="18"/>
        </w:rPr>
      </w:pPr>
      <w:r w:rsidRPr="00681F26">
        <w:rPr>
          <w:rFonts w:ascii="Arial Narrow" w:hAnsi="Arial Narrow"/>
          <w:sz w:val="18"/>
          <w:szCs w:val="18"/>
        </w:rPr>
        <w:footnoteRef/>
      </w:r>
      <w:r w:rsidRPr="00681F26">
        <w:rPr>
          <w:rFonts w:ascii="Arial Narrow" w:hAnsi="Arial Narrow"/>
          <w:sz w:val="18"/>
          <w:szCs w:val="18"/>
        </w:rPr>
        <w:t xml:space="preserve"> Morrison, Vicki A. et al. (2020). Treatment approaches for older and oldest patients with diffuse large B-cell lymphoma – Use of non-R-CHOP alternative therapies and impact of comorbidities on treatment choices and outcome: A Humedica database retrospective cohort analysis, 2007–2015. Journal of Geriatric Oncology, Volume 11, Issue 1, 41 – 54.</w:t>
      </w:r>
    </w:p>
  </w:footnote>
  <w:footnote w:id="17">
    <w:p w14:paraId="5AD227B2" w14:textId="77777777" w:rsidR="00F13E8D" w:rsidRDefault="00F13E8D" w:rsidP="00BE2E29">
      <w:pPr>
        <w:pStyle w:val="FootnoteText"/>
      </w:pPr>
      <w:r>
        <w:rPr>
          <w:rStyle w:val="FootnoteReference"/>
        </w:rPr>
        <w:footnoteRef/>
      </w:r>
      <w:r>
        <w:t xml:space="preserve"> </w:t>
      </w:r>
      <w:r w:rsidRPr="00855E1C">
        <w:rPr>
          <w:rFonts w:ascii="Arial Narrow" w:hAnsi="Arial Narrow"/>
          <w:sz w:val="18"/>
          <w:szCs w:val="18"/>
        </w:rPr>
        <w:t>Tan D, Chan JY, Wudhikarn K, et al. (2024) Unmet Needs in the First-Line Treatment of Diffuse Large B-cell Lymphoma: Expert Recommendations From the Asia-Pacific Region With a Focus on the Challenging Subtypes. Clin Lymphoma Myeloma Leuk 24: e320-e328.</w:t>
      </w:r>
    </w:p>
  </w:footnote>
  <w:footnote w:id="18">
    <w:p w14:paraId="4B49B3C0" w14:textId="77777777" w:rsidR="00F13E8D" w:rsidRDefault="00F13E8D" w:rsidP="00BE2E29">
      <w:pPr>
        <w:pStyle w:val="FootnoteText"/>
      </w:pPr>
      <w:r>
        <w:rPr>
          <w:rStyle w:val="FootnoteReference"/>
        </w:rPr>
        <w:footnoteRef/>
      </w:r>
      <w:r>
        <w:t xml:space="preserve"> </w:t>
      </w:r>
      <w:r w:rsidRPr="00855E1C">
        <w:rPr>
          <w:rFonts w:ascii="Arial Narrow" w:hAnsi="Arial Narrow"/>
          <w:sz w:val="18"/>
          <w:szCs w:val="18"/>
        </w:rPr>
        <w:t>Sarkozy C and Sehn LH. (2018) Management of relapsed/refractory DLBCL. Best Pract Res Clin Haematol 31: 209-216.</w:t>
      </w:r>
    </w:p>
  </w:footnote>
  <w:footnote w:id="19">
    <w:p w14:paraId="1DE80828" w14:textId="77777777" w:rsidR="00F13E8D" w:rsidRDefault="00F13E8D" w:rsidP="00621199">
      <w:pPr>
        <w:pStyle w:val="FootnoteText"/>
      </w:pPr>
      <w:r>
        <w:rPr>
          <w:rStyle w:val="FootnoteReference"/>
        </w:rPr>
        <w:footnoteRef/>
      </w:r>
      <w:r>
        <w:t xml:space="preserve"> </w:t>
      </w:r>
      <w:r w:rsidRPr="00C93660">
        <w:rPr>
          <w:rFonts w:ascii="Arial Narrow" w:hAnsi="Arial Narrow"/>
          <w:sz w:val="18"/>
          <w:szCs w:val="18"/>
        </w:rPr>
        <w:t>Friedberg J. (2011) Relapsed/Refractory Diffuse Large B-Cell Lymphoma. Hematology Am Soc Hematol Educ Program: 498-505.</w:t>
      </w:r>
    </w:p>
  </w:footnote>
  <w:footnote w:id="20">
    <w:p w14:paraId="698DA685" w14:textId="77777777" w:rsidR="00F13E8D" w:rsidRDefault="00F13E8D" w:rsidP="00621199">
      <w:pPr>
        <w:pStyle w:val="FootnoteText"/>
      </w:pPr>
      <w:r>
        <w:rPr>
          <w:rStyle w:val="FootnoteReference"/>
        </w:rPr>
        <w:footnoteRef/>
      </w:r>
      <w:r>
        <w:t xml:space="preserve"> </w:t>
      </w:r>
      <w:r w:rsidRPr="00312501">
        <w:rPr>
          <w:rFonts w:ascii="Arial Narrow" w:hAnsi="Arial Narrow"/>
          <w:sz w:val="18"/>
          <w:szCs w:val="18"/>
        </w:rPr>
        <w:t>Sehn LH and Salles G. (2021) Diffuse Large B-Cell Lymphoma. N Engl J Med 384: 842-858.</w:t>
      </w:r>
    </w:p>
  </w:footnote>
  <w:footnote w:id="21">
    <w:p w14:paraId="2BA1AB7D" w14:textId="10166365" w:rsidR="00F13E8D" w:rsidRDefault="00F13E8D">
      <w:pPr>
        <w:pStyle w:val="FootnoteText"/>
      </w:pPr>
      <w:r>
        <w:rPr>
          <w:rStyle w:val="FootnoteReference"/>
        </w:rPr>
        <w:footnoteRef/>
      </w:r>
      <w:r>
        <w:t xml:space="preserve"> </w:t>
      </w:r>
      <w:r w:rsidRPr="00E66478">
        <w:rPr>
          <w:rFonts w:ascii="Arial Narrow" w:hAnsi="Arial Narrow"/>
          <w:sz w:val="16"/>
          <w:szCs w:val="16"/>
        </w:rPr>
        <w:t>Westin J and Sehn LH. (2022) CAR T cells as a second-line therapy for large B-cell lymphoma: a paradigm shift? Blood 139: 2737-2746.</w:t>
      </w:r>
    </w:p>
  </w:footnote>
  <w:footnote w:id="22">
    <w:p w14:paraId="70B67B83" w14:textId="77777777" w:rsidR="00F13E8D" w:rsidRDefault="00F13E8D" w:rsidP="00621199">
      <w:pPr>
        <w:pStyle w:val="FootnoteText"/>
      </w:pPr>
      <w:r>
        <w:rPr>
          <w:rStyle w:val="FootnoteReference"/>
        </w:rPr>
        <w:footnoteRef/>
      </w:r>
      <w:r>
        <w:t xml:space="preserve"> </w:t>
      </w:r>
      <w:r w:rsidRPr="00C93660">
        <w:rPr>
          <w:rFonts w:ascii="Arial Narrow" w:hAnsi="Arial Narrow"/>
          <w:sz w:val="18"/>
          <w:szCs w:val="18"/>
        </w:rPr>
        <w:t>Kanas G, Ge W, Quek RGW, et al. (2022) Epidemiology of diffuse large B-cell lymphoma (DLBCL) and follicular lymphoma (FL) in the United States and Western Europe: population-level projections for 2020-2025. Leuk Lymphoma 63: 54-63.</w:t>
      </w:r>
    </w:p>
  </w:footnote>
  <w:footnote w:id="23">
    <w:p w14:paraId="23AE9DF9" w14:textId="77777777" w:rsidR="00B55035" w:rsidRDefault="00B55035" w:rsidP="00BA224D">
      <w:pPr>
        <w:pStyle w:val="FootnoteText"/>
      </w:pPr>
      <w:r>
        <w:rPr>
          <w:rStyle w:val="FootnoteReference"/>
        </w:rPr>
        <w:footnoteRef/>
      </w:r>
      <w:r>
        <w:t xml:space="preserve"> </w:t>
      </w:r>
      <w:r w:rsidRPr="00AC3B4C">
        <w:rPr>
          <w:rFonts w:ascii="Arial Narrow" w:hAnsi="Arial Narrow"/>
          <w:sz w:val="18"/>
          <w:szCs w:val="18"/>
        </w:rPr>
        <w:t xml:space="preserve">Lymphoma Australia. (2022). Chimeric antigen receptor (CAR) T-cell therapy. Available at </w:t>
      </w:r>
      <w:hyperlink r:id="rId5" w:history="1">
        <w:r w:rsidRPr="008F2A57">
          <w:rPr>
            <w:rStyle w:val="Hyperlink"/>
            <w:rFonts w:ascii="Arial Narrow" w:hAnsi="Arial Narrow"/>
            <w:sz w:val="18"/>
            <w:szCs w:val="18"/>
          </w:rPr>
          <w:t>https://www.lymphoma.org.au/lymphoma/treatments/chimeric-antigen-receptor-car-t-cell-therapy/</w:t>
        </w:r>
      </w:hyperlink>
      <w:r w:rsidRPr="00AC3B4C">
        <w:rPr>
          <w:rFonts w:ascii="Arial Narrow" w:hAnsi="Arial Narrow"/>
          <w:sz w:val="18"/>
          <w:szCs w:val="18"/>
        </w:rPr>
        <w:t xml:space="preserve"> (last accessed </w:t>
      </w:r>
      <w:r>
        <w:rPr>
          <w:rFonts w:ascii="Arial Narrow" w:hAnsi="Arial Narrow"/>
          <w:sz w:val="18"/>
          <w:szCs w:val="18"/>
        </w:rPr>
        <w:t>22</w:t>
      </w:r>
      <w:r w:rsidRPr="00AC3B4C">
        <w:rPr>
          <w:rFonts w:ascii="Arial Narrow" w:hAnsi="Arial Narrow"/>
          <w:sz w:val="18"/>
          <w:szCs w:val="18"/>
        </w:rPr>
        <w:t xml:space="preserve"> </w:t>
      </w:r>
      <w:r>
        <w:rPr>
          <w:rFonts w:ascii="Arial Narrow" w:hAnsi="Arial Narrow"/>
          <w:sz w:val="18"/>
          <w:szCs w:val="18"/>
        </w:rPr>
        <w:t>April</w:t>
      </w:r>
      <w:r w:rsidRPr="00AC3B4C">
        <w:rPr>
          <w:rFonts w:ascii="Arial Narrow" w:hAnsi="Arial Narrow"/>
          <w:sz w:val="18"/>
          <w:szCs w:val="18"/>
        </w:rPr>
        <w:t xml:space="preserve"> 202</w:t>
      </w:r>
      <w:r>
        <w:rPr>
          <w:rFonts w:ascii="Arial Narrow" w:hAnsi="Arial Narrow"/>
          <w:sz w:val="18"/>
          <w:szCs w:val="18"/>
        </w:rPr>
        <w:t>5</w:t>
      </w:r>
      <w:r w:rsidRPr="00AC3B4C">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DCF5" w14:textId="77777777" w:rsidR="00BD6E95" w:rsidRDefault="00BD6E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A0D5" w14:textId="1B585F37" w:rsidR="00B063A8" w:rsidRPr="00056684" w:rsidRDefault="00F66DDB" w:rsidP="00B063A8">
    <w:pPr>
      <w:pStyle w:val="Header"/>
      <w:ind w:left="360"/>
      <w:rPr>
        <w:rFonts w:asciiTheme="minorHAnsi" w:hAnsiTheme="minorHAnsi"/>
        <w:i/>
        <w:color w:val="808080"/>
      </w:rPr>
    </w:pPr>
    <w:bookmarkStart w:id="117" w:name="_Hlk76375146"/>
    <w:r w:rsidRPr="00F66DDB">
      <w:rPr>
        <w:rFonts w:asciiTheme="minorHAnsi" w:hAnsiTheme="minorHAnsi"/>
        <w:i/>
        <w:color w:val="808080"/>
      </w:rPr>
      <w:t>Public Summary Document</w:t>
    </w:r>
    <w:r w:rsidR="00B063A8" w:rsidRPr="00056684">
      <w:rPr>
        <w:rFonts w:asciiTheme="minorHAnsi" w:hAnsiTheme="minorHAnsi"/>
        <w:i/>
        <w:color w:val="808080"/>
      </w:rPr>
      <w:t xml:space="preserve"> – </w:t>
    </w:r>
    <w:r w:rsidR="00B063A8">
      <w:rPr>
        <w:rFonts w:asciiTheme="minorHAnsi" w:hAnsiTheme="minorHAnsi"/>
        <w:i/>
        <w:color w:val="808080"/>
      </w:rPr>
      <w:t>July 2025</w:t>
    </w:r>
    <w:r w:rsidR="00B063A8" w:rsidRPr="00056684">
      <w:rPr>
        <w:rFonts w:asciiTheme="minorHAnsi" w:hAnsiTheme="minorHAnsi"/>
        <w:i/>
        <w:color w:val="808080"/>
      </w:rPr>
      <w:t xml:space="preserve"> PBAC Meeting</w:t>
    </w:r>
  </w:p>
  <w:bookmarkEnd w:id="117"/>
  <w:p w14:paraId="61E78021" w14:textId="77777777" w:rsidR="00F13E8D" w:rsidRPr="00C06F97" w:rsidRDefault="00F13E8D" w:rsidP="00FB19D9">
    <w:pPr>
      <w:pStyle w:val="Head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D40B" w14:textId="77777777" w:rsidR="00BD6E95" w:rsidRDefault="00BD6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CC7716"/>
    <w:lvl w:ilvl="0">
      <w:start w:val="1"/>
      <w:numFmt w:val="bullet"/>
      <w:pStyle w:val="ListBullet"/>
      <w:lvlText w:val="-"/>
      <w:lvlJc w:val="left"/>
      <w:pPr>
        <w:ind w:left="360" w:hanging="360"/>
      </w:pPr>
      <w:rPr>
        <w:rFonts w:ascii="Calibri" w:eastAsia="Times New Roman" w:hAnsi="Calibri" w:cs="Arial" w:hint="default"/>
      </w:rPr>
    </w:lvl>
  </w:abstractNum>
  <w:abstractNum w:abstractNumId="1" w15:restartNumberingAfterBreak="0">
    <w:nsid w:val="035B6137"/>
    <w:multiLevelType w:val="hybridMultilevel"/>
    <w:tmpl w:val="F8068108"/>
    <w:lvl w:ilvl="0" w:tplc="B516980E">
      <w:start w:val="1"/>
      <w:numFmt w:val="bullet"/>
      <w:lvlText w:val=""/>
      <w:lvlJc w:val="left"/>
      <w:pPr>
        <w:ind w:left="510" w:hanging="17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 w15:restartNumberingAfterBreak="0">
    <w:nsid w:val="038A073C"/>
    <w:multiLevelType w:val="multilevel"/>
    <w:tmpl w:val="B156A7D0"/>
    <w:styleLink w:val="Style1"/>
    <w:lvl w:ilvl="0">
      <w:start w:val="1"/>
      <w:numFmt w:val="decimal"/>
      <w:lvlText w:val="%1"/>
      <w:lvlJc w:val="left"/>
      <w:pPr>
        <w:ind w:left="720" w:hanging="720"/>
      </w:pPr>
      <w:rPr>
        <w:b/>
      </w:rPr>
    </w:lvl>
    <w:lvl w:ilvl="1">
      <w:start w:val="1"/>
      <w:numFmt w:val="none"/>
      <w:suff w:val="nothing"/>
      <w:lvlText w:val=""/>
      <w:lvlJc w:val="left"/>
      <w:pPr>
        <w:ind w:left="720" w:hanging="720"/>
      </w:pPr>
    </w:lvl>
    <w:lvl w:ilvl="2">
      <w:start w:val="1"/>
      <w:numFmt w:val="none"/>
      <w:lvlRestart w:val="1"/>
      <w:suff w:val="nothing"/>
      <w:lvlText w:val=""/>
      <w:lvlJc w:val="left"/>
      <w:pPr>
        <w:ind w:left="720" w:hanging="720"/>
      </w:pPr>
    </w:lvl>
    <w:lvl w:ilvl="3">
      <w:start w:val="1"/>
      <w:numFmt w:val="none"/>
      <w:lvlRestart w:val="1"/>
      <w:suff w:val="nothing"/>
      <w:lvlText w:val=""/>
      <w:lvlJc w:val="left"/>
      <w:pPr>
        <w:ind w:left="1080" w:hanging="1080"/>
      </w:pPr>
    </w:lvl>
    <w:lvl w:ilvl="4">
      <w:start w:val="1"/>
      <w:numFmt w:val="decimal"/>
      <w:lvlRestart w:val="1"/>
      <w:lvlText w:val="%1.%5"/>
      <w:lvlJc w:val="left"/>
      <w:pPr>
        <w:ind w:left="1080" w:hanging="1080"/>
      </w:pPr>
      <w:rPr>
        <w:rFonts w:asciiTheme="minorHAnsi" w:hAnsiTheme="minorHAnsi" w:cs="Times New Roman" w:hint="default"/>
        <w:b w:val="0"/>
        <w:i w:val="0"/>
        <w:strike w:val="0"/>
        <w:dstrike w:val="0"/>
        <w:color w:val="auto"/>
        <w:sz w:val="24"/>
        <w:u w:val="none"/>
        <w:effect w:val="none"/>
      </w:rPr>
    </w:lvl>
    <w:lvl w:ilvl="5">
      <w:start w:val="1"/>
      <w:numFmt w:val="decimal"/>
      <w:lvlRestart w:val="1"/>
      <w:lvlText w:val="%6"/>
      <w:lvlJc w:val="left"/>
      <w:pPr>
        <w:ind w:left="720" w:hanging="720"/>
      </w:pPr>
    </w:lvl>
    <w:lvl w:ilvl="6">
      <w:start w:val="1"/>
      <w:numFmt w:val="none"/>
      <w:suff w:val="nothing"/>
      <w:lvlText w:val=""/>
      <w:lvlJc w:val="left"/>
      <w:pPr>
        <w:ind w:left="720" w:hanging="72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9617AC2"/>
    <w:multiLevelType w:val="multilevel"/>
    <w:tmpl w:val="134EDE46"/>
    <w:lvl w:ilvl="0">
      <w:start w:val="1"/>
      <w:numFmt w:val="bullet"/>
      <w:pStyle w:val="MainBodyBulletPoint"/>
      <w:lvlText w:val="-"/>
      <w:lvlJc w:val="left"/>
      <w:pPr>
        <w:ind w:left="669" w:hanging="360"/>
      </w:pPr>
      <w:rPr>
        <w:rFonts w:ascii="Courier New" w:hAnsi="Courier New"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bullet"/>
      <w:lvlText w:val=""/>
      <w:lvlJc w:val="left"/>
      <w:pPr>
        <w:ind w:left="1389" w:hanging="476"/>
      </w:pPr>
      <w:rPr>
        <w:rFonts w:ascii="Symbol" w:hAnsi="Symbol" w:hint="default"/>
      </w:rPr>
    </w:lvl>
    <w:lvl w:ilvl="2">
      <w:start w:val="1"/>
      <w:numFmt w:val="bullet"/>
      <w:lvlText w:val=""/>
      <w:lvlJc w:val="left"/>
      <w:pPr>
        <w:ind w:left="2109" w:hanging="360"/>
      </w:pPr>
      <w:rPr>
        <w:rFonts w:ascii="Wingdings" w:hAnsi="Wingdings" w:hint="default"/>
      </w:rPr>
    </w:lvl>
    <w:lvl w:ilvl="3">
      <w:start w:val="1"/>
      <w:numFmt w:val="bullet"/>
      <w:lvlText w:val=""/>
      <w:lvlJc w:val="left"/>
      <w:pPr>
        <w:ind w:left="2829" w:hanging="360"/>
      </w:pPr>
      <w:rPr>
        <w:rFonts w:ascii="Symbol" w:hAnsi="Symbol" w:hint="default"/>
      </w:rPr>
    </w:lvl>
    <w:lvl w:ilvl="4">
      <w:start w:val="1"/>
      <w:numFmt w:val="bullet"/>
      <w:lvlText w:val="o"/>
      <w:lvlJc w:val="left"/>
      <w:pPr>
        <w:ind w:left="3549" w:hanging="360"/>
      </w:pPr>
      <w:rPr>
        <w:rFonts w:ascii="Courier New" w:hAnsi="Courier New" w:cs="Courier New" w:hint="default"/>
      </w:rPr>
    </w:lvl>
    <w:lvl w:ilvl="5">
      <w:start w:val="1"/>
      <w:numFmt w:val="bullet"/>
      <w:lvlText w:val=""/>
      <w:lvlJc w:val="left"/>
      <w:pPr>
        <w:ind w:left="4269" w:hanging="360"/>
      </w:pPr>
      <w:rPr>
        <w:rFonts w:ascii="Wingdings" w:hAnsi="Wingdings" w:hint="default"/>
      </w:rPr>
    </w:lvl>
    <w:lvl w:ilvl="6">
      <w:start w:val="1"/>
      <w:numFmt w:val="bullet"/>
      <w:lvlText w:val=""/>
      <w:lvlJc w:val="left"/>
      <w:pPr>
        <w:ind w:left="4989" w:hanging="360"/>
      </w:pPr>
      <w:rPr>
        <w:rFonts w:ascii="Symbol" w:hAnsi="Symbol" w:hint="default"/>
      </w:rPr>
    </w:lvl>
    <w:lvl w:ilvl="7">
      <w:start w:val="1"/>
      <w:numFmt w:val="bullet"/>
      <w:lvlText w:val="o"/>
      <w:lvlJc w:val="left"/>
      <w:pPr>
        <w:ind w:left="5709" w:hanging="360"/>
      </w:pPr>
      <w:rPr>
        <w:rFonts w:ascii="Courier New" w:hAnsi="Courier New" w:cs="Courier New" w:hint="default"/>
      </w:rPr>
    </w:lvl>
    <w:lvl w:ilvl="8">
      <w:start w:val="1"/>
      <w:numFmt w:val="bullet"/>
      <w:lvlText w:val=""/>
      <w:lvlJc w:val="left"/>
      <w:pPr>
        <w:ind w:left="6429" w:hanging="360"/>
      </w:pPr>
      <w:rPr>
        <w:rFonts w:ascii="Wingdings" w:hAnsi="Wingdings" w:hint="default"/>
      </w:rPr>
    </w:lvl>
  </w:abstractNum>
  <w:abstractNum w:abstractNumId="4" w15:restartNumberingAfterBreak="0">
    <w:nsid w:val="0B206A30"/>
    <w:multiLevelType w:val="hybridMultilevel"/>
    <w:tmpl w:val="08C6E024"/>
    <w:lvl w:ilvl="0" w:tplc="0C09000F">
      <w:start w:val="1"/>
      <w:numFmt w:val="decimal"/>
      <w:lvlText w:val="%1."/>
      <w:lvlJc w:val="left"/>
      <w:pPr>
        <w:ind w:left="1222" w:hanging="360"/>
      </w:pPr>
    </w:lvl>
    <w:lvl w:ilvl="1" w:tplc="0C090019" w:tentative="1">
      <w:start w:val="1"/>
      <w:numFmt w:val="lowerLetter"/>
      <w:lvlText w:val="%2."/>
      <w:lvlJc w:val="left"/>
      <w:pPr>
        <w:ind w:left="1942" w:hanging="360"/>
      </w:pPr>
    </w:lvl>
    <w:lvl w:ilvl="2" w:tplc="0C09001B" w:tentative="1">
      <w:start w:val="1"/>
      <w:numFmt w:val="lowerRoman"/>
      <w:lvlText w:val="%3."/>
      <w:lvlJc w:val="right"/>
      <w:pPr>
        <w:ind w:left="2662" w:hanging="180"/>
      </w:pPr>
    </w:lvl>
    <w:lvl w:ilvl="3" w:tplc="0C09000F" w:tentative="1">
      <w:start w:val="1"/>
      <w:numFmt w:val="decimal"/>
      <w:lvlText w:val="%4."/>
      <w:lvlJc w:val="left"/>
      <w:pPr>
        <w:ind w:left="3382" w:hanging="360"/>
      </w:pPr>
    </w:lvl>
    <w:lvl w:ilvl="4" w:tplc="0C090019" w:tentative="1">
      <w:start w:val="1"/>
      <w:numFmt w:val="lowerLetter"/>
      <w:lvlText w:val="%5."/>
      <w:lvlJc w:val="left"/>
      <w:pPr>
        <w:ind w:left="4102" w:hanging="360"/>
      </w:pPr>
    </w:lvl>
    <w:lvl w:ilvl="5" w:tplc="0C09001B" w:tentative="1">
      <w:start w:val="1"/>
      <w:numFmt w:val="lowerRoman"/>
      <w:lvlText w:val="%6."/>
      <w:lvlJc w:val="right"/>
      <w:pPr>
        <w:ind w:left="4822" w:hanging="180"/>
      </w:pPr>
    </w:lvl>
    <w:lvl w:ilvl="6" w:tplc="0C09000F" w:tentative="1">
      <w:start w:val="1"/>
      <w:numFmt w:val="decimal"/>
      <w:lvlText w:val="%7."/>
      <w:lvlJc w:val="left"/>
      <w:pPr>
        <w:ind w:left="5542" w:hanging="360"/>
      </w:pPr>
    </w:lvl>
    <w:lvl w:ilvl="7" w:tplc="0C090019" w:tentative="1">
      <w:start w:val="1"/>
      <w:numFmt w:val="lowerLetter"/>
      <w:lvlText w:val="%8."/>
      <w:lvlJc w:val="left"/>
      <w:pPr>
        <w:ind w:left="6262" w:hanging="360"/>
      </w:pPr>
    </w:lvl>
    <w:lvl w:ilvl="8" w:tplc="0C09001B" w:tentative="1">
      <w:start w:val="1"/>
      <w:numFmt w:val="lowerRoman"/>
      <w:lvlText w:val="%9."/>
      <w:lvlJc w:val="right"/>
      <w:pPr>
        <w:ind w:left="6982" w:hanging="180"/>
      </w:pPr>
    </w:lvl>
  </w:abstractNum>
  <w:abstractNum w:abstractNumId="5" w15:restartNumberingAfterBreak="0">
    <w:nsid w:val="0BDF1DE4"/>
    <w:multiLevelType w:val="hybridMultilevel"/>
    <w:tmpl w:val="B8FC37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15771FA"/>
    <w:multiLevelType w:val="hybridMultilevel"/>
    <w:tmpl w:val="AF3874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94A58D9"/>
    <w:multiLevelType w:val="hybridMultilevel"/>
    <w:tmpl w:val="AC966AC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C50BFF"/>
    <w:multiLevelType w:val="hybridMultilevel"/>
    <w:tmpl w:val="6380AA68"/>
    <w:lvl w:ilvl="0" w:tplc="A9BE7B7A">
      <w:start w:val="1"/>
      <w:numFmt w:val="bullet"/>
      <w:pStyle w:val="EndNoteBibliography"/>
      <w:lvlText w:val=""/>
      <w:lvlJc w:val="left"/>
      <w:pPr>
        <w:ind w:left="149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D160FE"/>
    <w:multiLevelType w:val="hybridMultilevel"/>
    <w:tmpl w:val="8B54AA0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1" w15:restartNumberingAfterBreak="0">
    <w:nsid w:val="37A74C24"/>
    <w:multiLevelType w:val="hybridMultilevel"/>
    <w:tmpl w:val="7E7CD0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8FD78DC"/>
    <w:multiLevelType w:val="multilevel"/>
    <w:tmpl w:val="EC4E2E26"/>
    <w:lvl w:ilvl="0">
      <w:start w:val="1"/>
      <w:numFmt w:val="bullet"/>
      <w:pStyle w:val="TableListParagraph"/>
      <w:lvlText w:val=""/>
      <w:lvlJc w:val="left"/>
      <w:pPr>
        <w:ind w:left="144" w:hanging="144"/>
      </w:pPr>
      <w:rPr>
        <w:rFonts w:ascii="Symbol" w:hAnsi="Symbol" w:hint="default"/>
      </w:rPr>
    </w:lvl>
    <w:lvl w:ilvl="1">
      <w:start w:val="1"/>
      <w:numFmt w:val="bullet"/>
      <w:lvlText w:val="–"/>
      <w:lvlJc w:val="left"/>
      <w:pPr>
        <w:ind w:left="288" w:hanging="144"/>
      </w:pPr>
      <w:rPr>
        <w:rFonts w:ascii="Calibri" w:hAnsi="Calibri" w:hint="default"/>
      </w:rPr>
    </w:lvl>
    <w:lvl w:ilvl="2">
      <w:start w:val="1"/>
      <w:numFmt w:val="bullet"/>
      <w:lvlText w:val="–"/>
      <w:lvlJc w:val="left"/>
      <w:pPr>
        <w:ind w:left="432" w:hanging="144"/>
      </w:pPr>
      <w:rPr>
        <w:rFonts w:ascii="Calibri" w:hAnsi="Calibri" w:hint="default"/>
      </w:rPr>
    </w:lvl>
    <w:lvl w:ilvl="3">
      <w:start w:val="1"/>
      <w:numFmt w:val="bullet"/>
      <w:lvlText w:val="–"/>
      <w:lvlJc w:val="left"/>
      <w:pPr>
        <w:ind w:left="576" w:hanging="144"/>
      </w:pPr>
      <w:rPr>
        <w:rFonts w:ascii="Calibri" w:hAnsi="Calibri" w:hint="default"/>
      </w:rPr>
    </w:lvl>
    <w:lvl w:ilvl="4">
      <w:start w:val="1"/>
      <w:numFmt w:val="bullet"/>
      <w:lvlText w:val="–"/>
      <w:lvlJc w:val="left"/>
      <w:pPr>
        <w:ind w:left="720" w:hanging="144"/>
      </w:pPr>
      <w:rPr>
        <w:rFonts w:ascii="Calibri" w:hAnsi="Calibri" w:hint="default"/>
      </w:rPr>
    </w:lvl>
    <w:lvl w:ilvl="5">
      <w:start w:val="1"/>
      <w:numFmt w:val="bullet"/>
      <w:lvlText w:val="–"/>
      <w:lvlJc w:val="left"/>
      <w:pPr>
        <w:ind w:left="864" w:hanging="144"/>
      </w:pPr>
      <w:rPr>
        <w:rFonts w:ascii="Calibri" w:hAnsi="Calibri" w:hint="default"/>
      </w:rPr>
    </w:lvl>
    <w:lvl w:ilvl="6">
      <w:start w:val="1"/>
      <w:numFmt w:val="bullet"/>
      <w:lvlText w:val="–"/>
      <w:lvlJc w:val="left"/>
      <w:pPr>
        <w:ind w:left="1008" w:hanging="144"/>
      </w:pPr>
      <w:rPr>
        <w:rFonts w:ascii="Calibri" w:hAnsi="Calibri" w:hint="default"/>
      </w:rPr>
    </w:lvl>
    <w:lvl w:ilvl="7">
      <w:start w:val="1"/>
      <w:numFmt w:val="bullet"/>
      <w:lvlText w:val="–"/>
      <w:lvlJc w:val="left"/>
      <w:pPr>
        <w:ind w:left="1152" w:hanging="144"/>
      </w:pPr>
      <w:rPr>
        <w:rFonts w:ascii="Calibri" w:hAnsi="Calibri" w:hint="default"/>
      </w:rPr>
    </w:lvl>
    <w:lvl w:ilvl="8">
      <w:start w:val="1"/>
      <w:numFmt w:val="bullet"/>
      <w:lvlRestart w:val="0"/>
      <w:lvlText w:val="–"/>
      <w:lvlJc w:val="left"/>
      <w:pPr>
        <w:ind w:left="1296" w:hanging="144"/>
      </w:pPr>
      <w:rPr>
        <w:rFonts w:ascii="Calibri" w:hAnsi="Calibri" w:hint="default"/>
      </w:rPr>
    </w:lvl>
  </w:abstractNum>
  <w:abstractNum w:abstractNumId="13" w15:restartNumberingAfterBreak="0">
    <w:nsid w:val="406F1667"/>
    <w:multiLevelType w:val="hybridMultilevel"/>
    <w:tmpl w:val="3580BF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77663"/>
    <w:multiLevelType w:val="hybridMultilevel"/>
    <w:tmpl w:val="2048E8EE"/>
    <w:lvl w:ilvl="0" w:tplc="55B6AA02">
      <w:start w:val="1"/>
      <w:numFmt w:val="decimal"/>
      <w:pStyle w:val="Ntabletext"/>
      <w:lvlText w:val="%1"/>
      <w:lvlJc w:val="left"/>
      <w:pPr>
        <w:ind w:left="360" w:hanging="360"/>
      </w:pPr>
      <w:rPr>
        <w:rFonts w:ascii="Calibri" w:hAnsi="Calibri" w:cs="Times New Roman" w:hint="default"/>
        <w:b w:val="0"/>
        <w:i w:val="0"/>
        <w:color w:val="auto"/>
        <w:sz w:val="2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6" w15:restartNumberingAfterBreak="0">
    <w:nsid w:val="4EC80FE3"/>
    <w:multiLevelType w:val="hybridMultilevel"/>
    <w:tmpl w:val="6E9CF2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E23292"/>
    <w:multiLevelType w:val="hybridMultilevel"/>
    <w:tmpl w:val="780CEB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0056BFC"/>
    <w:multiLevelType w:val="hybridMultilevel"/>
    <w:tmpl w:val="FD9C0718"/>
    <w:lvl w:ilvl="0" w:tplc="9F28717E">
      <w:start w:val="1"/>
      <w:numFmt w:val="bullet"/>
      <w:lvlText w:val=""/>
      <w:lvlJc w:val="left"/>
      <w:pPr>
        <w:ind w:left="1440" w:hanging="360"/>
      </w:pPr>
      <w:rPr>
        <w:rFonts w:ascii="Symbol" w:hAnsi="Symbol"/>
      </w:rPr>
    </w:lvl>
    <w:lvl w:ilvl="1" w:tplc="57BE9844">
      <w:start w:val="1"/>
      <w:numFmt w:val="bullet"/>
      <w:lvlText w:val=""/>
      <w:lvlJc w:val="left"/>
      <w:pPr>
        <w:ind w:left="1440" w:hanging="360"/>
      </w:pPr>
      <w:rPr>
        <w:rFonts w:ascii="Symbol" w:hAnsi="Symbol"/>
      </w:rPr>
    </w:lvl>
    <w:lvl w:ilvl="2" w:tplc="D0A03060">
      <w:start w:val="1"/>
      <w:numFmt w:val="bullet"/>
      <w:lvlText w:val=""/>
      <w:lvlJc w:val="left"/>
      <w:pPr>
        <w:ind w:left="1440" w:hanging="360"/>
      </w:pPr>
      <w:rPr>
        <w:rFonts w:ascii="Symbol" w:hAnsi="Symbol"/>
      </w:rPr>
    </w:lvl>
    <w:lvl w:ilvl="3" w:tplc="4F640B1A">
      <w:start w:val="1"/>
      <w:numFmt w:val="bullet"/>
      <w:lvlText w:val=""/>
      <w:lvlJc w:val="left"/>
      <w:pPr>
        <w:ind w:left="1440" w:hanging="360"/>
      </w:pPr>
      <w:rPr>
        <w:rFonts w:ascii="Symbol" w:hAnsi="Symbol"/>
      </w:rPr>
    </w:lvl>
    <w:lvl w:ilvl="4" w:tplc="4A144AB4">
      <w:start w:val="1"/>
      <w:numFmt w:val="bullet"/>
      <w:lvlText w:val=""/>
      <w:lvlJc w:val="left"/>
      <w:pPr>
        <w:ind w:left="1440" w:hanging="360"/>
      </w:pPr>
      <w:rPr>
        <w:rFonts w:ascii="Symbol" w:hAnsi="Symbol"/>
      </w:rPr>
    </w:lvl>
    <w:lvl w:ilvl="5" w:tplc="380A4F5C">
      <w:start w:val="1"/>
      <w:numFmt w:val="bullet"/>
      <w:lvlText w:val=""/>
      <w:lvlJc w:val="left"/>
      <w:pPr>
        <w:ind w:left="1440" w:hanging="360"/>
      </w:pPr>
      <w:rPr>
        <w:rFonts w:ascii="Symbol" w:hAnsi="Symbol"/>
      </w:rPr>
    </w:lvl>
    <w:lvl w:ilvl="6" w:tplc="F1DC1744">
      <w:start w:val="1"/>
      <w:numFmt w:val="bullet"/>
      <w:lvlText w:val=""/>
      <w:lvlJc w:val="left"/>
      <w:pPr>
        <w:ind w:left="1440" w:hanging="360"/>
      </w:pPr>
      <w:rPr>
        <w:rFonts w:ascii="Symbol" w:hAnsi="Symbol"/>
      </w:rPr>
    </w:lvl>
    <w:lvl w:ilvl="7" w:tplc="E002415C">
      <w:start w:val="1"/>
      <w:numFmt w:val="bullet"/>
      <w:lvlText w:val=""/>
      <w:lvlJc w:val="left"/>
      <w:pPr>
        <w:ind w:left="1440" w:hanging="360"/>
      </w:pPr>
      <w:rPr>
        <w:rFonts w:ascii="Symbol" w:hAnsi="Symbol"/>
      </w:rPr>
    </w:lvl>
    <w:lvl w:ilvl="8" w:tplc="D900717C">
      <w:start w:val="1"/>
      <w:numFmt w:val="bullet"/>
      <w:lvlText w:val=""/>
      <w:lvlJc w:val="left"/>
      <w:pPr>
        <w:ind w:left="1440" w:hanging="360"/>
      </w:pPr>
      <w:rPr>
        <w:rFonts w:ascii="Symbol" w:hAnsi="Symbol"/>
      </w:r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7C65221"/>
    <w:multiLevelType w:val="hybridMultilevel"/>
    <w:tmpl w:val="E3A6D7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6F053E"/>
    <w:multiLevelType w:val="hybridMultilevel"/>
    <w:tmpl w:val="9CEA4D2A"/>
    <w:lvl w:ilvl="0" w:tplc="0C09000F">
      <w:start w:val="1"/>
      <w:numFmt w:val="decimal"/>
      <w:lvlText w:val="%1."/>
      <w:lvlJc w:val="left"/>
      <w:pPr>
        <w:ind w:left="502" w:hanging="360"/>
      </w:pPr>
    </w:lvl>
    <w:lvl w:ilvl="1" w:tplc="0C09001B">
      <w:start w:val="1"/>
      <w:numFmt w:val="lowerRoman"/>
      <w:lvlText w:val="%2."/>
      <w:lvlJc w:val="righ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6" w15:restartNumberingAfterBreak="0">
    <w:nsid w:val="784D033C"/>
    <w:multiLevelType w:val="multilevel"/>
    <w:tmpl w:val="5B6215FA"/>
    <w:lvl w:ilvl="0">
      <w:start w:val="1"/>
      <w:numFmt w:val="decimal"/>
      <w:pStyle w:val="PBACES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EC272B"/>
    <w:multiLevelType w:val="hybridMultilevel"/>
    <w:tmpl w:val="0518B3E8"/>
    <w:lvl w:ilvl="0" w:tplc="0C090001">
      <w:start w:val="1"/>
      <w:numFmt w:val="bullet"/>
      <w:pStyle w:val="COMH1-numbered"/>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C95B7A"/>
    <w:multiLevelType w:val="hybridMultilevel"/>
    <w:tmpl w:val="7DA242A8"/>
    <w:lvl w:ilvl="0" w:tplc="5086A130">
      <w:start w:val="1"/>
      <w:numFmt w:val="bullet"/>
      <w:pStyle w:val="Tablebullet0"/>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499126314">
    <w:abstractNumId w:val="26"/>
  </w:num>
  <w:num w:numId="2" w16cid:durableId="122045120">
    <w:abstractNumId w:val="14"/>
  </w:num>
  <w:num w:numId="3" w16cid:durableId="430468507">
    <w:abstractNumId w:val="0"/>
  </w:num>
  <w:num w:numId="4" w16cid:durableId="1747533838">
    <w:abstractNumId w:val="27"/>
  </w:num>
  <w:num w:numId="5" w16cid:durableId="610404047">
    <w:abstractNumId w:val="21"/>
  </w:num>
  <w:num w:numId="6" w16cid:durableId="771097765">
    <w:abstractNumId w:val="8"/>
  </w:num>
  <w:num w:numId="7" w16cid:durableId="1465655535">
    <w:abstractNumId w:val="3"/>
  </w:num>
  <w:num w:numId="8" w16cid:durableId="1811484111">
    <w:abstractNumId w:val="2"/>
  </w:num>
  <w:num w:numId="9" w16cid:durableId="999969484">
    <w:abstractNumId w:val="28"/>
  </w:num>
  <w:num w:numId="10" w16cid:durableId="6641658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2120152">
    <w:abstractNumId w:val="12"/>
  </w:num>
  <w:num w:numId="12" w16cid:durableId="567611121">
    <w:abstractNumId w:val="10"/>
  </w:num>
  <w:num w:numId="13" w16cid:durableId="1873684211">
    <w:abstractNumId w:val="9"/>
  </w:num>
  <w:num w:numId="14" w16cid:durableId="810439728">
    <w:abstractNumId w:val="1"/>
  </w:num>
  <w:num w:numId="15" w16cid:durableId="2028018705">
    <w:abstractNumId w:val="6"/>
  </w:num>
  <w:num w:numId="16" w16cid:durableId="704447963">
    <w:abstractNumId w:val="5"/>
  </w:num>
  <w:num w:numId="17" w16cid:durableId="256332791">
    <w:abstractNumId w:val="13"/>
  </w:num>
  <w:num w:numId="18" w16cid:durableId="970134239">
    <w:abstractNumId w:val="16"/>
  </w:num>
  <w:num w:numId="19" w16cid:durableId="1679698496">
    <w:abstractNumId w:val="22"/>
  </w:num>
  <w:num w:numId="20" w16cid:durableId="1438326327">
    <w:abstractNumId w:val="25"/>
  </w:num>
  <w:num w:numId="21" w16cid:durableId="2065907432">
    <w:abstractNumId w:val="4"/>
  </w:num>
  <w:num w:numId="22" w16cid:durableId="126240624">
    <w:abstractNumId w:val="23"/>
  </w:num>
  <w:num w:numId="23" w16cid:durableId="408699874">
    <w:abstractNumId w:val="17"/>
  </w:num>
  <w:num w:numId="24" w16cid:durableId="12974431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997201">
    <w:abstractNumId w:val="24"/>
  </w:num>
  <w:num w:numId="26" w16cid:durableId="1800798564">
    <w:abstractNumId w:val="7"/>
  </w:num>
  <w:num w:numId="27" w16cid:durableId="1459881631">
    <w:abstractNumId w:val="11"/>
  </w:num>
  <w:num w:numId="28" w16cid:durableId="1544901309">
    <w:abstractNumId w:val="18"/>
  </w:num>
  <w:num w:numId="29" w16cid:durableId="231938823">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5F8"/>
    <w:rsid w:val="00000790"/>
    <w:rsid w:val="00000791"/>
    <w:rsid w:val="00000FC1"/>
    <w:rsid w:val="0000110B"/>
    <w:rsid w:val="00002160"/>
    <w:rsid w:val="0000287E"/>
    <w:rsid w:val="000032CA"/>
    <w:rsid w:val="00003499"/>
    <w:rsid w:val="000039B7"/>
    <w:rsid w:val="00003BAE"/>
    <w:rsid w:val="00003D4A"/>
    <w:rsid w:val="00004035"/>
    <w:rsid w:val="0000440A"/>
    <w:rsid w:val="0000445C"/>
    <w:rsid w:val="000046CD"/>
    <w:rsid w:val="000047C0"/>
    <w:rsid w:val="000048A6"/>
    <w:rsid w:val="00004EC3"/>
    <w:rsid w:val="000056B9"/>
    <w:rsid w:val="0000639A"/>
    <w:rsid w:val="00006AA3"/>
    <w:rsid w:val="0000733A"/>
    <w:rsid w:val="0000764A"/>
    <w:rsid w:val="0001079B"/>
    <w:rsid w:val="000111BF"/>
    <w:rsid w:val="000116B6"/>
    <w:rsid w:val="00012F1F"/>
    <w:rsid w:val="000131D4"/>
    <w:rsid w:val="00013247"/>
    <w:rsid w:val="000132D9"/>
    <w:rsid w:val="00013A9F"/>
    <w:rsid w:val="00014ECA"/>
    <w:rsid w:val="0001509F"/>
    <w:rsid w:val="0001510E"/>
    <w:rsid w:val="00015663"/>
    <w:rsid w:val="00015886"/>
    <w:rsid w:val="00015C0C"/>
    <w:rsid w:val="000162EF"/>
    <w:rsid w:val="00017134"/>
    <w:rsid w:val="00017D6D"/>
    <w:rsid w:val="00017DAE"/>
    <w:rsid w:val="00017E49"/>
    <w:rsid w:val="0002035B"/>
    <w:rsid w:val="000203B5"/>
    <w:rsid w:val="0002072F"/>
    <w:rsid w:val="000207C9"/>
    <w:rsid w:val="00020C3D"/>
    <w:rsid w:val="0002225F"/>
    <w:rsid w:val="00022860"/>
    <w:rsid w:val="00022D52"/>
    <w:rsid w:val="000230B9"/>
    <w:rsid w:val="00023538"/>
    <w:rsid w:val="00023763"/>
    <w:rsid w:val="000239B1"/>
    <w:rsid w:val="000239D4"/>
    <w:rsid w:val="0002473A"/>
    <w:rsid w:val="00024A5F"/>
    <w:rsid w:val="00024C5B"/>
    <w:rsid w:val="00024EB5"/>
    <w:rsid w:val="000259CA"/>
    <w:rsid w:val="00025F24"/>
    <w:rsid w:val="00026115"/>
    <w:rsid w:val="0002672B"/>
    <w:rsid w:val="0002703B"/>
    <w:rsid w:val="000274B8"/>
    <w:rsid w:val="000274CF"/>
    <w:rsid w:val="00027519"/>
    <w:rsid w:val="000277DF"/>
    <w:rsid w:val="00027909"/>
    <w:rsid w:val="000301C9"/>
    <w:rsid w:val="00030BB5"/>
    <w:rsid w:val="00030E14"/>
    <w:rsid w:val="00030E16"/>
    <w:rsid w:val="00030FD3"/>
    <w:rsid w:val="000316D5"/>
    <w:rsid w:val="00032DD4"/>
    <w:rsid w:val="000334EA"/>
    <w:rsid w:val="00033863"/>
    <w:rsid w:val="0003398B"/>
    <w:rsid w:val="0003427A"/>
    <w:rsid w:val="000350CF"/>
    <w:rsid w:val="00035A4B"/>
    <w:rsid w:val="00035BB1"/>
    <w:rsid w:val="00035DC0"/>
    <w:rsid w:val="00036829"/>
    <w:rsid w:val="00036FC7"/>
    <w:rsid w:val="0004009D"/>
    <w:rsid w:val="0004045A"/>
    <w:rsid w:val="00040895"/>
    <w:rsid w:val="00040CAB"/>
    <w:rsid w:val="000410A0"/>
    <w:rsid w:val="000412F4"/>
    <w:rsid w:val="0004283A"/>
    <w:rsid w:val="000435EE"/>
    <w:rsid w:val="00043C37"/>
    <w:rsid w:val="00043E9F"/>
    <w:rsid w:val="00044745"/>
    <w:rsid w:val="00045017"/>
    <w:rsid w:val="0004510F"/>
    <w:rsid w:val="0004525A"/>
    <w:rsid w:val="0004529D"/>
    <w:rsid w:val="00045981"/>
    <w:rsid w:val="00045A2B"/>
    <w:rsid w:val="0004698F"/>
    <w:rsid w:val="00046D64"/>
    <w:rsid w:val="000500AB"/>
    <w:rsid w:val="000508C2"/>
    <w:rsid w:val="000516EE"/>
    <w:rsid w:val="00051C9E"/>
    <w:rsid w:val="0005204B"/>
    <w:rsid w:val="000528C8"/>
    <w:rsid w:val="00052F88"/>
    <w:rsid w:val="000539D0"/>
    <w:rsid w:val="000539FD"/>
    <w:rsid w:val="00054621"/>
    <w:rsid w:val="000546D7"/>
    <w:rsid w:val="00054713"/>
    <w:rsid w:val="00054A8D"/>
    <w:rsid w:val="00054B19"/>
    <w:rsid w:val="00054F60"/>
    <w:rsid w:val="000553B8"/>
    <w:rsid w:val="000553CD"/>
    <w:rsid w:val="0005559E"/>
    <w:rsid w:val="00056097"/>
    <w:rsid w:val="00056A03"/>
    <w:rsid w:val="00056B06"/>
    <w:rsid w:val="00056D79"/>
    <w:rsid w:val="00056ECF"/>
    <w:rsid w:val="0005780B"/>
    <w:rsid w:val="000604DF"/>
    <w:rsid w:val="000606EF"/>
    <w:rsid w:val="000607A4"/>
    <w:rsid w:val="00060907"/>
    <w:rsid w:val="00060960"/>
    <w:rsid w:val="00060B05"/>
    <w:rsid w:val="00060BE4"/>
    <w:rsid w:val="00062967"/>
    <w:rsid w:val="0006393E"/>
    <w:rsid w:val="0006406C"/>
    <w:rsid w:val="00064159"/>
    <w:rsid w:val="000642BD"/>
    <w:rsid w:val="000648D6"/>
    <w:rsid w:val="00064D3E"/>
    <w:rsid w:val="00064FFD"/>
    <w:rsid w:val="000653B5"/>
    <w:rsid w:val="00065D6B"/>
    <w:rsid w:val="00066360"/>
    <w:rsid w:val="00066416"/>
    <w:rsid w:val="000664DE"/>
    <w:rsid w:val="00066AF8"/>
    <w:rsid w:val="00067365"/>
    <w:rsid w:val="000678FF"/>
    <w:rsid w:val="000679CD"/>
    <w:rsid w:val="00067F11"/>
    <w:rsid w:val="0007051B"/>
    <w:rsid w:val="00071248"/>
    <w:rsid w:val="000712F5"/>
    <w:rsid w:val="000720B9"/>
    <w:rsid w:val="00072363"/>
    <w:rsid w:val="000724BA"/>
    <w:rsid w:val="00072724"/>
    <w:rsid w:val="00073568"/>
    <w:rsid w:val="000737F7"/>
    <w:rsid w:val="00073860"/>
    <w:rsid w:val="00074022"/>
    <w:rsid w:val="000745D1"/>
    <w:rsid w:val="00074842"/>
    <w:rsid w:val="000749F1"/>
    <w:rsid w:val="00075A99"/>
    <w:rsid w:val="0007672F"/>
    <w:rsid w:val="00076B54"/>
    <w:rsid w:val="000773D8"/>
    <w:rsid w:val="000774F0"/>
    <w:rsid w:val="0008047E"/>
    <w:rsid w:val="000805D3"/>
    <w:rsid w:val="00080909"/>
    <w:rsid w:val="00080913"/>
    <w:rsid w:val="00080A30"/>
    <w:rsid w:val="0008112C"/>
    <w:rsid w:val="000812CA"/>
    <w:rsid w:val="0008198E"/>
    <w:rsid w:val="00081D45"/>
    <w:rsid w:val="00081E63"/>
    <w:rsid w:val="00081FB3"/>
    <w:rsid w:val="0008258D"/>
    <w:rsid w:val="00082C80"/>
    <w:rsid w:val="0008360B"/>
    <w:rsid w:val="00083E99"/>
    <w:rsid w:val="00083F7F"/>
    <w:rsid w:val="0008473A"/>
    <w:rsid w:val="00084FA8"/>
    <w:rsid w:val="00084FAC"/>
    <w:rsid w:val="000856C5"/>
    <w:rsid w:val="00085AB4"/>
    <w:rsid w:val="00085C31"/>
    <w:rsid w:val="00085EBF"/>
    <w:rsid w:val="00086604"/>
    <w:rsid w:val="00086727"/>
    <w:rsid w:val="000869E0"/>
    <w:rsid w:val="00086DC2"/>
    <w:rsid w:val="00087043"/>
    <w:rsid w:val="0008710E"/>
    <w:rsid w:val="00087C24"/>
    <w:rsid w:val="000902D9"/>
    <w:rsid w:val="00090892"/>
    <w:rsid w:val="000909AA"/>
    <w:rsid w:val="00090C7E"/>
    <w:rsid w:val="000911AC"/>
    <w:rsid w:val="000912C4"/>
    <w:rsid w:val="0009158D"/>
    <w:rsid w:val="00092131"/>
    <w:rsid w:val="00092600"/>
    <w:rsid w:val="0009262B"/>
    <w:rsid w:val="00092F72"/>
    <w:rsid w:val="0009318A"/>
    <w:rsid w:val="00093310"/>
    <w:rsid w:val="00093396"/>
    <w:rsid w:val="00093E39"/>
    <w:rsid w:val="000940C3"/>
    <w:rsid w:val="0009417F"/>
    <w:rsid w:val="0009445C"/>
    <w:rsid w:val="00094A91"/>
    <w:rsid w:val="00095200"/>
    <w:rsid w:val="000955B0"/>
    <w:rsid w:val="00095FE5"/>
    <w:rsid w:val="00096284"/>
    <w:rsid w:val="00096638"/>
    <w:rsid w:val="00096795"/>
    <w:rsid w:val="000977CD"/>
    <w:rsid w:val="000A06E9"/>
    <w:rsid w:val="000A084A"/>
    <w:rsid w:val="000A1840"/>
    <w:rsid w:val="000A1BC0"/>
    <w:rsid w:val="000A1E98"/>
    <w:rsid w:val="000A2F9E"/>
    <w:rsid w:val="000A37DA"/>
    <w:rsid w:val="000A3D5B"/>
    <w:rsid w:val="000A3E47"/>
    <w:rsid w:val="000A4936"/>
    <w:rsid w:val="000A49F0"/>
    <w:rsid w:val="000A4A48"/>
    <w:rsid w:val="000A4D8C"/>
    <w:rsid w:val="000A4E5E"/>
    <w:rsid w:val="000A5012"/>
    <w:rsid w:val="000A522B"/>
    <w:rsid w:val="000A5B78"/>
    <w:rsid w:val="000A5E5D"/>
    <w:rsid w:val="000A6039"/>
    <w:rsid w:val="000A7015"/>
    <w:rsid w:val="000A739A"/>
    <w:rsid w:val="000A7453"/>
    <w:rsid w:val="000A7553"/>
    <w:rsid w:val="000A7C0C"/>
    <w:rsid w:val="000A7D08"/>
    <w:rsid w:val="000A7E20"/>
    <w:rsid w:val="000B0121"/>
    <w:rsid w:val="000B02FE"/>
    <w:rsid w:val="000B0670"/>
    <w:rsid w:val="000B0E0F"/>
    <w:rsid w:val="000B0E75"/>
    <w:rsid w:val="000B1431"/>
    <w:rsid w:val="000B20FB"/>
    <w:rsid w:val="000B2DCB"/>
    <w:rsid w:val="000B3024"/>
    <w:rsid w:val="000B35D9"/>
    <w:rsid w:val="000B37DC"/>
    <w:rsid w:val="000B38AB"/>
    <w:rsid w:val="000B3989"/>
    <w:rsid w:val="000B3A45"/>
    <w:rsid w:val="000B42AA"/>
    <w:rsid w:val="000B5745"/>
    <w:rsid w:val="000B5B77"/>
    <w:rsid w:val="000B5CE0"/>
    <w:rsid w:val="000B6CAC"/>
    <w:rsid w:val="000B758E"/>
    <w:rsid w:val="000B7612"/>
    <w:rsid w:val="000B78AE"/>
    <w:rsid w:val="000B79AE"/>
    <w:rsid w:val="000C04CA"/>
    <w:rsid w:val="000C05C5"/>
    <w:rsid w:val="000C09E6"/>
    <w:rsid w:val="000C0AD9"/>
    <w:rsid w:val="000C1405"/>
    <w:rsid w:val="000C3468"/>
    <w:rsid w:val="000C3DF9"/>
    <w:rsid w:val="000C3E3E"/>
    <w:rsid w:val="000C3ED3"/>
    <w:rsid w:val="000C45E5"/>
    <w:rsid w:val="000C4CF2"/>
    <w:rsid w:val="000C4D6C"/>
    <w:rsid w:val="000C5088"/>
    <w:rsid w:val="000C5668"/>
    <w:rsid w:val="000C57A2"/>
    <w:rsid w:val="000C5912"/>
    <w:rsid w:val="000C5C1C"/>
    <w:rsid w:val="000C5F71"/>
    <w:rsid w:val="000C6111"/>
    <w:rsid w:val="000C6147"/>
    <w:rsid w:val="000C6329"/>
    <w:rsid w:val="000C645D"/>
    <w:rsid w:val="000C6713"/>
    <w:rsid w:val="000C76BE"/>
    <w:rsid w:val="000C7EF7"/>
    <w:rsid w:val="000D0886"/>
    <w:rsid w:val="000D1143"/>
    <w:rsid w:val="000D119E"/>
    <w:rsid w:val="000D12C9"/>
    <w:rsid w:val="000D1BFC"/>
    <w:rsid w:val="000D1CFA"/>
    <w:rsid w:val="000D1D5D"/>
    <w:rsid w:val="000D2229"/>
    <w:rsid w:val="000D281A"/>
    <w:rsid w:val="000D2846"/>
    <w:rsid w:val="000D2848"/>
    <w:rsid w:val="000D2A53"/>
    <w:rsid w:val="000D2C6C"/>
    <w:rsid w:val="000D2EB3"/>
    <w:rsid w:val="000D326A"/>
    <w:rsid w:val="000D385C"/>
    <w:rsid w:val="000D4A7E"/>
    <w:rsid w:val="000D5022"/>
    <w:rsid w:val="000D51FB"/>
    <w:rsid w:val="000D572D"/>
    <w:rsid w:val="000D57DD"/>
    <w:rsid w:val="000D58BE"/>
    <w:rsid w:val="000D59F3"/>
    <w:rsid w:val="000D6590"/>
    <w:rsid w:val="000D6C21"/>
    <w:rsid w:val="000D7723"/>
    <w:rsid w:val="000D78CF"/>
    <w:rsid w:val="000D790F"/>
    <w:rsid w:val="000D7CA0"/>
    <w:rsid w:val="000D7CE8"/>
    <w:rsid w:val="000D7F28"/>
    <w:rsid w:val="000E0317"/>
    <w:rsid w:val="000E03F0"/>
    <w:rsid w:val="000E0640"/>
    <w:rsid w:val="000E0E26"/>
    <w:rsid w:val="000E135D"/>
    <w:rsid w:val="000E15FD"/>
    <w:rsid w:val="000E1C77"/>
    <w:rsid w:val="000E2BB6"/>
    <w:rsid w:val="000E2C33"/>
    <w:rsid w:val="000E3781"/>
    <w:rsid w:val="000E3B42"/>
    <w:rsid w:val="000E4C99"/>
    <w:rsid w:val="000E4D6B"/>
    <w:rsid w:val="000E65DB"/>
    <w:rsid w:val="000E67D8"/>
    <w:rsid w:val="000E6CA3"/>
    <w:rsid w:val="000E77C0"/>
    <w:rsid w:val="000F00BA"/>
    <w:rsid w:val="000F087D"/>
    <w:rsid w:val="000F0C76"/>
    <w:rsid w:val="000F1440"/>
    <w:rsid w:val="000F14F1"/>
    <w:rsid w:val="000F1526"/>
    <w:rsid w:val="000F1E18"/>
    <w:rsid w:val="000F206A"/>
    <w:rsid w:val="000F2BE6"/>
    <w:rsid w:val="000F2F83"/>
    <w:rsid w:val="000F312F"/>
    <w:rsid w:val="000F316A"/>
    <w:rsid w:val="000F3C74"/>
    <w:rsid w:val="000F3E56"/>
    <w:rsid w:val="000F4919"/>
    <w:rsid w:val="000F4BB8"/>
    <w:rsid w:val="000F4CA6"/>
    <w:rsid w:val="000F4FA9"/>
    <w:rsid w:val="000F506E"/>
    <w:rsid w:val="000F53FB"/>
    <w:rsid w:val="000F565B"/>
    <w:rsid w:val="000F5D6A"/>
    <w:rsid w:val="000F5ED8"/>
    <w:rsid w:val="000F6220"/>
    <w:rsid w:val="000F69B1"/>
    <w:rsid w:val="000F69DF"/>
    <w:rsid w:val="000F6FEF"/>
    <w:rsid w:val="000F7127"/>
    <w:rsid w:val="000F76BD"/>
    <w:rsid w:val="000F7B54"/>
    <w:rsid w:val="000F7CD3"/>
    <w:rsid w:val="001000B3"/>
    <w:rsid w:val="00100467"/>
    <w:rsid w:val="001004B7"/>
    <w:rsid w:val="00100F8A"/>
    <w:rsid w:val="00102C49"/>
    <w:rsid w:val="00102DEF"/>
    <w:rsid w:val="00103EC9"/>
    <w:rsid w:val="00104184"/>
    <w:rsid w:val="0010452E"/>
    <w:rsid w:val="00104864"/>
    <w:rsid w:val="00104A6D"/>
    <w:rsid w:val="00104AA7"/>
    <w:rsid w:val="0010514E"/>
    <w:rsid w:val="0010585D"/>
    <w:rsid w:val="00105A89"/>
    <w:rsid w:val="00105ADC"/>
    <w:rsid w:val="00105AE2"/>
    <w:rsid w:val="00105B59"/>
    <w:rsid w:val="00106091"/>
    <w:rsid w:val="001060C6"/>
    <w:rsid w:val="001062ED"/>
    <w:rsid w:val="001065CE"/>
    <w:rsid w:val="00106B80"/>
    <w:rsid w:val="00106D18"/>
    <w:rsid w:val="00107B14"/>
    <w:rsid w:val="0011032E"/>
    <w:rsid w:val="001104E8"/>
    <w:rsid w:val="001108D3"/>
    <w:rsid w:val="00110D4F"/>
    <w:rsid w:val="00111699"/>
    <w:rsid w:val="001119D2"/>
    <w:rsid w:val="00111EAB"/>
    <w:rsid w:val="00111FFB"/>
    <w:rsid w:val="0011348B"/>
    <w:rsid w:val="00113F34"/>
    <w:rsid w:val="001143C0"/>
    <w:rsid w:val="001154E6"/>
    <w:rsid w:val="00115945"/>
    <w:rsid w:val="00115982"/>
    <w:rsid w:val="00115EEF"/>
    <w:rsid w:val="00116C53"/>
    <w:rsid w:val="00116D51"/>
    <w:rsid w:val="00117070"/>
    <w:rsid w:val="00117732"/>
    <w:rsid w:val="00117A76"/>
    <w:rsid w:val="00117D76"/>
    <w:rsid w:val="0012048E"/>
    <w:rsid w:val="001208E0"/>
    <w:rsid w:val="00120A95"/>
    <w:rsid w:val="00121799"/>
    <w:rsid w:val="001220C6"/>
    <w:rsid w:val="001222FC"/>
    <w:rsid w:val="001224DD"/>
    <w:rsid w:val="0012264D"/>
    <w:rsid w:val="001229C5"/>
    <w:rsid w:val="0012378E"/>
    <w:rsid w:val="00123902"/>
    <w:rsid w:val="00123DDD"/>
    <w:rsid w:val="001240F4"/>
    <w:rsid w:val="001246EA"/>
    <w:rsid w:val="00124734"/>
    <w:rsid w:val="0012493B"/>
    <w:rsid w:val="00124A51"/>
    <w:rsid w:val="0012646F"/>
    <w:rsid w:val="00126562"/>
    <w:rsid w:val="001265CB"/>
    <w:rsid w:val="00126621"/>
    <w:rsid w:val="00126B1D"/>
    <w:rsid w:val="00127015"/>
    <w:rsid w:val="0012710D"/>
    <w:rsid w:val="00127123"/>
    <w:rsid w:val="001274F7"/>
    <w:rsid w:val="001278C4"/>
    <w:rsid w:val="001301E9"/>
    <w:rsid w:val="0013127E"/>
    <w:rsid w:val="0013131B"/>
    <w:rsid w:val="00131D82"/>
    <w:rsid w:val="00131ED7"/>
    <w:rsid w:val="00131F44"/>
    <w:rsid w:val="00131F68"/>
    <w:rsid w:val="0013273F"/>
    <w:rsid w:val="001329F7"/>
    <w:rsid w:val="00132B22"/>
    <w:rsid w:val="00132C9C"/>
    <w:rsid w:val="0013375E"/>
    <w:rsid w:val="00133D36"/>
    <w:rsid w:val="0013474A"/>
    <w:rsid w:val="00134A57"/>
    <w:rsid w:val="00134D43"/>
    <w:rsid w:val="00134F3B"/>
    <w:rsid w:val="001357CD"/>
    <w:rsid w:val="00135902"/>
    <w:rsid w:val="00135907"/>
    <w:rsid w:val="00135AB0"/>
    <w:rsid w:val="00136414"/>
    <w:rsid w:val="001365DE"/>
    <w:rsid w:val="0013702B"/>
    <w:rsid w:val="00137276"/>
    <w:rsid w:val="00137645"/>
    <w:rsid w:val="00137B5A"/>
    <w:rsid w:val="0014015A"/>
    <w:rsid w:val="00140183"/>
    <w:rsid w:val="0014067B"/>
    <w:rsid w:val="0014084C"/>
    <w:rsid w:val="00140E99"/>
    <w:rsid w:val="001413A4"/>
    <w:rsid w:val="001413BA"/>
    <w:rsid w:val="001428CD"/>
    <w:rsid w:val="00142AE5"/>
    <w:rsid w:val="00142BBE"/>
    <w:rsid w:val="00142F53"/>
    <w:rsid w:val="00143F67"/>
    <w:rsid w:val="00145234"/>
    <w:rsid w:val="00145540"/>
    <w:rsid w:val="001456B0"/>
    <w:rsid w:val="0014597E"/>
    <w:rsid w:val="001468BC"/>
    <w:rsid w:val="00146917"/>
    <w:rsid w:val="00146B2C"/>
    <w:rsid w:val="00150512"/>
    <w:rsid w:val="0015088B"/>
    <w:rsid w:val="001512F9"/>
    <w:rsid w:val="00151482"/>
    <w:rsid w:val="00151F2C"/>
    <w:rsid w:val="00152063"/>
    <w:rsid w:val="00152ED6"/>
    <w:rsid w:val="00153357"/>
    <w:rsid w:val="001534B3"/>
    <w:rsid w:val="00154042"/>
    <w:rsid w:val="001543AF"/>
    <w:rsid w:val="0015461A"/>
    <w:rsid w:val="00154624"/>
    <w:rsid w:val="001547AB"/>
    <w:rsid w:val="00154961"/>
    <w:rsid w:val="00154A47"/>
    <w:rsid w:val="00154B45"/>
    <w:rsid w:val="00155553"/>
    <w:rsid w:val="001562B1"/>
    <w:rsid w:val="001565CC"/>
    <w:rsid w:val="0015662D"/>
    <w:rsid w:val="00156F8F"/>
    <w:rsid w:val="001570D0"/>
    <w:rsid w:val="00157130"/>
    <w:rsid w:val="0015742A"/>
    <w:rsid w:val="001576B1"/>
    <w:rsid w:val="00157A62"/>
    <w:rsid w:val="00160196"/>
    <w:rsid w:val="0016047B"/>
    <w:rsid w:val="00160A4C"/>
    <w:rsid w:val="00160F40"/>
    <w:rsid w:val="00161435"/>
    <w:rsid w:val="0016154F"/>
    <w:rsid w:val="00161EA7"/>
    <w:rsid w:val="001620B7"/>
    <w:rsid w:val="00162167"/>
    <w:rsid w:val="0016225A"/>
    <w:rsid w:val="00162913"/>
    <w:rsid w:val="00162C61"/>
    <w:rsid w:val="00163363"/>
    <w:rsid w:val="001637DA"/>
    <w:rsid w:val="00163990"/>
    <w:rsid w:val="00163EFF"/>
    <w:rsid w:val="00163F66"/>
    <w:rsid w:val="0016478E"/>
    <w:rsid w:val="00164B2F"/>
    <w:rsid w:val="00164C7F"/>
    <w:rsid w:val="00164DDF"/>
    <w:rsid w:val="00165150"/>
    <w:rsid w:val="00165473"/>
    <w:rsid w:val="001655AB"/>
    <w:rsid w:val="00165AD7"/>
    <w:rsid w:val="00165E13"/>
    <w:rsid w:val="00165EC4"/>
    <w:rsid w:val="001661FB"/>
    <w:rsid w:val="00166A86"/>
    <w:rsid w:val="00166D3B"/>
    <w:rsid w:val="001670C2"/>
    <w:rsid w:val="0016719C"/>
    <w:rsid w:val="001671A0"/>
    <w:rsid w:val="0016767F"/>
    <w:rsid w:val="00167DC8"/>
    <w:rsid w:val="00167ED9"/>
    <w:rsid w:val="00167EF3"/>
    <w:rsid w:val="00170BEB"/>
    <w:rsid w:val="0017159D"/>
    <w:rsid w:val="0017161F"/>
    <w:rsid w:val="00171E65"/>
    <w:rsid w:val="00171F99"/>
    <w:rsid w:val="001723E9"/>
    <w:rsid w:val="00172C97"/>
    <w:rsid w:val="0017336A"/>
    <w:rsid w:val="00173565"/>
    <w:rsid w:val="00173629"/>
    <w:rsid w:val="00173B07"/>
    <w:rsid w:val="00174160"/>
    <w:rsid w:val="00174812"/>
    <w:rsid w:val="00174911"/>
    <w:rsid w:val="0017508F"/>
    <w:rsid w:val="001751FA"/>
    <w:rsid w:val="001751FE"/>
    <w:rsid w:val="001753C3"/>
    <w:rsid w:val="00175D96"/>
    <w:rsid w:val="00176109"/>
    <w:rsid w:val="001766F6"/>
    <w:rsid w:val="00176820"/>
    <w:rsid w:val="00176BDA"/>
    <w:rsid w:val="00177430"/>
    <w:rsid w:val="00177D78"/>
    <w:rsid w:val="0018017E"/>
    <w:rsid w:val="00180DDE"/>
    <w:rsid w:val="0018142C"/>
    <w:rsid w:val="00181C10"/>
    <w:rsid w:val="00181D9C"/>
    <w:rsid w:val="001821FF"/>
    <w:rsid w:val="00182A46"/>
    <w:rsid w:val="00182C9D"/>
    <w:rsid w:val="00182CD2"/>
    <w:rsid w:val="00182D95"/>
    <w:rsid w:val="0018360D"/>
    <w:rsid w:val="001837FF"/>
    <w:rsid w:val="00183935"/>
    <w:rsid w:val="00184B0E"/>
    <w:rsid w:val="00184D9F"/>
    <w:rsid w:val="00185D24"/>
    <w:rsid w:val="00185F42"/>
    <w:rsid w:val="00185F59"/>
    <w:rsid w:val="00186391"/>
    <w:rsid w:val="001864E4"/>
    <w:rsid w:val="00186817"/>
    <w:rsid w:val="00186D14"/>
    <w:rsid w:val="00187425"/>
    <w:rsid w:val="0018752F"/>
    <w:rsid w:val="001879AC"/>
    <w:rsid w:val="00187DEB"/>
    <w:rsid w:val="00187ED2"/>
    <w:rsid w:val="0019026B"/>
    <w:rsid w:val="00190617"/>
    <w:rsid w:val="001917F5"/>
    <w:rsid w:val="001928F2"/>
    <w:rsid w:val="00193443"/>
    <w:rsid w:val="0019381A"/>
    <w:rsid w:val="00193838"/>
    <w:rsid w:val="0019477B"/>
    <w:rsid w:val="001947C0"/>
    <w:rsid w:val="0019484F"/>
    <w:rsid w:val="00194AD8"/>
    <w:rsid w:val="00194EE9"/>
    <w:rsid w:val="00195222"/>
    <w:rsid w:val="00195452"/>
    <w:rsid w:val="00195E32"/>
    <w:rsid w:val="0019626C"/>
    <w:rsid w:val="001963C3"/>
    <w:rsid w:val="0019642F"/>
    <w:rsid w:val="00196764"/>
    <w:rsid w:val="0019687C"/>
    <w:rsid w:val="00196AEC"/>
    <w:rsid w:val="00196AF5"/>
    <w:rsid w:val="001975D8"/>
    <w:rsid w:val="00197713"/>
    <w:rsid w:val="00197973"/>
    <w:rsid w:val="001A0E13"/>
    <w:rsid w:val="001A178E"/>
    <w:rsid w:val="001A1B57"/>
    <w:rsid w:val="001A1F55"/>
    <w:rsid w:val="001A211D"/>
    <w:rsid w:val="001A27CF"/>
    <w:rsid w:val="001A2AAD"/>
    <w:rsid w:val="001A37CE"/>
    <w:rsid w:val="001A43FA"/>
    <w:rsid w:val="001A47C5"/>
    <w:rsid w:val="001A4DA5"/>
    <w:rsid w:val="001A4F4B"/>
    <w:rsid w:val="001A4FC9"/>
    <w:rsid w:val="001A565F"/>
    <w:rsid w:val="001A59FB"/>
    <w:rsid w:val="001A5E9E"/>
    <w:rsid w:val="001A6341"/>
    <w:rsid w:val="001A6354"/>
    <w:rsid w:val="001A6366"/>
    <w:rsid w:val="001A67B8"/>
    <w:rsid w:val="001A6DBA"/>
    <w:rsid w:val="001A6E41"/>
    <w:rsid w:val="001A74D2"/>
    <w:rsid w:val="001A7AE8"/>
    <w:rsid w:val="001B04EA"/>
    <w:rsid w:val="001B04FF"/>
    <w:rsid w:val="001B0645"/>
    <w:rsid w:val="001B0C7E"/>
    <w:rsid w:val="001B0C88"/>
    <w:rsid w:val="001B0D88"/>
    <w:rsid w:val="001B0F30"/>
    <w:rsid w:val="001B1BF7"/>
    <w:rsid w:val="001B204E"/>
    <w:rsid w:val="001B2102"/>
    <w:rsid w:val="001B2199"/>
    <w:rsid w:val="001B22C7"/>
    <w:rsid w:val="001B2372"/>
    <w:rsid w:val="001B23D6"/>
    <w:rsid w:val="001B27C1"/>
    <w:rsid w:val="001B2B6E"/>
    <w:rsid w:val="001B2FC5"/>
    <w:rsid w:val="001B33C2"/>
    <w:rsid w:val="001B3443"/>
    <w:rsid w:val="001B3A59"/>
    <w:rsid w:val="001B3DE7"/>
    <w:rsid w:val="001B3E7A"/>
    <w:rsid w:val="001B4130"/>
    <w:rsid w:val="001B476D"/>
    <w:rsid w:val="001B4791"/>
    <w:rsid w:val="001B48A3"/>
    <w:rsid w:val="001B4D20"/>
    <w:rsid w:val="001B4DB2"/>
    <w:rsid w:val="001B4E30"/>
    <w:rsid w:val="001B56E6"/>
    <w:rsid w:val="001B5FA4"/>
    <w:rsid w:val="001B7F1A"/>
    <w:rsid w:val="001B7F84"/>
    <w:rsid w:val="001C0134"/>
    <w:rsid w:val="001C06C7"/>
    <w:rsid w:val="001C106E"/>
    <w:rsid w:val="001C132A"/>
    <w:rsid w:val="001C1672"/>
    <w:rsid w:val="001C222F"/>
    <w:rsid w:val="001C23C9"/>
    <w:rsid w:val="001C24CD"/>
    <w:rsid w:val="001C2763"/>
    <w:rsid w:val="001C2A9B"/>
    <w:rsid w:val="001C3C5D"/>
    <w:rsid w:val="001C3DD6"/>
    <w:rsid w:val="001C4299"/>
    <w:rsid w:val="001C4874"/>
    <w:rsid w:val="001C4E98"/>
    <w:rsid w:val="001C575B"/>
    <w:rsid w:val="001C5BA8"/>
    <w:rsid w:val="001C5F94"/>
    <w:rsid w:val="001C61AB"/>
    <w:rsid w:val="001C6332"/>
    <w:rsid w:val="001C64D6"/>
    <w:rsid w:val="001C663B"/>
    <w:rsid w:val="001C6E66"/>
    <w:rsid w:val="001C6FAC"/>
    <w:rsid w:val="001C7987"/>
    <w:rsid w:val="001C7E79"/>
    <w:rsid w:val="001C7E98"/>
    <w:rsid w:val="001D0ED9"/>
    <w:rsid w:val="001D1100"/>
    <w:rsid w:val="001D1391"/>
    <w:rsid w:val="001D139B"/>
    <w:rsid w:val="001D1F92"/>
    <w:rsid w:val="001D226F"/>
    <w:rsid w:val="001D25D7"/>
    <w:rsid w:val="001D2C75"/>
    <w:rsid w:val="001D38C9"/>
    <w:rsid w:val="001D3CB6"/>
    <w:rsid w:val="001D4087"/>
    <w:rsid w:val="001D4E70"/>
    <w:rsid w:val="001D50B2"/>
    <w:rsid w:val="001D5F75"/>
    <w:rsid w:val="001D639A"/>
    <w:rsid w:val="001D7060"/>
    <w:rsid w:val="001D71F4"/>
    <w:rsid w:val="001D7645"/>
    <w:rsid w:val="001D7942"/>
    <w:rsid w:val="001D7B79"/>
    <w:rsid w:val="001E050B"/>
    <w:rsid w:val="001E0BAE"/>
    <w:rsid w:val="001E0CD8"/>
    <w:rsid w:val="001E183B"/>
    <w:rsid w:val="001E1E86"/>
    <w:rsid w:val="001E238E"/>
    <w:rsid w:val="001E2483"/>
    <w:rsid w:val="001E2817"/>
    <w:rsid w:val="001E28A5"/>
    <w:rsid w:val="001E2929"/>
    <w:rsid w:val="001E2B1E"/>
    <w:rsid w:val="001E2BC2"/>
    <w:rsid w:val="001E2CFF"/>
    <w:rsid w:val="001E2F24"/>
    <w:rsid w:val="001E30D4"/>
    <w:rsid w:val="001E34DF"/>
    <w:rsid w:val="001E40CF"/>
    <w:rsid w:val="001E474C"/>
    <w:rsid w:val="001E47CF"/>
    <w:rsid w:val="001E4BF4"/>
    <w:rsid w:val="001E52EB"/>
    <w:rsid w:val="001E5C92"/>
    <w:rsid w:val="001E61D2"/>
    <w:rsid w:val="001E6565"/>
    <w:rsid w:val="001E70A8"/>
    <w:rsid w:val="001E740C"/>
    <w:rsid w:val="001E77A3"/>
    <w:rsid w:val="001E7B56"/>
    <w:rsid w:val="001F026B"/>
    <w:rsid w:val="001F1235"/>
    <w:rsid w:val="001F133B"/>
    <w:rsid w:val="001F1AF2"/>
    <w:rsid w:val="001F1CB3"/>
    <w:rsid w:val="001F2A28"/>
    <w:rsid w:val="001F33B0"/>
    <w:rsid w:val="001F37C5"/>
    <w:rsid w:val="001F38B5"/>
    <w:rsid w:val="001F3E51"/>
    <w:rsid w:val="001F4081"/>
    <w:rsid w:val="001F4303"/>
    <w:rsid w:val="001F5105"/>
    <w:rsid w:val="001F532C"/>
    <w:rsid w:val="001F5C2C"/>
    <w:rsid w:val="001F63B2"/>
    <w:rsid w:val="001F6AD2"/>
    <w:rsid w:val="001F6CD3"/>
    <w:rsid w:val="001F710D"/>
    <w:rsid w:val="001F7361"/>
    <w:rsid w:val="001F9936"/>
    <w:rsid w:val="00200027"/>
    <w:rsid w:val="002004EE"/>
    <w:rsid w:val="002011B0"/>
    <w:rsid w:val="00201AE3"/>
    <w:rsid w:val="00201C78"/>
    <w:rsid w:val="00202081"/>
    <w:rsid w:val="00203181"/>
    <w:rsid w:val="00203783"/>
    <w:rsid w:val="0020385F"/>
    <w:rsid w:val="00203ADB"/>
    <w:rsid w:val="00203F57"/>
    <w:rsid w:val="002044B0"/>
    <w:rsid w:val="002046A5"/>
    <w:rsid w:val="00204772"/>
    <w:rsid w:val="002055C5"/>
    <w:rsid w:val="00205718"/>
    <w:rsid w:val="00205EB2"/>
    <w:rsid w:val="00206073"/>
    <w:rsid w:val="002068A0"/>
    <w:rsid w:val="00206BFF"/>
    <w:rsid w:val="00207021"/>
    <w:rsid w:val="0020732F"/>
    <w:rsid w:val="002075C7"/>
    <w:rsid w:val="002076DF"/>
    <w:rsid w:val="00207D00"/>
    <w:rsid w:val="00210107"/>
    <w:rsid w:val="0021059F"/>
    <w:rsid w:val="002105C1"/>
    <w:rsid w:val="0021071B"/>
    <w:rsid w:val="00210BD8"/>
    <w:rsid w:val="002111FE"/>
    <w:rsid w:val="00211358"/>
    <w:rsid w:val="002116FD"/>
    <w:rsid w:val="00211A65"/>
    <w:rsid w:val="002124D1"/>
    <w:rsid w:val="0021281C"/>
    <w:rsid w:val="00212974"/>
    <w:rsid w:val="00212C27"/>
    <w:rsid w:val="00212C68"/>
    <w:rsid w:val="0021310C"/>
    <w:rsid w:val="00213C03"/>
    <w:rsid w:val="00213CB4"/>
    <w:rsid w:val="00213EF5"/>
    <w:rsid w:val="00213FFA"/>
    <w:rsid w:val="0021521D"/>
    <w:rsid w:val="00215C91"/>
    <w:rsid w:val="00215F78"/>
    <w:rsid w:val="00216216"/>
    <w:rsid w:val="00216486"/>
    <w:rsid w:val="002167C9"/>
    <w:rsid w:val="00216BF5"/>
    <w:rsid w:val="0021700E"/>
    <w:rsid w:val="00217028"/>
    <w:rsid w:val="00217286"/>
    <w:rsid w:val="0021750A"/>
    <w:rsid w:val="002178A9"/>
    <w:rsid w:val="00217914"/>
    <w:rsid w:val="00217A51"/>
    <w:rsid w:val="00217BE2"/>
    <w:rsid w:val="00217CD2"/>
    <w:rsid w:val="0022022A"/>
    <w:rsid w:val="00220E03"/>
    <w:rsid w:val="00220EAA"/>
    <w:rsid w:val="00221726"/>
    <w:rsid w:val="0022191D"/>
    <w:rsid w:val="00221ED1"/>
    <w:rsid w:val="00223542"/>
    <w:rsid w:val="00223B49"/>
    <w:rsid w:val="00223CCC"/>
    <w:rsid w:val="00223D13"/>
    <w:rsid w:val="00223D5A"/>
    <w:rsid w:val="00223FB0"/>
    <w:rsid w:val="00224DD4"/>
    <w:rsid w:val="0022544E"/>
    <w:rsid w:val="002257D2"/>
    <w:rsid w:val="00226596"/>
    <w:rsid w:val="0022706B"/>
    <w:rsid w:val="00227350"/>
    <w:rsid w:val="00227412"/>
    <w:rsid w:val="002275ED"/>
    <w:rsid w:val="002278A0"/>
    <w:rsid w:val="002309CC"/>
    <w:rsid w:val="00230F6D"/>
    <w:rsid w:val="00231336"/>
    <w:rsid w:val="002314F2"/>
    <w:rsid w:val="002315DF"/>
    <w:rsid w:val="002317BA"/>
    <w:rsid w:val="00231BA9"/>
    <w:rsid w:val="0023209F"/>
    <w:rsid w:val="0023213F"/>
    <w:rsid w:val="00232A4D"/>
    <w:rsid w:val="00232E4B"/>
    <w:rsid w:val="00233279"/>
    <w:rsid w:val="00233AE4"/>
    <w:rsid w:val="00233C01"/>
    <w:rsid w:val="0023413C"/>
    <w:rsid w:val="002346F0"/>
    <w:rsid w:val="00234A4A"/>
    <w:rsid w:val="00234B39"/>
    <w:rsid w:val="00235571"/>
    <w:rsid w:val="002358A7"/>
    <w:rsid w:val="002359F0"/>
    <w:rsid w:val="00236131"/>
    <w:rsid w:val="0023629D"/>
    <w:rsid w:val="00237255"/>
    <w:rsid w:val="002373F8"/>
    <w:rsid w:val="00237A0B"/>
    <w:rsid w:val="002409E4"/>
    <w:rsid w:val="00240FCE"/>
    <w:rsid w:val="0024178E"/>
    <w:rsid w:val="00241B73"/>
    <w:rsid w:val="00241F9E"/>
    <w:rsid w:val="002424AF"/>
    <w:rsid w:val="00242775"/>
    <w:rsid w:val="00243437"/>
    <w:rsid w:val="002435FF"/>
    <w:rsid w:val="002439DC"/>
    <w:rsid w:val="002441D2"/>
    <w:rsid w:val="00244908"/>
    <w:rsid w:val="00244DC8"/>
    <w:rsid w:val="002458BA"/>
    <w:rsid w:val="00245CE9"/>
    <w:rsid w:val="00245F70"/>
    <w:rsid w:val="0024612F"/>
    <w:rsid w:val="0024636C"/>
    <w:rsid w:val="0024687D"/>
    <w:rsid w:val="00246957"/>
    <w:rsid w:val="00247839"/>
    <w:rsid w:val="00247925"/>
    <w:rsid w:val="00247B54"/>
    <w:rsid w:val="00250161"/>
    <w:rsid w:val="00250CDD"/>
    <w:rsid w:val="00250D4C"/>
    <w:rsid w:val="00251006"/>
    <w:rsid w:val="002511E6"/>
    <w:rsid w:val="002515D3"/>
    <w:rsid w:val="00251A1F"/>
    <w:rsid w:val="002524D5"/>
    <w:rsid w:val="0025271E"/>
    <w:rsid w:val="00252E55"/>
    <w:rsid w:val="00253345"/>
    <w:rsid w:val="002535EE"/>
    <w:rsid w:val="002536EB"/>
    <w:rsid w:val="00253AA9"/>
    <w:rsid w:val="00253B1D"/>
    <w:rsid w:val="00253E27"/>
    <w:rsid w:val="002543CB"/>
    <w:rsid w:val="00254973"/>
    <w:rsid w:val="00254DCF"/>
    <w:rsid w:val="00254F5A"/>
    <w:rsid w:val="0025534B"/>
    <w:rsid w:val="00255486"/>
    <w:rsid w:val="00255918"/>
    <w:rsid w:val="00255BB7"/>
    <w:rsid w:val="00256356"/>
    <w:rsid w:val="00256FCA"/>
    <w:rsid w:val="00257541"/>
    <w:rsid w:val="002578DB"/>
    <w:rsid w:val="00257A39"/>
    <w:rsid w:val="00257ABF"/>
    <w:rsid w:val="00257AC4"/>
    <w:rsid w:val="00257ACC"/>
    <w:rsid w:val="00257BBE"/>
    <w:rsid w:val="00257DDF"/>
    <w:rsid w:val="002602F4"/>
    <w:rsid w:val="00260374"/>
    <w:rsid w:val="00260434"/>
    <w:rsid w:val="00261973"/>
    <w:rsid w:val="00261CCC"/>
    <w:rsid w:val="00261EEF"/>
    <w:rsid w:val="00262090"/>
    <w:rsid w:val="0026271A"/>
    <w:rsid w:val="002627C4"/>
    <w:rsid w:val="00262816"/>
    <w:rsid w:val="00262A1A"/>
    <w:rsid w:val="00262A87"/>
    <w:rsid w:val="00262D05"/>
    <w:rsid w:val="00263AF0"/>
    <w:rsid w:val="00264669"/>
    <w:rsid w:val="00264D26"/>
    <w:rsid w:val="00265442"/>
    <w:rsid w:val="0026559C"/>
    <w:rsid w:val="00265BB9"/>
    <w:rsid w:val="0026652D"/>
    <w:rsid w:val="00266D6B"/>
    <w:rsid w:val="0026710B"/>
    <w:rsid w:val="00267642"/>
    <w:rsid w:val="00267AEA"/>
    <w:rsid w:val="00267C9D"/>
    <w:rsid w:val="002700E6"/>
    <w:rsid w:val="00270441"/>
    <w:rsid w:val="00270999"/>
    <w:rsid w:val="00270DCE"/>
    <w:rsid w:val="00271224"/>
    <w:rsid w:val="00271480"/>
    <w:rsid w:val="00272595"/>
    <w:rsid w:val="0027294B"/>
    <w:rsid w:val="00273318"/>
    <w:rsid w:val="00273EB4"/>
    <w:rsid w:val="0027402C"/>
    <w:rsid w:val="002743B0"/>
    <w:rsid w:val="00274682"/>
    <w:rsid w:val="00274BAA"/>
    <w:rsid w:val="00275158"/>
    <w:rsid w:val="0027516F"/>
    <w:rsid w:val="00275354"/>
    <w:rsid w:val="002755BA"/>
    <w:rsid w:val="00275C5A"/>
    <w:rsid w:val="00275DC1"/>
    <w:rsid w:val="00275FEF"/>
    <w:rsid w:val="002761DA"/>
    <w:rsid w:val="00276307"/>
    <w:rsid w:val="002766F0"/>
    <w:rsid w:val="00276D77"/>
    <w:rsid w:val="00276DF4"/>
    <w:rsid w:val="00276DFC"/>
    <w:rsid w:val="00276F67"/>
    <w:rsid w:val="00276F6E"/>
    <w:rsid w:val="002779BF"/>
    <w:rsid w:val="00277A91"/>
    <w:rsid w:val="00280F56"/>
    <w:rsid w:val="00281014"/>
    <w:rsid w:val="0028154B"/>
    <w:rsid w:val="002818E9"/>
    <w:rsid w:val="00282030"/>
    <w:rsid w:val="0028233E"/>
    <w:rsid w:val="00282982"/>
    <w:rsid w:val="0028336D"/>
    <w:rsid w:val="00283E0E"/>
    <w:rsid w:val="00284072"/>
    <w:rsid w:val="0028430C"/>
    <w:rsid w:val="0028487A"/>
    <w:rsid w:val="0028492F"/>
    <w:rsid w:val="00284CAE"/>
    <w:rsid w:val="00285028"/>
    <w:rsid w:val="00285BC9"/>
    <w:rsid w:val="00285BCE"/>
    <w:rsid w:val="00285E1C"/>
    <w:rsid w:val="00285F6F"/>
    <w:rsid w:val="0028665D"/>
    <w:rsid w:val="002867DC"/>
    <w:rsid w:val="00286BF8"/>
    <w:rsid w:val="00290315"/>
    <w:rsid w:val="00290FDD"/>
    <w:rsid w:val="002914AE"/>
    <w:rsid w:val="00291510"/>
    <w:rsid w:val="00291605"/>
    <w:rsid w:val="00291941"/>
    <w:rsid w:val="00292A8E"/>
    <w:rsid w:val="00292BB7"/>
    <w:rsid w:val="00293971"/>
    <w:rsid w:val="00293BE6"/>
    <w:rsid w:val="00293ED5"/>
    <w:rsid w:val="00294D1F"/>
    <w:rsid w:val="00294FA5"/>
    <w:rsid w:val="00294FA8"/>
    <w:rsid w:val="00295246"/>
    <w:rsid w:val="00295781"/>
    <w:rsid w:val="00295A43"/>
    <w:rsid w:val="00296A99"/>
    <w:rsid w:val="0029756E"/>
    <w:rsid w:val="0029762A"/>
    <w:rsid w:val="00297D06"/>
    <w:rsid w:val="002A0BBB"/>
    <w:rsid w:val="002A0F8C"/>
    <w:rsid w:val="002A14AB"/>
    <w:rsid w:val="002A1AA5"/>
    <w:rsid w:val="002A1C47"/>
    <w:rsid w:val="002A1DCE"/>
    <w:rsid w:val="002A271F"/>
    <w:rsid w:val="002A2ADE"/>
    <w:rsid w:val="002A2F50"/>
    <w:rsid w:val="002A45A9"/>
    <w:rsid w:val="002A469F"/>
    <w:rsid w:val="002A4BE5"/>
    <w:rsid w:val="002A5004"/>
    <w:rsid w:val="002A5F40"/>
    <w:rsid w:val="002A67E2"/>
    <w:rsid w:val="002A6CC7"/>
    <w:rsid w:val="002A7943"/>
    <w:rsid w:val="002B0194"/>
    <w:rsid w:val="002B05A1"/>
    <w:rsid w:val="002B0654"/>
    <w:rsid w:val="002B06D0"/>
    <w:rsid w:val="002B074D"/>
    <w:rsid w:val="002B09A4"/>
    <w:rsid w:val="002B119E"/>
    <w:rsid w:val="002B1A77"/>
    <w:rsid w:val="002B1C1F"/>
    <w:rsid w:val="002B2501"/>
    <w:rsid w:val="002B26F9"/>
    <w:rsid w:val="002B2878"/>
    <w:rsid w:val="002B336C"/>
    <w:rsid w:val="002B365D"/>
    <w:rsid w:val="002B379F"/>
    <w:rsid w:val="002B3A89"/>
    <w:rsid w:val="002B404C"/>
    <w:rsid w:val="002B432F"/>
    <w:rsid w:val="002B62B3"/>
    <w:rsid w:val="002B6754"/>
    <w:rsid w:val="002B68AA"/>
    <w:rsid w:val="002B6CCE"/>
    <w:rsid w:val="002B741B"/>
    <w:rsid w:val="002C01EA"/>
    <w:rsid w:val="002C02EB"/>
    <w:rsid w:val="002C05C1"/>
    <w:rsid w:val="002C0FBA"/>
    <w:rsid w:val="002C1231"/>
    <w:rsid w:val="002C12A2"/>
    <w:rsid w:val="002C2510"/>
    <w:rsid w:val="002C2775"/>
    <w:rsid w:val="002C27C1"/>
    <w:rsid w:val="002C2958"/>
    <w:rsid w:val="002C35A3"/>
    <w:rsid w:val="002C36E3"/>
    <w:rsid w:val="002C3CFE"/>
    <w:rsid w:val="002C4478"/>
    <w:rsid w:val="002C4D7B"/>
    <w:rsid w:val="002C5099"/>
    <w:rsid w:val="002C5533"/>
    <w:rsid w:val="002C584E"/>
    <w:rsid w:val="002C5889"/>
    <w:rsid w:val="002C5C19"/>
    <w:rsid w:val="002C6253"/>
    <w:rsid w:val="002C67DC"/>
    <w:rsid w:val="002C6E5E"/>
    <w:rsid w:val="002C6FC3"/>
    <w:rsid w:val="002C7092"/>
    <w:rsid w:val="002C71CE"/>
    <w:rsid w:val="002D0087"/>
    <w:rsid w:val="002D08F8"/>
    <w:rsid w:val="002D112D"/>
    <w:rsid w:val="002D12BE"/>
    <w:rsid w:val="002D1DAD"/>
    <w:rsid w:val="002D239D"/>
    <w:rsid w:val="002D286C"/>
    <w:rsid w:val="002D290D"/>
    <w:rsid w:val="002D291C"/>
    <w:rsid w:val="002D32BC"/>
    <w:rsid w:val="002D45AD"/>
    <w:rsid w:val="002D4A74"/>
    <w:rsid w:val="002D4D9E"/>
    <w:rsid w:val="002D4E98"/>
    <w:rsid w:val="002D56A7"/>
    <w:rsid w:val="002D577C"/>
    <w:rsid w:val="002D5EE9"/>
    <w:rsid w:val="002D6B68"/>
    <w:rsid w:val="002D7416"/>
    <w:rsid w:val="002D7832"/>
    <w:rsid w:val="002D7CD1"/>
    <w:rsid w:val="002E0173"/>
    <w:rsid w:val="002E0A6F"/>
    <w:rsid w:val="002E0D90"/>
    <w:rsid w:val="002E1071"/>
    <w:rsid w:val="002E15B9"/>
    <w:rsid w:val="002E1D7C"/>
    <w:rsid w:val="002E1E97"/>
    <w:rsid w:val="002E2158"/>
    <w:rsid w:val="002E255C"/>
    <w:rsid w:val="002E2886"/>
    <w:rsid w:val="002E2D87"/>
    <w:rsid w:val="002E2E16"/>
    <w:rsid w:val="002E3036"/>
    <w:rsid w:val="002E317E"/>
    <w:rsid w:val="002E3219"/>
    <w:rsid w:val="002E34BF"/>
    <w:rsid w:val="002E3A93"/>
    <w:rsid w:val="002E4496"/>
    <w:rsid w:val="002E44E6"/>
    <w:rsid w:val="002E4986"/>
    <w:rsid w:val="002E4F02"/>
    <w:rsid w:val="002E580C"/>
    <w:rsid w:val="002E62EA"/>
    <w:rsid w:val="002E637D"/>
    <w:rsid w:val="002E7722"/>
    <w:rsid w:val="002E7D95"/>
    <w:rsid w:val="002E7F57"/>
    <w:rsid w:val="002F0015"/>
    <w:rsid w:val="002F07BA"/>
    <w:rsid w:val="002F0DA9"/>
    <w:rsid w:val="002F1014"/>
    <w:rsid w:val="002F1458"/>
    <w:rsid w:val="002F1680"/>
    <w:rsid w:val="002F1A4D"/>
    <w:rsid w:val="002F1AF6"/>
    <w:rsid w:val="002F1E3B"/>
    <w:rsid w:val="002F21AD"/>
    <w:rsid w:val="002F23C9"/>
    <w:rsid w:val="002F331A"/>
    <w:rsid w:val="002F36F9"/>
    <w:rsid w:val="002F39D1"/>
    <w:rsid w:val="002F3DFF"/>
    <w:rsid w:val="002F4193"/>
    <w:rsid w:val="002F42BB"/>
    <w:rsid w:val="002F5434"/>
    <w:rsid w:val="002F63AA"/>
    <w:rsid w:val="002F643C"/>
    <w:rsid w:val="002F66BD"/>
    <w:rsid w:val="002F6762"/>
    <w:rsid w:val="002F6C74"/>
    <w:rsid w:val="002F6D49"/>
    <w:rsid w:val="002F71C0"/>
    <w:rsid w:val="002F7495"/>
    <w:rsid w:val="002F74F1"/>
    <w:rsid w:val="002F777A"/>
    <w:rsid w:val="002F7B69"/>
    <w:rsid w:val="002F7D3C"/>
    <w:rsid w:val="003008A1"/>
    <w:rsid w:val="00300C0D"/>
    <w:rsid w:val="00301017"/>
    <w:rsid w:val="0030155F"/>
    <w:rsid w:val="00302591"/>
    <w:rsid w:val="00303072"/>
    <w:rsid w:val="003036CD"/>
    <w:rsid w:val="00303A55"/>
    <w:rsid w:val="003043DF"/>
    <w:rsid w:val="00305642"/>
    <w:rsid w:val="0030587B"/>
    <w:rsid w:val="00305B3C"/>
    <w:rsid w:val="00305B3E"/>
    <w:rsid w:val="00305D04"/>
    <w:rsid w:val="00306D98"/>
    <w:rsid w:val="00306FBA"/>
    <w:rsid w:val="003071EE"/>
    <w:rsid w:val="0030786C"/>
    <w:rsid w:val="0031031A"/>
    <w:rsid w:val="0031046E"/>
    <w:rsid w:val="00310981"/>
    <w:rsid w:val="00311463"/>
    <w:rsid w:val="00311D9B"/>
    <w:rsid w:val="0031214B"/>
    <w:rsid w:val="003124D9"/>
    <w:rsid w:val="00312534"/>
    <w:rsid w:val="00312594"/>
    <w:rsid w:val="00312E62"/>
    <w:rsid w:val="00313ABF"/>
    <w:rsid w:val="00314390"/>
    <w:rsid w:val="00314460"/>
    <w:rsid w:val="00315498"/>
    <w:rsid w:val="00316289"/>
    <w:rsid w:val="00316474"/>
    <w:rsid w:val="003164EA"/>
    <w:rsid w:val="00316523"/>
    <w:rsid w:val="00316E00"/>
    <w:rsid w:val="00316E13"/>
    <w:rsid w:val="00317203"/>
    <w:rsid w:val="0031767A"/>
    <w:rsid w:val="0032012D"/>
    <w:rsid w:val="003202E6"/>
    <w:rsid w:val="00320423"/>
    <w:rsid w:val="003213EF"/>
    <w:rsid w:val="00321E1E"/>
    <w:rsid w:val="00322107"/>
    <w:rsid w:val="00322355"/>
    <w:rsid w:val="00322846"/>
    <w:rsid w:val="00322849"/>
    <w:rsid w:val="00322CC5"/>
    <w:rsid w:val="00323050"/>
    <w:rsid w:val="003233C6"/>
    <w:rsid w:val="00323F23"/>
    <w:rsid w:val="0032486A"/>
    <w:rsid w:val="00324941"/>
    <w:rsid w:val="00324982"/>
    <w:rsid w:val="00324C39"/>
    <w:rsid w:val="00325550"/>
    <w:rsid w:val="00325998"/>
    <w:rsid w:val="00325A63"/>
    <w:rsid w:val="00325E5E"/>
    <w:rsid w:val="00326105"/>
    <w:rsid w:val="00326133"/>
    <w:rsid w:val="003262CA"/>
    <w:rsid w:val="003266C7"/>
    <w:rsid w:val="00326DA7"/>
    <w:rsid w:val="003270E4"/>
    <w:rsid w:val="003273CA"/>
    <w:rsid w:val="00327471"/>
    <w:rsid w:val="00327D22"/>
    <w:rsid w:val="00330DAA"/>
    <w:rsid w:val="00330F5C"/>
    <w:rsid w:val="00332B63"/>
    <w:rsid w:val="00332EFB"/>
    <w:rsid w:val="00333023"/>
    <w:rsid w:val="003349A9"/>
    <w:rsid w:val="00334CAE"/>
    <w:rsid w:val="00335EF7"/>
    <w:rsid w:val="00335FB2"/>
    <w:rsid w:val="003362D7"/>
    <w:rsid w:val="003366C9"/>
    <w:rsid w:val="00336F6B"/>
    <w:rsid w:val="0033706F"/>
    <w:rsid w:val="003371B0"/>
    <w:rsid w:val="003372C3"/>
    <w:rsid w:val="0033732D"/>
    <w:rsid w:val="0034044B"/>
    <w:rsid w:val="003405E9"/>
    <w:rsid w:val="003408C2"/>
    <w:rsid w:val="00340DF1"/>
    <w:rsid w:val="00341305"/>
    <w:rsid w:val="003418C2"/>
    <w:rsid w:val="00342345"/>
    <w:rsid w:val="003423DF"/>
    <w:rsid w:val="00343229"/>
    <w:rsid w:val="00344344"/>
    <w:rsid w:val="003446A7"/>
    <w:rsid w:val="0034476B"/>
    <w:rsid w:val="003447BA"/>
    <w:rsid w:val="00345417"/>
    <w:rsid w:val="00345B2E"/>
    <w:rsid w:val="00345B4F"/>
    <w:rsid w:val="00345C3D"/>
    <w:rsid w:val="003461DF"/>
    <w:rsid w:val="00346C7F"/>
    <w:rsid w:val="003471C0"/>
    <w:rsid w:val="00347BA1"/>
    <w:rsid w:val="00350FB0"/>
    <w:rsid w:val="003517F9"/>
    <w:rsid w:val="00351BA9"/>
    <w:rsid w:val="003520B4"/>
    <w:rsid w:val="003524E6"/>
    <w:rsid w:val="003526F8"/>
    <w:rsid w:val="003528FE"/>
    <w:rsid w:val="0035299E"/>
    <w:rsid w:val="00352E5D"/>
    <w:rsid w:val="00352FCC"/>
    <w:rsid w:val="003543BE"/>
    <w:rsid w:val="003549CF"/>
    <w:rsid w:val="00354A98"/>
    <w:rsid w:val="00354D16"/>
    <w:rsid w:val="00354F64"/>
    <w:rsid w:val="0035532E"/>
    <w:rsid w:val="00355342"/>
    <w:rsid w:val="003559CB"/>
    <w:rsid w:val="0035620E"/>
    <w:rsid w:val="0035667F"/>
    <w:rsid w:val="00356A08"/>
    <w:rsid w:val="00356CD2"/>
    <w:rsid w:val="00357563"/>
    <w:rsid w:val="003575BE"/>
    <w:rsid w:val="0035788B"/>
    <w:rsid w:val="00360146"/>
    <w:rsid w:val="00360345"/>
    <w:rsid w:val="0036065D"/>
    <w:rsid w:val="003619DD"/>
    <w:rsid w:val="00361A05"/>
    <w:rsid w:val="00361ED1"/>
    <w:rsid w:val="003624C4"/>
    <w:rsid w:val="003628C4"/>
    <w:rsid w:val="00362FD6"/>
    <w:rsid w:val="00363932"/>
    <w:rsid w:val="00363B00"/>
    <w:rsid w:val="0036497E"/>
    <w:rsid w:val="00364A26"/>
    <w:rsid w:val="00364ADF"/>
    <w:rsid w:val="003653B0"/>
    <w:rsid w:val="003654AC"/>
    <w:rsid w:val="00365503"/>
    <w:rsid w:val="00365693"/>
    <w:rsid w:val="003656BA"/>
    <w:rsid w:val="00365BA3"/>
    <w:rsid w:val="0036652A"/>
    <w:rsid w:val="00366758"/>
    <w:rsid w:val="00366CDE"/>
    <w:rsid w:val="00367043"/>
    <w:rsid w:val="0037089E"/>
    <w:rsid w:val="00370E05"/>
    <w:rsid w:val="003710AD"/>
    <w:rsid w:val="003710CF"/>
    <w:rsid w:val="0037258C"/>
    <w:rsid w:val="00372D7C"/>
    <w:rsid w:val="00372E65"/>
    <w:rsid w:val="0037306B"/>
    <w:rsid w:val="00373265"/>
    <w:rsid w:val="00373293"/>
    <w:rsid w:val="0037358A"/>
    <w:rsid w:val="00373914"/>
    <w:rsid w:val="0037473E"/>
    <w:rsid w:val="00374948"/>
    <w:rsid w:val="003749D6"/>
    <w:rsid w:val="00374C32"/>
    <w:rsid w:val="003750F6"/>
    <w:rsid w:val="003760FC"/>
    <w:rsid w:val="00376907"/>
    <w:rsid w:val="0037708D"/>
    <w:rsid w:val="00377A20"/>
    <w:rsid w:val="00380286"/>
    <w:rsid w:val="003809F4"/>
    <w:rsid w:val="00380B52"/>
    <w:rsid w:val="003811CC"/>
    <w:rsid w:val="00381485"/>
    <w:rsid w:val="0038153B"/>
    <w:rsid w:val="003816A3"/>
    <w:rsid w:val="00381B55"/>
    <w:rsid w:val="00381DDB"/>
    <w:rsid w:val="00381E70"/>
    <w:rsid w:val="0038222A"/>
    <w:rsid w:val="00383119"/>
    <w:rsid w:val="0038365C"/>
    <w:rsid w:val="0038369B"/>
    <w:rsid w:val="00383772"/>
    <w:rsid w:val="00383B78"/>
    <w:rsid w:val="003845EA"/>
    <w:rsid w:val="00384F19"/>
    <w:rsid w:val="00384FE5"/>
    <w:rsid w:val="00385217"/>
    <w:rsid w:val="003853F9"/>
    <w:rsid w:val="003859EA"/>
    <w:rsid w:val="00385A9D"/>
    <w:rsid w:val="00385E5D"/>
    <w:rsid w:val="00385F20"/>
    <w:rsid w:val="00386261"/>
    <w:rsid w:val="00387121"/>
    <w:rsid w:val="00387838"/>
    <w:rsid w:val="00387DFA"/>
    <w:rsid w:val="00387DFB"/>
    <w:rsid w:val="00390292"/>
    <w:rsid w:val="003902B1"/>
    <w:rsid w:val="003903F2"/>
    <w:rsid w:val="00390890"/>
    <w:rsid w:val="00390B86"/>
    <w:rsid w:val="00390DE5"/>
    <w:rsid w:val="003911D8"/>
    <w:rsid w:val="0039144E"/>
    <w:rsid w:val="0039179C"/>
    <w:rsid w:val="00391CFA"/>
    <w:rsid w:val="0039232D"/>
    <w:rsid w:val="003923B0"/>
    <w:rsid w:val="00392B9F"/>
    <w:rsid w:val="00392FD7"/>
    <w:rsid w:val="003936DB"/>
    <w:rsid w:val="00394049"/>
    <w:rsid w:val="00394E7E"/>
    <w:rsid w:val="00395175"/>
    <w:rsid w:val="0039534B"/>
    <w:rsid w:val="00396253"/>
    <w:rsid w:val="00396723"/>
    <w:rsid w:val="00396896"/>
    <w:rsid w:val="0039698A"/>
    <w:rsid w:val="00396FD0"/>
    <w:rsid w:val="003971B7"/>
    <w:rsid w:val="003973E2"/>
    <w:rsid w:val="003976C4"/>
    <w:rsid w:val="003A0056"/>
    <w:rsid w:val="003A1A7A"/>
    <w:rsid w:val="003A1D25"/>
    <w:rsid w:val="003A1ED6"/>
    <w:rsid w:val="003A2392"/>
    <w:rsid w:val="003A2831"/>
    <w:rsid w:val="003A3CB6"/>
    <w:rsid w:val="003A3E72"/>
    <w:rsid w:val="003A3ED1"/>
    <w:rsid w:val="003A4256"/>
    <w:rsid w:val="003A44DB"/>
    <w:rsid w:val="003A4705"/>
    <w:rsid w:val="003A4C14"/>
    <w:rsid w:val="003A56E7"/>
    <w:rsid w:val="003A5975"/>
    <w:rsid w:val="003A5A77"/>
    <w:rsid w:val="003A5CC4"/>
    <w:rsid w:val="003A5D31"/>
    <w:rsid w:val="003A6E8D"/>
    <w:rsid w:val="003B0010"/>
    <w:rsid w:val="003B01C2"/>
    <w:rsid w:val="003B0DAD"/>
    <w:rsid w:val="003B175F"/>
    <w:rsid w:val="003B1F9B"/>
    <w:rsid w:val="003B2D4D"/>
    <w:rsid w:val="003B314F"/>
    <w:rsid w:val="003B36FF"/>
    <w:rsid w:val="003B3971"/>
    <w:rsid w:val="003B39DC"/>
    <w:rsid w:val="003B453D"/>
    <w:rsid w:val="003B49E2"/>
    <w:rsid w:val="003B55D1"/>
    <w:rsid w:val="003B59A6"/>
    <w:rsid w:val="003B5B1D"/>
    <w:rsid w:val="003B5B61"/>
    <w:rsid w:val="003B5E41"/>
    <w:rsid w:val="003B6015"/>
    <w:rsid w:val="003B6189"/>
    <w:rsid w:val="003B7149"/>
    <w:rsid w:val="003C0571"/>
    <w:rsid w:val="003C08B3"/>
    <w:rsid w:val="003C095B"/>
    <w:rsid w:val="003C1654"/>
    <w:rsid w:val="003C1AB9"/>
    <w:rsid w:val="003C1B29"/>
    <w:rsid w:val="003C21E7"/>
    <w:rsid w:val="003C2758"/>
    <w:rsid w:val="003C2A26"/>
    <w:rsid w:val="003C32EB"/>
    <w:rsid w:val="003C3A3F"/>
    <w:rsid w:val="003C3A90"/>
    <w:rsid w:val="003C3F6D"/>
    <w:rsid w:val="003C4088"/>
    <w:rsid w:val="003C45E9"/>
    <w:rsid w:val="003C4974"/>
    <w:rsid w:val="003C4CC1"/>
    <w:rsid w:val="003C5542"/>
    <w:rsid w:val="003C5834"/>
    <w:rsid w:val="003C69C9"/>
    <w:rsid w:val="003C7C15"/>
    <w:rsid w:val="003C7D19"/>
    <w:rsid w:val="003C7D2F"/>
    <w:rsid w:val="003C7EC5"/>
    <w:rsid w:val="003D01B6"/>
    <w:rsid w:val="003D04BF"/>
    <w:rsid w:val="003D0AE4"/>
    <w:rsid w:val="003D0C5A"/>
    <w:rsid w:val="003D14C4"/>
    <w:rsid w:val="003D1738"/>
    <w:rsid w:val="003D1828"/>
    <w:rsid w:val="003D1949"/>
    <w:rsid w:val="003D1DE4"/>
    <w:rsid w:val="003D1E9A"/>
    <w:rsid w:val="003D202F"/>
    <w:rsid w:val="003D20FB"/>
    <w:rsid w:val="003D2422"/>
    <w:rsid w:val="003D2649"/>
    <w:rsid w:val="003D2737"/>
    <w:rsid w:val="003D39A1"/>
    <w:rsid w:val="003D3FBF"/>
    <w:rsid w:val="003D4568"/>
    <w:rsid w:val="003D49B0"/>
    <w:rsid w:val="003D4A30"/>
    <w:rsid w:val="003D4AB8"/>
    <w:rsid w:val="003D4DA6"/>
    <w:rsid w:val="003D5827"/>
    <w:rsid w:val="003D5E7E"/>
    <w:rsid w:val="003D68A1"/>
    <w:rsid w:val="003D6C0B"/>
    <w:rsid w:val="003D6C95"/>
    <w:rsid w:val="003D6D6B"/>
    <w:rsid w:val="003D6E4E"/>
    <w:rsid w:val="003D7015"/>
    <w:rsid w:val="003D7079"/>
    <w:rsid w:val="003D7452"/>
    <w:rsid w:val="003D7760"/>
    <w:rsid w:val="003D7919"/>
    <w:rsid w:val="003D7963"/>
    <w:rsid w:val="003D79BB"/>
    <w:rsid w:val="003D79E9"/>
    <w:rsid w:val="003D7A88"/>
    <w:rsid w:val="003D7C98"/>
    <w:rsid w:val="003D7D9D"/>
    <w:rsid w:val="003E012F"/>
    <w:rsid w:val="003E0543"/>
    <w:rsid w:val="003E0FA1"/>
    <w:rsid w:val="003E1367"/>
    <w:rsid w:val="003E2299"/>
    <w:rsid w:val="003E22B4"/>
    <w:rsid w:val="003E2A70"/>
    <w:rsid w:val="003E2ABB"/>
    <w:rsid w:val="003E2B39"/>
    <w:rsid w:val="003E30C6"/>
    <w:rsid w:val="003E393F"/>
    <w:rsid w:val="003E418A"/>
    <w:rsid w:val="003E5603"/>
    <w:rsid w:val="003E6923"/>
    <w:rsid w:val="003E6BC8"/>
    <w:rsid w:val="003E6EEA"/>
    <w:rsid w:val="003E7104"/>
    <w:rsid w:val="003E72D8"/>
    <w:rsid w:val="003E72FC"/>
    <w:rsid w:val="003E749E"/>
    <w:rsid w:val="003E7525"/>
    <w:rsid w:val="003E7F99"/>
    <w:rsid w:val="003F0451"/>
    <w:rsid w:val="003F0ACD"/>
    <w:rsid w:val="003F16D7"/>
    <w:rsid w:val="003F1A78"/>
    <w:rsid w:val="003F1DBA"/>
    <w:rsid w:val="003F2A1E"/>
    <w:rsid w:val="003F2C8C"/>
    <w:rsid w:val="003F2E79"/>
    <w:rsid w:val="003F2EA2"/>
    <w:rsid w:val="003F33ED"/>
    <w:rsid w:val="003F3821"/>
    <w:rsid w:val="003F38F9"/>
    <w:rsid w:val="003F3B89"/>
    <w:rsid w:val="003F3CE2"/>
    <w:rsid w:val="003F3E4F"/>
    <w:rsid w:val="003F4156"/>
    <w:rsid w:val="003F425E"/>
    <w:rsid w:val="003F4805"/>
    <w:rsid w:val="003F4B3D"/>
    <w:rsid w:val="003F502A"/>
    <w:rsid w:val="003F5654"/>
    <w:rsid w:val="003F5ADF"/>
    <w:rsid w:val="003F6476"/>
    <w:rsid w:val="003F67A7"/>
    <w:rsid w:val="003F6BB4"/>
    <w:rsid w:val="003F79C9"/>
    <w:rsid w:val="003F7CE4"/>
    <w:rsid w:val="00400B29"/>
    <w:rsid w:val="00401395"/>
    <w:rsid w:val="00402812"/>
    <w:rsid w:val="00403E05"/>
    <w:rsid w:val="00404138"/>
    <w:rsid w:val="004041C7"/>
    <w:rsid w:val="004047C5"/>
    <w:rsid w:val="0040504B"/>
    <w:rsid w:val="004052B8"/>
    <w:rsid w:val="004059F4"/>
    <w:rsid w:val="00405A6F"/>
    <w:rsid w:val="004061F1"/>
    <w:rsid w:val="00407656"/>
    <w:rsid w:val="00407FE5"/>
    <w:rsid w:val="004101B0"/>
    <w:rsid w:val="00410326"/>
    <w:rsid w:val="00410598"/>
    <w:rsid w:val="004106C9"/>
    <w:rsid w:val="00410708"/>
    <w:rsid w:val="00410B76"/>
    <w:rsid w:val="00410EC7"/>
    <w:rsid w:val="004112E6"/>
    <w:rsid w:val="00411893"/>
    <w:rsid w:val="00411B39"/>
    <w:rsid w:val="00411C94"/>
    <w:rsid w:val="00412055"/>
    <w:rsid w:val="004127A7"/>
    <w:rsid w:val="00412D8A"/>
    <w:rsid w:val="004131E0"/>
    <w:rsid w:val="00413A1E"/>
    <w:rsid w:val="00414476"/>
    <w:rsid w:val="00414C2E"/>
    <w:rsid w:val="004151CF"/>
    <w:rsid w:val="004154DB"/>
    <w:rsid w:val="004161BC"/>
    <w:rsid w:val="004162E9"/>
    <w:rsid w:val="00416364"/>
    <w:rsid w:val="00416CD2"/>
    <w:rsid w:val="00416DE6"/>
    <w:rsid w:val="00417077"/>
    <w:rsid w:val="00417382"/>
    <w:rsid w:val="00417BF3"/>
    <w:rsid w:val="0042047F"/>
    <w:rsid w:val="004204AF"/>
    <w:rsid w:val="00420AA6"/>
    <w:rsid w:val="00420B9F"/>
    <w:rsid w:val="00421483"/>
    <w:rsid w:val="00421729"/>
    <w:rsid w:val="0042192C"/>
    <w:rsid w:val="00421978"/>
    <w:rsid w:val="00421B35"/>
    <w:rsid w:val="00421E57"/>
    <w:rsid w:val="00422260"/>
    <w:rsid w:val="00422B92"/>
    <w:rsid w:val="004238AC"/>
    <w:rsid w:val="00423DB6"/>
    <w:rsid w:val="0042413F"/>
    <w:rsid w:val="00424C73"/>
    <w:rsid w:val="00424DD8"/>
    <w:rsid w:val="004251C3"/>
    <w:rsid w:val="00425D72"/>
    <w:rsid w:val="00425E3A"/>
    <w:rsid w:val="004268B0"/>
    <w:rsid w:val="004268ED"/>
    <w:rsid w:val="00426D74"/>
    <w:rsid w:val="00427063"/>
    <w:rsid w:val="004271EC"/>
    <w:rsid w:val="00427769"/>
    <w:rsid w:val="00430315"/>
    <w:rsid w:val="0043031E"/>
    <w:rsid w:val="004319F8"/>
    <w:rsid w:val="00431E55"/>
    <w:rsid w:val="00431EA2"/>
    <w:rsid w:val="004321F6"/>
    <w:rsid w:val="00432C87"/>
    <w:rsid w:val="00433044"/>
    <w:rsid w:val="0043334D"/>
    <w:rsid w:val="00434088"/>
    <w:rsid w:val="004340E1"/>
    <w:rsid w:val="00434BA2"/>
    <w:rsid w:val="004356D6"/>
    <w:rsid w:val="004360C4"/>
    <w:rsid w:val="004375B9"/>
    <w:rsid w:val="00437B90"/>
    <w:rsid w:val="00437CD6"/>
    <w:rsid w:val="00437D54"/>
    <w:rsid w:val="004400C1"/>
    <w:rsid w:val="004401AD"/>
    <w:rsid w:val="004410C5"/>
    <w:rsid w:val="00441524"/>
    <w:rsid w:val="0044166D"/>
    <w:rsid w:val="00441D8E"/>
    <w:rsid w:val="00441F0A"/>
    <w:rsid w:val="00442169"/>
    <w:rsid w:val="004428D0"/>
    <w:rsid w:val="004438CB"/>
    <w:rsid w:val="00443A70"/>
    <w:rsid w:val="00443BAF"/>
    <w:rsid w:val="00444185"/>
    <w:rsid w:val="00444394"/>
    <w:rsid w:val="004443A7"/>
    <w:rsid w:val="0044442C"/>
    <w:rsid w:val="0044482D"/>
    <w:rsid w:val="00444C77"/>
    <w:rsid w:val="0044588F"/>
    <w:rsid w:val="004458DB"/>
    <w:rsid w:val="00445941"/>
    <w:rsid w:val="004463F9"/>
    <w:rsid w:val="004464EB"/>
    <w:rsid w:val="004465DA"/>
    <w:rsid w:val="00447D26"/>
    <w:rsid w:val="00447DFC"/>
    <w:rsid w:val="00450431"/>
    <w:rsid w:val="004513FD"/>
    <w:rsid w:val="00451578"/>
    <w:rsid w:val="00451953"/>
    <w:rsid w:val="00451D5C"/>
    <w:rsid w:val="0045253F"/>
    <w:rsid w:val="0045388B"/>
    <w:rsid w:val="00453A8E"/>
    <w:rsid w:val="00453AC4"/>
    <w:rsid w:val="00453AD6"/>
    <w:rsid w:val="00454268"/>
    <w:rsid w:val="00454436"/>
    <w:rsid w:val="0045527E"/>
    <w:rsid w:val="00455A87"/>
    <w:rsid w:val="00455D45"/>
    <w:rsid w:val="004566D9"/>
    <w:rsid w:val="00456809"/>
    <w:rsid w:val="00456D0F"/>
    <w:rsid w:val="00456FCE"/>
    <w:rsid w:val="00457A33"/>
    <w:rsid w:val="00457A45"/>
    <w:rsid w:val="004602CD"/>
    <w:rsid w:val="00460DD6"/>
    <w:rsid w:val="0046190E"/>
    <w:rsid w:val="0046215C"/>
    <w:rsid w:val="0046271F"/>
    <w:rsid w:val="00463871"/>
    <w:rsid w:val="00463DD9"/>
    <w:rsid w:val="00463F9C"/>
    <w:rsid w:val="00463FC1"/>
    <w:rsid w:val="004640A1"/>
    <w:rsid w:val="00464595"/>
    <w:rsid w:val="00465432"/>
    <w:rsid w:val="004658B5"/>
    <w:rsid w:val="00465C87"/>
    <w:rsid w:val="004669B7"/>
    <w:rsid w:val="0046728A"/>
    <w:rsid w:val="0047053A"/>
    <w:rsid w:val="0047055F"/>
    <w:rsid w:val="0047068E"/>
    <w:rsid w:val="004708BA"/>
    <w:rsid w:val="00470CFC"/>
    <w:rsid w:val="00470F1E"/>
    <w:rsid w:val="004713AA"/>
    <w:rsid w:val="00471802"/>
    <w:rsid w:val="00471EA5"/>
    <w:rsid w:val="0047203C"/>
    <w:rsid w:val="004727A1"/>
    <w:rsid w:val="00472A79"/>
    <w:rsid w:val="004736C3"/>
    <w:rsid w:val="00473AA7"/>
    <w:rsid w:val="00473F19"/>
    <w:rsid w:val="00474773"/>
    <w:rsid w:val="004747BB"/>
    <w:rsid w:val="00474A9E"/>
    <w:rsid w:val="00475772"/>
    <w:rsid w:val="00475B60"/>
    <w:rsid w:val="00475E22"/>
    <w:rsid w:val="00476D88"/>
    <w:rsid w:val="00476DB5"/>
    <w:rsid w:val="00477341"/>
    <w:rsid w:val="004776AB"/>
    <w:rsid w:val="004777AA"/>
    <w:rsid w:val="00477A71"/>
    <w:rsid w:val="00477E17"/>
    <w:rsid w:val="00477E76"/>
    <w:rsid w:val="004806EE"/>
    <w:rsid w:val="0048088E"/>
    <w:rsid w:val="00480D19"/>
    <w:rsid w:val="00480D52"/>
    <w:rsid w:val="00480F2B"/>
    <w:rsid w:val="004810F6"/>
    <w:rsid w:val="0048139C"/>
    <w:rsid w:val="004815AD"/>
    <w:rsid w:val="00481F80"/>
    <w:rsid w:val="004822B4"/>
    <w:rsid w:val="00482720"/>
    <w:rsid w:val="0048297B"/>
    <w:rsid w:val="00482DCF"/>
    <w:rsid w:val="004835E7"/>
    <w:rsid w:val="0048366F"/>
    <w:rsid w:val="00483BE0"/>
    <w:rsid w:val="00483E15"/>
    <w:rsid w:val="00484ACB"/>
    <w:rsid w:val="004855BD"/>
    <w:rsid w:val="004858DC"/>
    <w:rsid w:val="004859E1"/>
    <w:rsid w:val="00485DAF"/>
    <w:rsid w:val="00486183"/>
    <w:rsid w:val="004867E2"/>
    <w:rsid w:val="00486D9A"/>
    <w:rsid w:val="00487350"/>
    <w:rsid w:val="00487CF7"/>
    <w:rsid w:val="00487DEF"/>
    <w:rsid w:val="0049041C"/>
    <w:rsid w:val="00490B17"/>
    <w:rsid w:val="0049132B"/>
    <w:rsid w:val="00491600"/>
    <w:rsid w:val="004919A2"/>
    <w:rsid w:val="004919A9"/>
    <w:rsid w:val="00491B3A"/>
    <w:rsid w:val="00492CF2"/>
    <w:rsid w:val="00492CFD"/>
    <w:rsid w:val="004934C0"/>
    <w:rsid w:val="004939E9"/>
    <w:rsid w:val="00493BC8"/>
    <w:rsid w:val="00493D56"/>
    <w:rsid w:val="00494207"/>
    <w:rsid w:val="00494DD5"/>
    <w:rsid w:val="00494E45"/>
    <w:rsid w:val="004954A0"/>
    <w:rsid w:val="00495676"/>
    <w:rsid w:val="00495D45"/>
    <w:rsid w:val="004962D2"/>
    <w:rsid w:val="004963E4"/>
    <w:rsid w:val="004964AB"/>
    <w:rsid w:val="0049680F"/>
    <w:rsid w:val="00496DAB"/>
    <w:rsid w:val="0049703D"/>
    <w:rsid w:val="0049753D"/>
    <w:rsid w:val="00497736"/>
    <w:rsid w:val="004977D9"/>
    <w:rsid w:val="0049792B"/>
    <w:rsid w:val="00497F20"/>
    <w:rsid w:val="00497F31"/>
    <w:rsid w:val="004A0644"/>
    <w:rsid w:val="004A089A"/>
    <w:rsid w:val="004A0973"/>
    <w:rsid w:val="004A0C28"/>
    <w:rsid w:val="004A0DA1"/>
    <w:rsid w:val="004A1142"/>
    <w:rsid w:val="004A13D6"/>
    <w:rsid w:val="004A1907"/>
    <w:rsid w:val="004A1F54"/>
    <w:rsid w:val="004A22ED"/>
    <w:rsid w:val="004A24AC"/>
    <w:rsid w:val="004A29E8"/>
    <w:rsid w:val="004A2C45"/>
    <w:rsid w:val="004A2DAF"/>
    <w:rsid w:val="004A3056"/>
    <w:rsid w:val="004A3424"/>
    <w:rsid w:val="004A4FD3"/>
    <w:rsid w:val="004A5104"/>
    <w:rsid w:val="004A52E9"/>
    <w:rsid w:val="004A5864"/>
    <w:rsid w:val="004A6040"/>
    <w:rsid w:val="004A6597"/>
    <w:rsid w:val="004A6A04"/>
    <w:rsid w:val="004A6AAE"/>
    <w:rsid w:val="004A6DFE"/>
    <w:rsid w:val="004A7848"/>
    <w:rsid w:val="004A793B"/>
    <w:rsid w:val="004A7955"/>
    <w:rsid w:val="004B0298"/>
    <w:rsid w:val="004B067F"/>
    <w:rsid w:val="004B0721"/>
    <w:rsid w:val="004B1156"/>
    <w:rsid w:val="004B1CB4"/>
    <w:rsid w:val="004B1D0D"/>
    <w:rsid w:val="004B296F"/>
    <w:rsid w:val="004B2B4B"/>
    <w:rsid w:val="004B2B99"/>
    <w:rsid w:val="004B2C81"/>
    <w:rsid w:val="004B2D3C"/>
    <w:rsid w:val="004B2F18"/>
    <w:rsid w:val="004B2F77"/>
    <w:rsid w:val="004B318B"/>
    <w:rsid w:val="004B365F"/>
    <w:rsid w:val="004B386D"/>
    <w:rsid w:val="004B3DDB"/>
    <w:rsid w:val="004B44FD"/>
    <w:rsid w:val="004B47AC"/>
    <w:rsid w:val="004B4A16"/>
    <w:rsid w:val="004B5092"/>
    <w:rsid w:val="004B5382"/>
    <w:rsid w:val="004B59CF"/>
    <w:rsid w:val="004B5CFC"/>
    <w:rsid w:val="004B5E91"/>
    <w:rsid w:val="004B6919"/>
    <w:rsid w:val="004B69A8"/>
    <w:rsid w:val="004B69AE"/>
    <w:rsid w:val="004B6F79"/>
    <w:rsid w:val="004B72BB"/>
    <w:rsid w:val="004B769E"/>
    <w:rsid w:val="004B774D"/>
    <w:rsid w:val="004B7901"/>
    <w:rsid w:val="004C049A"/>
    <w:rsid w:val="004C0534"/>
    <w:rsid w:val="004C0C66"/>
    <w:rsid w:val="004C0CF3"/>
    <w:rsid w:val="004C1BED"/>
    <w:rsid w:val="004C1FF3"/>
    <w:rsid w:val="004C2021"/>
    <w:rsid w:val="004C24F1"/>
    <w:rsid w:val="004C27AA"/>
    <w:rsid w:val="004C2AC2"/>
    <w:rsid w:val="004C3C40"/>
    <w:rsid w:val="004C41B8"/>
    <w:rsid w:val="004C4A9E"/>
    <w:rsid w:val="004C4AAF"/>
    <w:rsid w:val="004C4AED"/>
    <w:rsid w:val="004C546C"/>
    <w:rsid w:val="004C652F"/>
    <w:rsid w:val="004C6A97"/>
    <w:rsid w:val="004C6C6D"/>
    <w:rsid w:val="004C72CA"/>
    <w:rsid w:val="004C762E"/>
    <w:rsid w:val="004C7CA3"/>
    <w:rsid w:val="004C7DAA"/>
    <w:rsid w:val="004D01DC"/>
    <w:rsid w:val="004D0736"/>
    <w:rsid w:val="004D0796"/>
    <w:rsid w:val="004D16E2"/>
    <w:rsid w:val="004D186D"/>
    <w:rsid w:val="004D2249"/>
    <w:rsid w:val="004D22B5"/>
    <w:rsid w:val="004D2C2D"/>
    <w:rsid w:val="004D379E"/>
    <w:rsid w:val="004D499E"/>
    <w:rsid w:val="004D4C90"/>
    <w:rsid w:val="004D5A8F"/>
    <w:rsid w:val="004D5C1C"/>
    <w:rsid w:val="004D6069"/>
    <w:rsid w:val="004D644F"/>
    <w:rsid w:val="004D65AD"/>
    <w:rsid w:val="004D69B5"/>
    <w:rsid w:val="004D6A0E"/>
    <w:rsid w:val="004D6B6C"/>
    <w:rsid w:val="004D7227"/>
    <w:rsid w:val="004D747A"/>
    <w:rsid w:val="004D758C"/>
    <w:rsid w:val="004D75CD"/>
    <w:rsid w:val="004D7B5E"/>
    <w:rsid w:val="004E04DE"/>
    <w:rsid w:val="004E093E"/>
    <w:rsid w:val="004E0E7F"/>
    <w:rsid w:val="004E0EB8"/>
    <w:rsid w:val="004E18E9"/>
    <w:rsid w:val="004E1987"/>
    <w:rsid w:val="004E1BAB"/>
    <w:rsid w:val="004E2169"/>
    <w:rsid w:val="004E22C4"/>
    <w:rsid w:val="004E2ADC"/>
    <w:rsid w:val="004E36CB"/>
    <w:rsid w:val="004E38BD"/>
    <w:rsid w:val="004E391A"/>
    <w:rsid w:val="004E43B2"/>
    <w:rsid w:val="004E4ABF"/>
    <w:rsid w:val="004E500E"/>
    <w:rsid w:val="004E58E6"/>
    <w:rsid w:val="004E5DE1"/>
    <w:rsid w:val="004E6320"/>
    <w:rsid w:val="004E64C9"/>
    <w:rsid w:val="004E6588"/>
    <w:rsid w:val="004E6C17"/>
    <w:rsid w:val="004E71AF"/>
    <w:rsid w:val="004E71BE"/>
    <w:rsid w:val="004E7396"/>
    <w:rsid w:val="004F0536"/>
    <w:rsid w:val="004F142B"/>
    <w:rsid w:val="004F1A32"/>
    <w:rsid w:val="004F1D02"/>
    <w:rsid w:val="004F2679"/>
    <w:rsid w:val="004F2F21"/>
    <w:rsid w:val="004F3DE5"/>
    <w:rsid w:val="004F4246"/>
    <w:rsid w:val="004F43EB"/>
    <w:rsid w:val="004F4951"/>
    <w:rsid w:val="004F50FD"/>
    <w:rsid w:val="004F5600"/>
    <w:rsid w:val="004F5B0B"/>
    <w:rsid w:val="004F6913"/>
    <w:rsid w:val="004F6CAE"/>
    <w:rsid w:val="004F6E1E"/>
    <w:rsid w:val="004F7374"/>
    <w:rsid w:val="004F7812"/>
    <w:rsid w:val="004F7865"/>
    <w:rsid w:val="004F7A53"/>
    <w:rsid w:val="00500973"/>
    <w:rsid w:val="00500B09"/>
    <w:rsid w:val="00500C40"/>
    <w:rsid w:val="005014E5"/>
    <w:rsid w:val="0050174E"/>
    <w:rsid w:val="00501854"/>
    <w:rsid w:val="005019F9"/>
    <w:rsid w:val="00501A6A"/>
    <w:rsid w:val="00501BB8"/>
    <w:rsid w:val="0050219B"/>
    <w:rsid w:val="00502E61"/>
    <w:rsid w:val="005032C6"/>
    <w:rsid w:val="00503C79"/>
    <w:rsid w:val="00503D07"/>
    <w:rsid w:val="00503D8A"/>
    <w:rsid w:val="00503F17"/>
    <w:rsid w:val="00503F3A"/>
    <w:rsid w:val="00504ECA"/>
    <w:rsid w:val="0050506C"/>
    <w:rsid w:val="00505561"/>
    <w:rsid w:val="005055ED"/>
    <w:rsid w:val="005057C4"/>
    <w:rsid w:val="00506928"/>
    <w:rsid w:val="00506E8B"/>
    <w:rsid w:val="00506F3B"/>
    <w:rsid w:val="00507517"/>
    <w:rsid w:val="005077EF"/>
    <w:rsid w:val="00507990"/>
    <w:rsid w:val="00507EDD"/>
    <w:rsid w:val="0051069E"/>
    <w:rsid w:val="00510C04"/>
    <w:rsid w:val="005114B2"/>
    <w:rsid w:val="00511AD5"/>
    <w:rsid w:val="00511DC7"/>
    <w:rsid w:val="00511EA5"/>
    <w:rsid w:val="0051279A"/>
    <w:rsid w:val="0051286B"/>
    <w:rsid w:val="00513566"/>
    <w:rsid w:val="00513960"/>
    <w:rsid w:val="00514264"/>
    <w:rsid w:val="005142C5"/>
    <w:rsid w:val="005147AD"/>
    <w:rsid w:val="00514E84"/>
    <w:rsid w:val="0051501B"/>
    <w:rsid w:val="005152B5"/>
    <w:rsid w:val="005153C5"/>
    <w:rsid w:val="005156BA"/>
    <w:rsid w:val="00515886"/>
    <w:rsid w:val="00515D32"/>
    <w:rsid w:val="00515D51"/>
    <w:rsid w:val="00515D5B"/>
    <w:rsid w:val="00515E05"/>
    <w:rsid w:val="00515E49"/>
    <w:rsid w:val="00516138"/>
    <w:rsid w:val="005169BE"/>
    <w:rsid w:val="005177D6"/>
    <w:rsid w:val="00517938"/>
    <w:rsid w:val="00520216"/>
    <w:rsid w:val="00520597"/>
    <w:rsid w:val="0052123C"/>
    <w:rsid w:val="00521319"/>
    <w:rsid w:val="005216E3"/>
    <w:rsid w:val="005222EF"/>
    <w:rsid w:val="005223B5"/>
    <w:rsid w:val="005224AD"/>
    <w:rsid w:val="00522699"/>
    <w:rsid w:val="00522B56"/>
    <w:rsid w:val="00522BC8"/>
    <w:rsid w:val="00522C8A"/>
    <w:rsid w:val="00522DBF"/>
    <w:rsid w:val="00522E8E"/>
    <w:rsid w:val="005231AF"/>
    <w:rsid w:val="00523449"/>
    <w:rsid w:val="00523B93"/>
    <w:rsid w:val="00523C28"/>
    <w:rsid w:val="00524018"/>
    <w:rsid w:val="005240BF"/>
    <w:rsid w:val="00525916"/>
    <w:rsid w:val="00525BF9"/>
    <w:rsid w:val="00525E29"/>
    <w:rsid w:val="005269A1"/>
    <w:rsid w:val="00526D39"/>
    <w:rsid w:val="00526E4E"/>
    <w:rsid w:val="00526EDD"/>
    <w:rsid w:val="0052764D"/>
    <w:rsid w:val="00527B95"/>
    <w:rsid w:val="0053030E"/>
    <w:rsid w:val="00530678"/>
    <w:rsid w:val="00530A33"/>
    <w:rsid w:val="00530CAC"/>
    <w:rsid w:val="0053176B"/>
    <w:rsid w:val="00531F21"/>
    <w:rsid w:val="00532580"/>
    <w:rsid w:val="00533672"/>
    <w:rsid w:val="00533B49"/>
    <w:rsid w:val="005341B3"/>
    <w:rsid w:val="00534B1B"/>
    <w:rsid w:val="00534FD9"/>
    <w:rsid w:val="005352BD"/>
    <w:rsid w:val="00535F0E"/>
    <w:rsid w:val="00536F42"/>
    <w:rsid w:val="00537182"/>
    <w:rsid w:val="00537912"/>
    <w:rsid w:val="00540261"/>
    <w:rsid w:val="0054044A"/>
    <w:rsid w:val="005406D3"/>
    <w:rsid w:val="0054072F"/>
    <w:rsid w:val="00540B6B"/>
    <w:rsid w:val="005412AA"/>
    <w:rsid w:val="00541EDD"/>
    <w:rsid w:val="00541FCB"/>
    <w:rsid w:val="00542701"/>
    <w:rsid w:val="00542743"/>
    <w:rsid w:val="00542C2D"/>
    <w:rsid w:val="00543278"/>
    <w:rsid w:val="00543740"/>
    <w:rsid w:val="00543877"/>
    <w:rsid w:val="0054443A"/>
    <w:rsid w:val="005449F9"/>
    <w:rsid w:val="00544A12"/>
    <w:rsid w:val="00544ABC"/>
    <w:rsid w:val="00544E00"/>
    <w:rsid w:val="005455FA"/>
    <w:rsid w:val="0054572C"/>
    <w:rsid w:val="005467AC"/>
    <w:rsid w:val="0054689C"/>
    <w:rsid w:val="00546B71"/>
    <w:rsid w:val="0054713B"/>
    <w:rsid w:val="005478BD"/>
    <w:rsid w:val="005479E3"/>
    <w:rsid w:val="00547E97"/>
    <w:rsid w:val="00547EBE"/>
    <w:rsid w:val="00551773"/>
    <w:rsid w:val="00551985"/>
    <w:rsid w:val="005519C6"/>
    <w:rsid w:val="00551D88"/>
    <w:rsid w:val="00551FEF"/>
    <w:rsid w:val="00552156"/>
    <w:rsid w:val="00552BD3"/>
    <w:rsid w:val="00552BD7"/>
    <w:rsid w:val="005532A0"/>
    <w:rsid w:val="0055387D"/>
    <w:rsid w:val="00553F9D"/>
    <w:rsid w:val="0055403F"/>
    <w:rsid w:val="00554A44"/>
    <w:rsid w:val="00555109"/>
    <w:rsid w:val="00555134"/>
    <w:rsid w:val="0055571F"/>
    <w:rsid w:val="0055580C"/>
    <w:rsid w:val="005558EA"/>
    <w:rsid w:val="00555DE6"/>
    <w:rsid w:val="0055659B"/>
    <w:rsid w:val="005569FE"/>
    <w:rsid w:val="00556B04"/>
    <w:rsid w:val="00556B35"/>
    <w:rsid w:val="00556EA0"/>
    <w:rsid w:val="0055714A"/>
    <w:rsid w:val="005571D4"/>
    <w:rsid w:val="0055741A"/>
    <w:rsid w:val="00557F46"/>
    <w:rsid w:val="005600E7"/>
    <w:rsid w:val="005608D0"/>
    <w:rsid w:val="005611B7"/>
    <w:rsid w:val="00561664"/>
    <w:rsid w:val="005616C2"/>
    <w:rsid w:val="005618D4"/>
    <w:rsid w:val="00562633"/>
    <w:rsid w:val="00563BEC"/>
    <w:rsid w:val="00563EC5"/>
    <w:rsid w:val="00564867"/>
    <w:rsid w:val="00564BF1"/>
    <w:rsid w:val="005653F4"/>
    <w:rsid w:val="00565C79"/>
    <w:rsid w:val="00565DF0"/>
    <w:rsid w:val="0056696F"/>
    <w:rsid w:val="00566971"/>
    <w:rsid w:val="00566991"/>
    <w:rsid w:val="00566D11"/>
    <w:rsid w:val="00566FEB"/>
    <w:rsid w:val="00570A46"/>
    <w:rsid w:val="00571206"/>
    <w:rsid w:val="00571405"/>
    <w:rsid w:val="00571448"/>
    <w:rsid w:val="00571C48"/>
    <w:rsid w:val="00571E89"/>
    <w:rsid w:val="005721D0"/>
    <w:rsid w:val="00572269"/>
    <w:rsid w:val="0057244A"/>
    <w:rsid w:val="00572F26"/>
    <w:rsid w:val="00572F6B"/>
    <w:rsid w:val="00573398"/>
    <w:rsid w:val="00574197"/>
    <w:rsid w:val="00574E45"/>
    <w:rsid w:val="0057506F"/>
    <w:rsid w:val="005750AF"/>
    <w:rsid w:val="005750C5"/>
    <w:rsid w:val="005752DE"/>
    <w:rsid w:val="00575BEB"/>
    <w:rsid w:val="00575D60"/>
    <w:rsid w:val="00575D8D"/>
    <w:rsid w:val="00575E83"/>
    <w:rsid w:val="00576529"/>
    <w:rsid w:val="00576972"/>
    <w:rsid w:val="00576BBA"/>
    <w:rsid w:val="00577248"/>
    <w:rsid w:val="00577643"/>
    <w:rsid w:val="0057766B"/>
    <w:rsid w:val="00577D4D"/>
    <w:rsid w:val="00581AF1"/>
    <w:rsid w:val="00582E5D"/>
    <w:rsid w:val="0058301C"/>
    <w:rsid w:val="005835E5"/>
    <w:rsid w:val="00583699"/>
    <w:rsid w:val="0058371E"/>
    <w:rsid w:val="0058373A"/>
    <w:rsid w:val="00583AF6"/>
    <w:rsid w:val="00583EC2"/>
    <w:rsid w:val="0058448A"/>
    <w:rsid w:val="005849C2"/>
    <w:rsid w:val="00584DE6"/>
    <w:rsid w:val="00585065"/>
    <w:rsid w:val="005851D6"/>
    <w:rsid w:val="005857F9"/>
    <w:rsid w:val="0058581B"/>
    <w:rsid w:val="00585CDD"/>
    <w:rsid w:val="00586686"/>
    <w:rsid w:val="00586698"/>
    <w:rsid w:val="005866F9"/>
    <w:rsid w:val="005867D6"/>
    <w:rsid w:val="00587058"/>
    <w:rsid w:val="005879A4"/>
    <w:rsid w:val="00587F7A"/>
    <w:rsid w:val="00587F99"/>
    <w:rsid w:val="00591957"/>
    <w:rsid w:val="00592611"/>
    <w:rsid w:val="005927BB"/>
    <w:rsid w:val="00592E4F"/>
    <w:rsid w:val="00593481"/>
    <w:rsid w:val="005942B1"/>
    <w:rsid w:val="00594C6E"/>
    <w:rsid w:val="00595018"/>
    <w:rsid w:val="005958CD"/>
    <w:rsid w:val="00595F4D"/>
    <w:rsid w:val="00595FCB"/>
    <w:rsid w:val="0059617C"/>
    <w:rsid w:val="0059661A"/>
    <w:rsid w:val="00596D07"/>
    <w:rsid w:val="005979B8"/>
    <w:rsid w:val="00597BF9"/>
    <w:rsid w:val="00597D36"/>
    <w:rsid w:val="005A0C11"/>
    <w:rsid w:val="005A0CA9"/>
    <w:rsid w:val="005A17FA"/>
    <w:rsid w:val="005A1962"/>
    <w:rsid w:val="005A19A9"/>
    <w:rsid w:val="005A1ACB"/>
    <w:rsid w:val="005A1F72"/>
    <w:rsid w:val="005A253C"/>
    <w:rsid w:val="005A309A"/>
    <w:rsid w:val="005A3205"/>
    <w:rsid w:val="005A358C"/>
    <w:rsid w:val="005A373D"/>
    <w:rsid w:val="005A3AC5"/>
    <w:rsid w:val="005A4618"/>
    <w:rsid w:val="005A4755"/>
    <w:rsid w:val="005A477B"/>
    <w:rsid w:val="005A4920"/>
    <w:rsid w:val="005A4BF3"/>
    <w:rsid w:val="005A4C34"/>
    <w:rsid w:val="005A4FBD"/>
    <w:rsid w:val="005A5D82"/>
    <w:rsid w:val="005A5E23"/>
    <w:rsid w:val="005A5EFF"/>
    <w:rsid w:val="005A660D"/>
    <w:rsid w:val="005A6AB7"/>
    <w:rsid w:val="005A6D48"/>
    <w:rsid w:val="005A71B9"/>
    <w:rsid w:val="005A71C4"/>
    <w:rsid w:val="005A7D1D"/>
    <w:rsid w:val="005A7FE7"/>
    <w:rsid w:val="005B03BA"/>
    <w:rsid w:val="005B093E"/>
    <w:rsid w:val="005B096A"/>
    <w:rsid w:val="005B09F2"/>
    <w:rsid w:val="005B0B58"/>
    <w:rsid w:val="005B1AF8"/>
    <w:rsid w:val="005B1C55"/>
    <w:rsid w:val="005B2B6B"/>
    <w:rsid w:val="005B3809"/>
    <w:rsid w:val="005B4347"/>
    <w:rsid w:val="005B46A6"/>
    <w:rsid w:val="005B47B5"/>
    <w:rsid w:val="005B4AF4"/>
    <w:rsid w:val="005B4B37"/>
    <w:rsid w:val="005B4E53"/>
    <w:rsid w:val="005B5633"/>
    <w:rsid w:val="005B5857"/>
    <w:rsid w:val="005B59D4"/>
    <w:rsid w:val="005B5EBF"/>
    <w:rsid w:val="005B65AF"/>
    <w:rsid w:val="005B6CCD"/>
    <w:rsid w:val="005B6FFE"/>
    <w:rsid w:val="005B723E"/>
    <w:rsid w:val="005C01D5"/>
    <w:rsid w:val="005C05C8"/>
    <w:rsid w:val="005C101C"/>
    <w:rsid w:val="005C1961"/>
    <w:rsid w:val="005C19C4"/>
    <w:rsid w:val="005C1B83"/>
    <w:rsid w:val="005C1EC8"/>
    <w:rsid w:val="005C225E"/>
    <w:rsid w:val="005C25FF"/>
    <w:rsid w:val="005C2667"/>
    <w:rsid w:val="005C27BD"/>
    <w:rsid w:val="005C2896"/>
    <w:rsid w:val="005C2D55"/>
    <w:rsid w:val="005C346B"/>
    <w:rsid w:val="005C36A4"/>
    <w:rsid w:val="005C37B5"/>
    <w:rsid w:val="005C3FA2"/>
    <w:rsid w:val="005C4257"/>
    <w:rsid w:val="005C5007"/>
    <w:rsid w:val="005C585C"/>
    <w:rsid w:val="005C5ABC"/>
    <w:rsid w:val="005C61A0"/>
    <w:rsid w:val="005C62F2"/>
    <w:rsid w:val="005C7CD5"/>
    <w:rsid w:val="005C7FA6"/>
    <w:rsid w:val="005D0073"/>
    <w:rsid w:val="005D044D"/>
    <w:rsid w:val="005D05BB"/>
    <w:rsid w:val="005D0A3A"/>
    <w:rsid w:val="005D0ABD"/>
    <w:rsid w:val="005D1168"/>
    <w:rsid w:val="005D122C"/>
    <w:rsid w:val="005D12CB"/>
    <w:rsid w:val="005D18AD"/>
    <w:rsid w:val="005D1EFD"/>
    <w:rsid w:val="005D1F4C"/>
    <w:rsid w:val="005D26B4"/>
    <w:rsid w:val="005D4A4D"/>
    <w:rsid w:val="005D579A"/>
    <w:rsid w:val="005D6329"/>
    <w:rsid w:val="005D6F75"/>
    <w:rsid w:val="005D71A1"/>
    <w:rsid w:val="005D767F"/>
    <w:rsid w:val="005D7AA2"/>
    <w:rsid w:val="005E05CF"/>
    <w:rsid w:val="005E12E5"/>
    <w:rsid w:val="005E1992"/>
    <w:rsid w:val="005E1995"/>
    <w:rsid w:val="005E1A48"/>
    <w:rsid w:val="005E1AB0"/>
    <w:rsid w:val="005E278E"/>
    <w:rsid w:val="005E2FBC"/>
    <w:rsid w:val="005E33AA"/>
    <w:rsid w:val="005E358E"/>
    <w:rsid w:val="005E39EB"/>
    <w:rsid w:val="005E3B6A"/>
    <w:rsid w:val="005E49AE"/>
    <w:rsid w:val="005E50C2"/>
    <w:rsid w:val="005E52F4"/>
    <w:rsid w:val="005E593E"/>
    <w:rsid w:val="005E5BC1"/>
    <w:rsid w:val="005E5CA9"/>
    <w:rsid w:val="005E624F"/>
    <w:rsid w:val="005E653B"/>
    <w:rsid w:val="005E664D"/>
    <w:rsid w:val="005E6C52"/>
    <w:rsid w:val="005E6CBC"/>
    <w:rsid w:val="005E72FF"/>
    <w:rsid w:val="005E73C0"/>
    <w:rsid w:val="005E7AB5"/>
    <w:rsid w:val="005E7AD9"/>
    <w:rsid w:val="005E7E5E"/>
    <w:rsid w:val="005E7FE0"/>
    <w:rsid w:val="005F07ED"/>
    <w:rsid w:val="005F0F99"/>
    <w:rsid w:val="005F2006"/>
    <w:rsid w:val="005F2706"/>
    <w:rsid w:val="005F3F74"/>
    <w:rsid w:val="005F3F7B"/>
    <w:rsid w:val="005F42C3"/>
    <w:rsid w:val="005F53F7"/>
    <w:rsid w:val="005F59B9"/>
    <w:rsid w:val="005F6042"/>
    <w:rsid w:val="005F648D"/>
    <w:rsid w:val="005F6A8F"/>
    <w:rsid w:val="005F6BB7"/>
    <w:rsid w:val="005F6CB7"/>
    <w:rsid w:val="005F70BE"/>
    <w:rsid w:val="005F7294"/>
    <w:rsid w:val="005F730A"/>
    <w:rsid w:val="005F74C1"/>
    <w:rsid w:val="005F7588"/>
    <w:rsid w:val="005F7C6E"/>
    <w:rsid w:val="00600A19"/>
    <w:rsid w:val="006014E1"/>
    <w:rsid w:val="00601622"/>
    <w:rsid w:val="006018BB"/>
    <w:rsid w:val="00602052"/>
    <w:rsid w:val="00602693"/>
    <w:rsid w:val="00602C84"/>
    <w:rsid w:val="00602EEB"/>
    <w:rsid w:val="006030BE"/>
    <w:rsid w:val="006031D8"/>
    <w:rsid w:val="00603DB9"/>
    <w:rsid w:val="00604D16"/>
    <w:rsid w:val="006055CF"/>
    <w:rsid w:val="006056BA"/>
    <w:rsid w:val="00605BD6"/>
    <w:rsid w:val="00605F02"/>
    <w:rsid w:val="00606A28"/>
    <w:rsid w:val="00606FBA"/>
    <w:rsid w:val="00607669"/>
    <w:rsid w:val="006076F4"/>
    <w:rsid w:val="00607AFD"/>
    <w:rsid w:val="00607EB4"/>
    <w:rsid w:val="00610671"/>
    <w:rsid w:val="00610776"/>
    <w:rsid w:val="00610F25"/>
    <w:rsid w:val="006110C6"/>
    <w:rsid w:val="00611A72"/>
    <w:rsid w:val="00611B12"/>
    <w:rsid w:val="00611C40"/>
    <w:rsid w:val="00611F83"/>
    <w:rsid w:val="00612970"/>
    <w:rsid w:val="00612C40"/>
    <w:rsid w:val="00612C51"/>
    <w:rsid w:val="00612F21"/>
    <w:rsid w:val="00612F97"/>
    <w:rsid w:val="006132C3"/>
    <w:rsid w:val="0061345D"/>
    <w:rsid w:val="006138C7"/>
    <w:rsid w:val="00613CDB"/>
    <w:rsid w:val="006140B8"/>
    <w:rsid w:val="00615450"/>
    <w:rsid w:val="00615486"/>
    <w:rsid w:val="0061549B"/>
    <w:rsid w:val="00615673"/>
    <w:rsid w:val="006156E1"/>
    <w:rsid w:val="00615E25"/>
    <w:rsid w:val="00616358"/>
    <w:rsid w:val="00616487"/>
    <w:rsid w:val="00616802"/>
    <w:rsid w:val="00616A38"/>
    <w:rsid w:val="00616C11"/>
    <w:rsid w:val="00617164"/>
    <w:rsid w:val="00617226"/>
    <w:rsid w:val="00617583"/>
    <w:rsid w:val="00617E0C"/>
    <w:rsid w:val="00617E12"/>
    <w:rsid w:val="0062016B"/>
    <w:rsid w:val="00620BD5"/>
    <w:rsid w:val="00620C25"/>
    <w:rsid w:val="00620CA9"/>
    <w:rsid w:val="00621199"/>
    <w:rsid w:val="00621477"/>
    <w:rsid w:val="006218E0"/>
    <w:rsid w:val="00621ADA"/>
    <w:rsid w:val="00621EA3"/>
    <w:rsid w:val="0062214A"/>
    <w:rsid w:val="00622351"/>
    <w:rsid w:val="006226FD"/>
    <w:rsid w:val="006229E0"/>
    <w:rsid w:val="00622ACA"/>
    <w:rsid w:val="006234F1"/>
    <w:rsid w:val="00623F7B"/>
    <w:rsid w:val="0062436A"/>
    <w:rsid w:val="00624BD4"/>
    <w:rsid w:val="00625663"/>
    <w:rsid w:val="00625DC4"/>
    <w:rsid w:val="00626F74"/>
    <w:rsid w:val="006274CB"/>
    <w:rsid w:val="00627547"/>
    <w:rsid w:val="0063054B"/>
    <w:rsid w:val="00630646"/>
    <w:rsid w:val="00630C28"/>
    <w:rsid w:val="00630F65"/>
    <w:rsid w:val="006314D2"/>
    <w:rsid w:val="0063158F"/>
    <w:rsid w:val="00631B8F"/>
    <w:rsid w:val="00631D6B"/>
    <w:rsid w:val="00631FCC"/>
    <w:rsid w:val="00632103"/>
    <w:rsid w:val="00632183"/>
    <w:rsid w:val="00632634"/>
    <w:rsid w:val="006330A1"/>
    <w:rsid w:val="006331C9"/>
    <w:rsid w:val="006337A6"/>
    <w:rsid w:val="0063397C"/>
    <w:rsid w:val="00634038"/>
    <w:rsid w:val="006341A3"/>
    <w:rsid w:val="00634720"/>
    <w:rsid w:val="0063479F"/>
    <w:rsid w:val="0063487A"/>
    <w:rsid w:val="00634B84"/>
    <w:rsid w:val="006353F0"/>
    <w:rsid w:val="006357B5"/>
    <w:rsid w:val="00635D2D"/>
    <w:rsid w:val="006364A1"/>
    <w:rsid w:val="0063678E"/>
    <w:rsid w:val="00636830"/>
    <w:rsid w:val="00637775"/>
    <w:rsid w:val="006378AC"/>
    <w:rsid w:val="00637BFD"/>
    <w:rsid w:val="00637C5C"/>
    <w:rsid w:val="00637D48"/>
    <w:rsid w:val="00637FC2"/>
    <w:rsid w:val="006406E9"/>
    <w:rsid w:val="00640A2B"/>
    <w:rsid w:val="00640A39"/>
    <w:rsid w:val="00640E38"/>
    <w:rsid w:val="0064135C"/>
    <w:rsid w:val="006417EE"/>
    <w:rsid w:val="00641960"/>
    <w:rsid w:val="00641C4E"/>
    <w:rsid w:val="00641FB3"/>
    <w:rsid w:val="006420DD"/>
    <w:rsid w:val="006423E8"/>
    <w:rsid w:val="00642479"/>
    <w:rsid w:val="00642C34"/>
    <w:rsid w:val="00643065"/>
    <w:rsid w:val="00643A63"/>
    <w:rsid w:val="00643B36"/>
    <w:rsid w:val="00643BA9"/>
    <w:rsid w:val="00643C7F"/>
    <w:rsid w:val="00643D27"/>
    <w:rsid w:val="00644034"/>
    <w:rsid w:val="0064434C"/>
    <w:rsid w:val="006448DC"/>
    <w:rsid w:val="00645166"/>
    <w:rsid w:val="0064529E"/>
    <w:rsid w:val="0064593D"/>
    <w:rsid w:val="00646322"/>
    <w:rsid w:val="00646709"/>
    <w:rsid w:val="00646BDA"/>
    <w:rsid w:val="00646F0D"/>
    <w:rsid w:val="006471CC"/>
    <w:rsid w:val="006472FE"/>
    <w:rsid w:val="00647450"/>
    <w:rsid w:val="006477AD"/>
    <w:rsid w:val="006477CE"/>
    <w:rsid w:val="00647877"/>
    <w:rsid w:val="00647A29"/>
    <w:rsid w:val="00647C83"/>
    <w:rsid w:val="00650721"/>
    <w:rsid w:val="0065079F"/>
    <w:rsid w:val="00650BA4"/>
    <w:rsid w:val="00650F21"/>
    <w:rsid w:val="00651996"/>
    <w:rsid w:val="00652115"/>
    <w:rsid w:val="006524A5"/>
    <w:rsid w:val="0065258A"/>
    <w:rsid w:val="00652A28"/>
    <w:rsid w:val="00652AF4"/>
    <w:rsid w:val="00653302"/>
    <w:rsid w:val="00653689"/>
    <w:rsid w:val="0065379F"/>
    <w:rsid w:val="0065416A"/>
    <w:rsid w:val="0065437A"/>
    <w:rsid w:val="006551A4"/>
    <w:rsid w:val="006551F9"/>
    <w:rsid w:val="00655A3C"/>
    <w:rsid w:val="00656188"/>
    <w:rsid w:val="00656356"/>
    <w:rsid w:val="00656E4F"/>
    <w:rsid w:val="0065715A"/>
    <w:rsid w:val="0065721A"/>
    <w:rsid w:val="00657415"/>
    <w:rsid w:val="00657D90"/>
    <w:rsid w:val="006609B5"/>
    <w:rsid w:val="006610C8"/>
    <w:rsid w:val="006610F1"/>
    <w:rsid w:val="006618CE"/>
    <w:rsid w:val="00661C6B"/>
    <w:rsid w:val="00661D46"/>
    <w:rsid w:val="00662155"/>
    <w:rsid w:val="00662D3E"/>
    <w:rsid w:val="00662E69"/>
    <w:rsid w:val="00663B7B"/>
    <w:rsid w:val="00663FC7"/>
    <w:rsid w:val="006643E3"/>
    <w:rsid w:val="00664CAD"/>
    <w:rsid w:val="0066511D"/>
    <w:rsid w:val="006654F8"/>
    <w:rsid w:val="00665DE2"/>
    <w:rsid w:val="00666127"/>
    <w:rsid w:val="00666B11"/>
    <w:rsid w:val="0066781B"/>
    <w:rsid w:val="00667BE3"/>
    <w:rsid w:val="00667C3E"/>
    <w:rsid w:val="006705AE"/>
    <w:rsid w:val="006705D4"/>
    <w:rsid w:val="00670FAB"/>
    <w:rsid w:val="00671004"/>
    <w:rsid w:val="0067147A"/>
    <w:rsid w:val="00671713"/>
    <w:rsid w:val="00671E8D"/>
    <w:rsid w:val="0067210B"/>
    <w:rsid w:val="006723D8"/>
    <w:rsid w:val="00672522"/>
    <w:rsid w:val="00672646"/>
    <w:rsid w:val="006727FD"/>
    <w:rsid w:val="00672DC0"/>
    <w:rsid w:val="00672E04"/>
    <w:rsid w:val="00673212"/>
    <w:rsid w:val="00673409"/>
    <w:rsid w:val="00673A0C"/>
    <w:rsid w:val="00673B1C"/>
    <w:rsid w:val="00674244"/>
    <w:rsid w:val="0067434C"/>
    <w:rsid w:val="0067466D"/>
    <w:rsid w:val="006747DA"/>
    <w:rsid w:val="006749AB"/>
    <w:rsid w:val="00674E42"/>
    <w:rsid w:val="00675AFD"/>
    <w:rsid w:val="00675D0C"/>
    <w:rsid w:val="00676010"/>
    <w:rsid w:val="006764DA"/>
    <w:rsid w:val="00676563"/>
    <w:rsid w:val="006769B7"/>
    <w:rsid w:val="00676F6B"/>
    <w:rsid w:val="00677503"/>
    <w:rsid w:val="006775BD"/>
    <w:rsid w:val="0067760F"/>
    <w:rsid w:val="00677C23"/>
    <w:rsid w:val="006802BF"/>
    <w:rsid w:val="006807B0"/>
    <w:rsid w:val="00680A2D"/>
    <w:rsid w:val="00680A79"/>
    <w:rsid w:val="006813F8"/>
    <w:rsid w:val="00681834"/>
    <w:rsid w:val="00681F26"/>
    <w:rsid w:val="00682112"/>
    <w:rsid w:val="0068260E"/>
    <w:rsid w:val="00682772"/>
    <w:rsid w:val="00682A0F"/>
    <w:rsid w:val="00682B0D"/>
    <w:rsid w:val="00682BA6"/>
    <w:rsid w:val="00682CA8"/>
    <w:rsid w:val="006839FB"/>
    <w:rsid w:val="006844F3"/>
    <w:rsid w:val="0068467E"/>
    <w:rsid w:val="00684996"/>
    <w:rsid w:val="00684ACE"/>
    <w:rsid w:val="00686389"/>
    <w:rsid w:val="00686957"/>
    <w:rsid w:val="00687014"/>
    <w:rsid w:val="006872BA"/>
    <w:rsid w:val="006874BF"/>
    <w:rsid w:val="006874C4"/>
    <w:rsid w:val="00687B50"/>
    <w:rsid w:val="00687DEB"/>
    <w:rsid w:val="006901D0"/>
    <w:rsid w:val="00690737"/>
    <w:rsid w:val="00690795"/>
    <w:rsid w:val="00691648"/>
    <w:rsid w:val="006917D7"/>
    <w:rsid w:val="00691E42"/>
    <w:rsid w:val="006923BC"/>
    <w:rsid w:val="00692883"/>
    <w:rsid w:val="00693CB8"/>
    <w:rsid w:val="0069434C"/>
    <w:rsid w:val="00694C7A"/>
    <w:rsid w:val="00694CAA"/>
    <w:rsid w:val="00694DC3"/>
    <w:rsid w:val="00694F44"/>
    <w:rsid w:val="006951BB"/>
    <w:rsid w:val="006956FE"/>
    <w:rsid w:val="00695D6E"/>
    <w:rsid w:val="00695E64"/>
    <w:rsid w:val="00695EB9"/>
    <w:rsid w:val="0069627B"/>
    <w:rsid w:val="00696DB2"/>
    <w:rsid w:val="00696EF9"/>
    <w:rsid w:val="00696F51"/>
    <w:rsid w:val="006971DF"/>
    <w:rsid w:val="00697494"/>
    <w:rsid w:val="006979A5"/>
    <w:rsid w:val="006A016F"/>
    <w:rsid w:val="006A0210"/>
    <w:rsid w:val="006A0575"/>
    <w:rsid w:val="006A0611"/>
    <w:rsid w:val="006A0DF7"/>
    <w:rsid w:val="006A0E2D"/>
    <w:rsid w:val="006A1051"/>
    <w:rsid w:val="006A10CB"/>
    <w:rsid w:val="006A1A10"/>
    <w:rsid w:val="006A22E8"/>
    <w:rsid w:val="006A2EC2"/>
    <w:rsid w:val="006A37B4"/>
    <w:rsid w:val="006A3B6C"/>
    <w:rsid w:val="006A4321"/>
    <w:rsid w:val="006A43D9"/>
    <w:rsid w:val="006A45C6"/>
    <w:rsid w:val="006A46BF"/>
    <w:rsid w:val="006A476D"/>
    <w:rsid w:val="006A4AB9"/>
    <w:rsid w:val="006A5308"/>
    <w:rsid w:val="006A56FA"/>
    <w:rsid w:val="006A5CB8"/>
    <w:rsid w:val="006A6B99"/>
    <w:rsid w:val="006A78CF"/>
    <w:rsid w:val="006A7E3D"/>
    <w:rsid w:val="006A7E5F"/>
    <w:rsid w:val="006A7FE5"/>
    <w:rsid w:val="006B08A9"/>
    <w:rsid w:val="006B0E6E"/>
    <w:rsid w:val="006B113C"/>
    <w:rsid w:val="006B1904"/>
    <w:rsid w:val="006B201D"/>
    <w:rsid w:val="006B261B"/>
    <w:rsid w:val="006B2C90"/>
    <w:rsid w:val="006B2E8C"/>
    <w:rsid w:val="006B3248"/>
    <w:rsid w:val="006B32EB"/>
    <w:rsid w:val="006B35E6"/>
    <w:rsid w:val="006B40C6"/>
    <w:rsid w:val="006B465A"/>
    <w:rsid w:val="006B58F3"/>
    <w:rsid w:val="006B5B9C"/>
    <w:rsid w:val="006B5EF6"/>
    <w:rsid w:val="006B60E7"/>
    <w:rsid w:val="006B6DD0"/>
    <w:rsid w:val="006C0073"/>
    <w:rsid w:val="006C00A8"/>
    <w:rsid w:val="006C0324"/>
    <w:rsid w:val="006C0399"/>
    <w:rsid w:val="006C06B3"/>
    <w:rsid w:val="006C0BDA"/>
    <w:rsid w:val="006C12D8"/>
    <w:rsid w:val="006C1643"/>
    <w:rsid w:val="006C21A1"/>
    <w:rsid w:val="006C2A85"/>
    <w:rsid w:val="006C2A8E"/>
    <w:rsid w:val="006C3255"/>
    <w:rsid w:val="006C33E9"/>
    <w:rsid w:val="006C3738"/>
    <w:rsid w:val="006C3F26"/>
    <w:rsid w:val="006C439D"/>
    <w:rsid w:val="006C443B"/>
    <w:rsid w:val="006C4981"/>
    <w:rsid w:val="006C4AE7"/>
    <w:rsid w:val="006C4F81"/>
    <w:rsid w:val="006C4FB9"/>
    <w:rsid w:val="006C53C1"/>
    <w:rsid w:val="006C5F6A"/>
    <w:rsid w:val="006C6472"/>
    <w:rsid w:val="006C6748"/>
    <w:rsid w:val="006C6B64"/>
    <w:rsid w:val="006C75F9"/>
    <w:rsid w:val="006C7736"/>
    <w:rsid w:val="006C7738"/>
    <w:rsid w:val="006C7B63"/>
    <w:rsid w:val="006D0112"/>
    <w:rsid w:val="006D0191"/>
    <w:rsid w:val="006D032B"/>
    <w:rsid w:val="006D0444"/>
    <w:rsid w:val="006D0782"/>
    <w:rsid w:val="006D0BCD"/>
    <w:rsid w:val="006D0D17"/>
    <w:rsid w:val="006D0EF9"/>
    <w:rsid w:val="006D26CE"/>
    <w:rsid w:val="006D2A72"/>
    <w:rsid w:val="006D329A"/>
    <w:rsid w:val="006D3608"/>
    <w:rsid w:val="006D3C7D"/>
    <w:rsid w:val="006D4659"/>
    <w:rsid w:val="006D5AB4"/>
    <w:rsid w:val="006D5ABC"/>
    <w:rsid w:val="006D5BC8"/>
    <w:rsid w:val="006D5D5F"/>
    <w:rsid w:val="006D68FB"/>
    <w:rsid w:val="006D75AC"/>
    <w:rsid w:val="006D760B"/>
    <w:rsid w:val="006D787D"/>
    <w:rsid w:val="006D7D3F"/>
    <w:rsid w:val="006E0647"/>
    <w:rsid w:val="006E10C4"/>
    <w:rsid w:val="006E1110"/>
    <w:rsid w:val="006E147E"/>
    <w:rsid w:val="006E157B"/>
    <w:rsid w:val="006E1A55"/>
    <w:rsid w:val="006E1A88"/>
    <w:rsid w:val="006E1C25"/>
    <w:rsid w:val="006E268A"/>
    <w:rsid w:val="006E27BD"/>
    <w:rsid w:val="006E2868"/>
    <w:rsid w:val="006E298C"/>
    <w:rsid w:val="006E3099"/>
    <w:rsid w:val="006E34B8"/>
    <w:rsid w:val="006E3957"/>
    <w:rsid w:val="006E3B74"/>
    <w:rsid w:val="006E3E1E"/>
    <w:rsid w:val="006E3E45"/>
    <w:rsid w:val="006E4649"/>
    <w:rsid w:val="006E46EB"/>
    <w:rsid w:val="006E503C"/>
    <w:rsid w:val="006E529D"/>
    <w:rsid w:val="006E55A1"/>
    <w:rsid w:val="006E56CA"/>
    <w:rsid w:val="006E5E0C"/>
    <w:rsid w:val="006E6405"/>
    <w:rsid w:val="006E7576"/>
    <w:rsid w:val="006E7698"/>
    <w:rsid w:val="006F0348"/>
    <w:rsid w:val="006F1055"/>
    <w:rsid w:val="006F1788"/>
    <w:rsid w:val="006F1AAA"/>
    <w:rsid w:val="006F1FB6"/>
    <w:rsid w:val="006F29A3"/>
    <w:rsid w:val="006F29AF"/>
    <w:rsid w:val="006F306C"/>
    <w:rsid w:val="006F3443"/>
    <w:rsid w:val="006F3F8E"/>
    <w:rsid w:val="006F429F"/>
    <w:rsid w:val="006F4B28"/>
    <w:rsid w:val="006F4D40"/>
    <w:rsid w:val="006F5722"/>
    <w:rsid w:val="006F5C11"/>
    <w:rsid w:val="006F5C64"/>
    <w:rsid w:val="006F62F9"/>
    <w:rsid w:val="006F63A5"/>
    <w:rsid w:val="006F65D8"/>
    <w:rsid w:val="006F6A87"/>
    <w:rsid w:val="006F6B69"/>
    <w:rsid w:val="006F7255"/>
    <w:rsid w:val="006F747E"/>
    <w:rsid w:val="006F7A6E"/>
    <w:rsid w:val="00700747"/>
    <w:rsid w:val="00700A80"/>
    <w:rsid w:val="00700C21"/>
    <w:rsid w:val="00700CE7"/>
    <w:rsid w:val="00700DDF"/>
    <w:rsid w:val="0070134E"/>
    <w:rsid w:val="00701362"/>
    <w:rsid w:val="0070142B"/>
    <w:rsid w:val="0070252D"/>
    <w:rsid w:val="0070276E"/>
    <w:rsid w:val="007027B0"/>
    <w:rsid w:val="00702F8F"/>
    <w:rsid w:val="00703A31"/>
    <w:rsid w:val="00703BC3"/>
    <w:rsid w:val="00703D25"/>
    <w:rsid w:val="00704D2E"/>
    <w:rsid w:val="00705A0E"/>
    <w:rsid w:val="00706615"/>
    <w:rsid w:val="00706B39"/>
    <w:rsid w:val="00707166"/>
    <w:rsid w:val="007072D7"/>
    <w:rsid w:val="0070745D"/>
    <w:rsid w:val="007079FC"/>
    <w:rsid w:val="00707F4D"/>
    <w:rsid w:val="00707FF3"/>
    <w:rsid w:val="0071012E"/>
    <w:rsid w:val="00710829"/>
    <w:rsid w:val="00710CC6"/>
    <w:rsid w:val="00710FEB"/>
    <w:rsid w:val="00711142"/>
    <w:rsid w:val="0071190E"/>
    <w:rsid w:val="00711A36"/>
    <w:rsid w:val="00711AF6"/>
    <w:rsid w:val="00711CB5"/>
    <w:rsid w:val="00711E67"/>
    <w:rsid w:val="00711E72"/>
    <w:rsid w:val="007125D3"/>
    <w:rsid w:val="00714550"/>
    <w:rsid w:val="007146AE"/>
    <w:rsid w:val="00714990"/>
    <w:rsid w:val="00714C26"/>
    <w:rsid w:val="0071508D"/>
    <w:rsid w:val="0071529C"/>
    <w:rsid w:val="00715697"/>
    <w:rsid w:val="0071589C"/>
    <w:rsid w:val="00715B49"/>
    <w:rsid w:val="00716E1B"/>
    <w:rsid w:val="007170DA"/>
    <w:rsid w:val="007172AD"/>
    <w:rsid w:val="00717546"/>
    <w:rsid w:val="0071759F"/>
    <w:rsid w:val="00717CA8"/>
    <w:rsid w:val="00720244"/>
    <w:rsid w:val="00720780"/>
    <w:rsid w:val="00720801"/>
    <w:rsid w:val="0072116C"/>
    <w:rsid w:val="00721C02"/>
    <w:rsid w:val="00721ED4"/>
    <w:rsid w:val="00722690"/>
    <w:rsid w:val="00722B1B"/>
    <w:rsid w:val="00722E17"/>
    <w:rsid w:val="007233D7"/>
    <w:rsid w:val="00724035"/>
    <w:rsid w:val="0072416F"/>
    <w:rsid w:val="007242B4"/>
    <w:rsid w:val="00724FF8"/>
    <w:rsid w:val="00726CA2"/>
    <w:rsid w:val="0072761E"/>
    <w:rsid w:val="00727739"/>
    <w:rsid w:val="00727911"/>
    <w:rsid w:val="00727BE3"/>
    <w:rsid w:val="00727C94"/>
    <w:rsid w:val="00731335"/>
    <w:rsid w:val="00731B0A"/>
    <w:rsid w:val="00731EAE"/>
    <w:rsid w:val="007325B5"/>
    <w:rsid w:val="00732767"/>
    <w:rsid w:val="0073284F"/>
    <w:rsid w:val="00732C0D"/>
    <w:rsid w:val="00733073"/>
    <w:rsid w:val="00733221"/>
    <w:rsid w:val="007333F1"/>
    <w:rsid w:val="00734401"/>
    <w:rsid w:val="00734F9D"/>
    <w:rsid w:val="00735033"/>
    <w:rsid w:val="00735328"/>
    <w:rsid w:val="00735B15"/>
    <w:rsid w:val="007364AE"/>
    <w:rsid w:val="00736527"/>
    <w:rsid w:val="00736698"/>
    <w:rsid w:val="0073669F"/>
    <w:rsid w:val="0073685B"/>
    <w:rsid w:val="007368C9"/>
    <w:rsid w:val="00736CD6"/>
    <w:rsid w:val="007379C0"/>
    <w:rsid w:val="00740030"/>
    <w:rsid w:val="00740E64"/>
    <w:rsid w:val="007420F6"/>
    <w:rsid w:val="0074280A"/>
    <w:rsid w:val="00743031"/>
    <w:rsid w:val="00743273"/>
    <w:rsid w:val="007435DE"/>
    <w:rsid w:val="00744133"/>
    <w:rsid w:val="007442A2"/>
    <w:rsid w:val="00744346"/>
    <w:rsid w:val="007449BF"/>
    <w:rsid w:val="007456CD"/>
    <w:rsid w:val="007457D3"/>
    <w:rsid w:val="00745D70"/>
    <w:rsid w:val="00745ECE"/>
    <w:rsid w:val="007463FE"/>
    <w:rsid w:val="00746477"/>
    <w:rsid w:val="007464C1"/>
    <w:rsid w:val="00746843"/>
    <w:rsid w:val="00746BC0"/>
    <w:rsid w:val="00746D68"/>
    <w:rsid w:val="007471BF"/>
    <w:rsid w:val="0074762F"/>
    <w:rsid w:val="00747B71"/>
    <w:rsid w:val="00747E73"/>
    <w:rsid w:val="00747F2F"/>
    <w:rsid w:val="00750A0D"/>
    <w:rsid w:val="00750D5D"/>
    <w:rsid w:val="007510B4"/>
    <w:rsid w:val="00751DC9"/>
    <w:rsid w:val="0075206D"/>
    <w:rsid w:val="00752142"/>
    <w:rsid w:val="007523F9"/>
    <w:rsid w:val="00752AD1"/>
    <w:rsid w:val="007530DF"/>
    <w:rsid w:val="007533FE"/>
    <w:rsid w:val="0075357E"/>
    <w:rsid w:val="00753B29"/>
    <w:rsid w:val="00753B76"/>
    <w:rsid w:val="007545F3"/>
    <w:rsid w:val="0075483E"/>
    <w:rsid w:val="00754891"/>
    <w:rsid w:val="00754E3E"/>
    <w:rsid w:val="00756522"/>
    <w:rsid w:val="0075687A"/>
    <w:rsid w:val="00756975"/>
    <w:rsid w:val="007573E8"/>
    <w:rsid w:val="00757725"/>
    <w:rsid w:val="00757F0B"/>
    <w:rsid w:val="0076031C"/>
    <w:rsid w:val="0076049B"/>
    <w:rsid w:val="007609C4"/>
    <w:rsid w:val="00760C4E"/>
    <w:rsid w:val="00760C5A"/>
    <w:rsid w:val="00760DEF"/>
    <w:rsid w:val="00760F9E"/>
    <w:rsid w:val="00761118"/>
    <w:rsid w:val="007616E6"/>
    <w:rsid w:val="00761715"/>
    <w:rsid w:val="00761C42"/>
    <w:rsid w:val="00762081"/>
    <w:rsid w:val="0076211B"/>
    <w:rsid w:val="0076261A"/>
    <w:rsid w:val="007627BE"/>
    <w:rsid w:val="00762917"/>
    <w:rsid w:val="00762EC2"/>
    <w:rsid w:val="007635A4"/>
    <w:rsid w:val="007638B1"/>
    <w:rsid w:val="00763FB8"/>
    <w:rsid w:val="00764B42"/>
    <w:rsid w:val="00764F03"/>
    <w:rsid w:val="00764FA4"/>
    <w:rsid w:val="007650C9"/>
    <w:rsid w:val="007653A8"/>
    <w:rsid w:val="0076564D"/>
    <w:rsid w:val="00765B1A"/>
    <w:rsid w:val="00765DC1"/>
    <w:rsid w:val="007660E1"/>
    <w:rsid w:val="00766526"/>
    <w:rsid w:val="00766F36"/>
    <w:rsid w:val="00767867"/>
    <w:rsid w:val="007712FA"/>
    <w:rsid w:val="00771559"/>
    <w:rsid w:val="007715EE"/>
    <w:rsid w:val="00772E12"/>
    <w:rsid w:val="00773071"/>
    <w:rsid w:val="007730CE"/>
    <w:rsid w:val="00773990"/>
    <w:rsid w:val="007747EC"/>
    <w:rsid w:val="00774FD3"/>
    <w:rsid w:val="00775142"/>
    <w:rsid w:val="007752BD"/>
    <w:rsid w:val="0077539E"/>
    <w:rsid w:val="00775593"/>
    <w:rsid w:val="00776A33"/>
    <w:rsid w:val="00776C9A"/>
    <w:rsid w:val="00777335"/>
    <w:rsid w:val="0077774E"/>
    <w:rsid w:val="00777B5D"/>
    <w:rsid w:val="00780F69"/>
    <w:rsid w:val="00781E5F"/>
    <w:rsid w:val="0078273A"/>
    <w:rsid w:val="00782AA8"/>
    <w:rsid w:val="00783049"/>
    <w:rsid w:val="0078336F"/>
    <w:rsid w:val="00783B67"/>
    <w:rsid w:val="00783C72"/>
    <w:rsid w:val="007843F2"/>
    <w:rsid w:val="007846FA"/>
    <w:rsid w:val="00784B88"/>
    <w:rsid w:val="0078520B"/>
    <w:rsid w:val="007858AC"/>
    <w:rsid w:val="00785A9F"/>
    <w:rsid w:val="007862AE"/>
    <w:rsid w:val="007862C6"/>
    <w:rsid w:val="007864A0"/>
    <w:rsid w:val="00786635"/>
    <w:rsid w:val="00786660"/>
    <w:rsid w:val="00786D0D"/>
    <w:rsid w:val="00786D76"/>
    <w:rsid w:val="007877FD"/>
    <w:rsid w:val="00787813"/>
    <w:rsid w:val="00787993"/>
    <w:rsid w:val="00787B17"/>
    <w:rsid w:val="00787F33"/>
    <w:rsid w:val="007908CF"/>
    <w:rsid w:val="00790C5A"/>
    <w:rsid w:val="007922DE"/>
    <w:rsid w:val="007925DF"/>
    <w:rsid w:val="00792BB7"/>
    <w:rsid w:val="00792C06"/>
    <w:rsid w:val="00793C65"/>
    <w:rsid w:val="00794095"/>
    <w:rsid w:val="00794ABD"/>
    <w:rsid w:val="007952F1"/>
    <w:rsid w:val="00795471"/>
    <w:rsid w:val="007959A7"/>
    <w:rsid w:val="00796086"/>
    <w:rsid w:val="007961EF"/>
    <w:rsid w:val="007964B8"/>
    <w:rsid w:val="00796741"/>
    <w:rsid w:val="00797000"/>
    <w:rsid w:val="00797198"/>
    <w:rsid w:val="00797231"/>
    <w:rsid w:val="00797831"/>
    <w:rsid w:val="00797C6B"/>
    <w:rsid w:val="00797DC6"/>
    <w:rsid w:val="007A015F"/>
    <w:rsid w:val="007A08AA"/>
    <w:rsid w:val="007A0A12"/>
    <w:rsid w:val="007A0B83"/>
    <w:rsid w:val="007A132D"/>
    <w:rsid w:val="007A1345"/>
    <w:rsid w:val="007A187C"/>
    <w:rsid w:val="007A1FC3"/>
    <w:rsid w:val="007A2268"/>
    <w:rsid w:val="007A2477"/>
    <w:rsid w:val="007A2D76"/>
    <w:rsid w:val="007A2DDB"/>
    <w:rsid w:val="007A3D3F"/>
    <w:rsid w:val="007A4B43"/>
    <w:rsid w:val="007A6A1D"/>
    <w:rsid w:val="007A6C8E"/>
    <w:rsid w:val="007A70BA"/>
    <w:rsid w:val="007B0398"/>
    <w:rsid w:val="007B0D68"/>
    <w:rsid w:val="007B0E50"/>
    <w:rsid w:val="007B1C6C"/>
    <w:rsid w:val="007B1D97"/>
    <w:rsid w:val="007B251D"/>
    <w:rsid w:val="007B2AB1"/>
    <w:rsid w:val="007B3533"/>
    <w:rsid w:val="007B3F59"/>
    <w:rsid w:val="007B456A"/>
    <w:rsid w:val="007B45F9"/>
    <w:rsid w:val="007B4CF6"/>
    <w:rsid w:val="007B4F58"/>
    <w:rsid w:val="007B528D"/>
    <w:rsid w:val="007B5D4D"/>
    <w:rsid w:val="007B626A"/>
    <w:rsid w:val="007B63CA"/>
    <w:rsid w:val="007B6694"/>
    <w:rsid w:val="007B6B2E"/>
    <w:rsid w:val="007B71AF"/>
    <w:rsid w:val="007B77D1"/>
    <w:rsid w:val="007B7FA6"/>
    <w:rsid w:val="007C0391"/>
    <w:rsid w:val="007C07C7"/>
    <w:rsid w:val="007C0CC5"/>
    <w:rsid w:val="007C1096"/>
    <w:rsid w:val="007C15BF"/>
    <w:rsid w:val="007C1B45"/>
    <w:rsid w:val="007C1CD9"/>
    <w:rsid w:val="007C2124"/>
    <w:rsid w:val="007C32EF"/>
    <w:rsid w:val="007C3355"/>
    <w:rsid w:val="007C361D"/>
    <w:rsid w:val="007C3C44"/>
    <w:rsid w:val="007C3F47"/>
    <w:rsid w:val="007C405D"/>
    <w:rsid w:val="007C4754"/>
    <w:rsid w:val="007C4B84"/>
    <w:rsid w:val="007C4F27"/>
    <w:rsid w:val="007C55F5"/>
    <w:rsid w:val="007C64C0"/>
    <w:rsid w:val="007C6976"/>
    <w:rsid w:val="007C6F1A"/>
    <w:rsid w:val="007C70FF"/>
    <w:rsid w:val="007C7B0C"/>
    <w:rsid w:val="007C7C25"/>
    <w:rsid w:val="007D004F"/>
    <w:rsid w:val="007D035F"/>
    <w:rsid w:val="007D06B2"/>
    <w:rsid w:val="007D0B38"/>
    <w:rsid w:val="007D1602"/>
    <w:rsid w:val="007D1C38"/>
    <w:rsid w:val="007D208B"/>
    <w:rsid w:val="007D2114"/>
    <w:rsid w:val="007D2621"/>
    <w:rsid w:val="007D2B76"/>
    <w:rsid w:val="007D2C73"/>
    <w:rsid w:val="007D2D1A"/>
    <w:rsid w:val="007D2E99"/>
    <w:rsid w:val="007D3690"/>
    <w:rsid w:val="007D36D5"/>
    <w:rsid w:val="007D38D8"/>
    <w:rsid w:val="007D38FE"/>
    <w:rsid w:val="007D39F4"/>
    <w:rsid w:val="007D3E31"/>
    <w:rsid w:val="007D4006"/>
    <w:rsid w:val="007D401A"/>
    <w:rsid w:val="007D41E5"/>
    <w:rsid w:val="007D4C9C"/>
    <w:rsid w:val="007D4E25"/>
    <w:rsid w:val="007D510C"/>
    <w:rsid w:val="007D5440"/>
    <w:rsid w:val="007D5525"/>
    <w:rsid w:val="007D5EF7"/>
    <w:rsid w:val="007D69C0"/>
    <w:rsid w:val="007D69EB"/>
    <w:rsid w:val="007D7801"/>
    <w:rsid w:val="007D7CD8"/>
    <w:rsid w:val="007E0226"/>
    <w:rsid w:val="007E0311"/>
    <w:rsid w:val="007E09BD"/>
    <w:rsid w:val="007E128F"/>
    <w:rsid w:val="007E170F"/>
    <w:rsid w:val="007E1F8C"/>
    <w:rsid w:val="007E22F1"/>
    <w:rsid w:val="007E232F"/>
    <w:rsid w:val="007E24F7"/>
    <w:rsid w:val="007E2D46"/>
    <w:rsid w:val="007E2DAE"/>
    <w:rsid w:val="007E40D5"/>
    <w:rsid w:val="007E411D"/>
    <w:rsid w:val="007E4601"/>
    <w:rsid w:val="007E47F7"/>
    <w:rsid w:val="007E527F"/>
    <w:rsid w:val="007E5566"/>
    <w:rsid w:val="007E590E"/>
    <w:rsid w:val="007E5BCD"/>
    <w:rsid w:val="007E61F6"/>
    <w:rsid w:val="007E6552"/>
    <w:rsid w:val="007E680E"/>
    <w:rsid w:val="007E6C9D"/>
    <w:rsid w:val="007E73DE"/>
    <w:rsid w:val="007F01B3"/>
    <w:rsid w:val="007F0CF8"/>
    <w:rsid w:val="007F1017"/>
    <w:rsid w:val="007F1462"/>
    <w:rsid w:val="007F149F"/>
    <w:rsid w:val="007F1641"/>
    <w:rsid w:val="007F1B0A"/>
    <w:rsid w:val="007F26C3"/>
    <w:rsid w:val="007F2741"/>
    <w:rsid w:val="007F31C6"/>
    <w:rsid w:val="007F3A4C"/>
    <w:rsid w:val="007F42FE"/>
    <w:rsid w:val="007F4360"/>
    <w:rsid w:val="007F46F3"/>
    <w:rsid w:val="007F4A3F"/>
    <w:rsid w:val="007F4A61"/>
    <w:rsid w:val="007F4F48"/>
    <w:rsid w:val="007F5255"/>
    <w:rsid w:val="007F56CC"/>
    <w:rsid w:val="007F5FC0"/>
    <w:rsid w:val="007F61C2"/>
    <w:rsid w:val="007F686C"/>
    <w:rsid w:val="007F69D9"/>
    <w:rsid w:val="007F7251"/>
    <w:rsid w:val="007F7352"/>
    <w:rsid w:val="007F7F77"/>
    <w:rsid w:val="008001F2"/>
    <w:rsid w:val="008009A7"/>
    <w:rsid w:val="00801397"/>
    <w:rsid w:val="008014A3"/>
    <w:rsid w:val="008015A6"/>
    <w:rsid w:val="00801605"/>
    <w:rsid w:val="00801CD9"/>
    <w:rsid w:val="00801E9E"/>
    <w:rsid w:val="00802183"/>
    <w:rsid w:val="00802526"/>
    <w:rsid w:val="00802659"/>
    <w:rsid w:val="00803978"/>
    <w:rsid w:val="00803F02"/>
    <w:rsid w:val="00803F65"/>
    <w:rsid w:val="00804727"/>
    <w:rsid w:val="00804F3B"/>
    <w:rsid w:val="00805142"/>
    <w:rsid w:val="0080530B"/>
    <w:rsid w:val="0080574E"/>
    <w:rsid w:val="00805D7C"/>
    <w:rsid w:val="00805FCE"/>
    <w:rsid w:val="008069C4"/>
    <w:rsid w:val="00806F80"/>
    <w:rsid w:val="00807153"/>
    <w:rsid w:val="00807701"/>
    <w:rsid w:val="00807755"/>
    <w:rsid w:val="008079CA"/>
    <w:rsid w:val="00807A8B"/>
    <w:rsid w:val="00810816"/>
    <w:rsid w:val="00810C74"/>
    <w:rsid w:val="00810C83"/>
    <w:rsid w:val="0081113C"/>
    <w:rsid w:val="00811383"/>
    <w:rsid w:val="0081152A"/>
    <w:rsid w:val="0081175B"/>
    <w:rsid w:val="008119A6"/>
    <w:rsid w:val="00812149"/>
    <w:rsid w:val="0081245A"/>
    <w:rsid w:val="00812490"/>
    <w:rsid w:val="00812CAC"/>
    <w:rsid w:val="008136BA"/>
    <w:rsid w:val="00813855"/>
    <w:rsid w:val="00813C67"/>
    <w:rsid w:val="0081440F"/>
    <w:rsid w:val="00815401"/>
    <w:rsid w:val="008158C5"/>
    <w:rsid w:val="00815BAD"/>
    <w:rsid w:val="00816361"/>
    <w:rsid w:val="00816561"/>
    <w:rsid w:val="008166EF"/>
    <w:rsid w:val="008167C2"/>
    <w:rsid w:val="00816A51"/>
    <w:rsid w:val="00816BA2"/>
    <w:rsid w:val="00816FEF"/>
    <w:rsid w:val="00817408"/>
    <w:rsid w:val="008207AB"/>
    <w:rsid w:val="00820899"/>
    <w:rsid w:val="00820A8C"/>
    <w:rsid w:val="00821179"/>
    <w:rsid w:val="00821193"/>
    <w:rsid w:val="008215FB"/>
    <w:rsid w:val="008220CC"/>
    <w:rsid w:val="00822228"/>
    <w:rsid w:val="008222A7"/>
    <w:rsid w:val="00822BB1"/>
    <w:rsid w:val="00822DD6"/>
    <w:rsid w:val="00822ECB"/>
    <w:rsid w:val="00823174"/>
    <w:rsid w:val="0082372E"/>
    <w:rsid w:val="008238FB"/>
    <w:rsid w:val="00823CC6"/>
    <w:rsid w:val="00824498"/>
    <w:rsid w:val="00824852"/>
    <w:rsid w:val="0082506F"/>
    <w:rsid w:val="008253D5"/>
    <w:rsid w:val="008256AD"/>
    <w:rsid w:val="00825751"/>
    <w:rsid w:val="00825BFE"/>
    <w:rsid w:val="00825FBC"/>
    <w:rsid w:val="008264EB"/>
    <w:rsid w:val="008268CE"/>
    <w:rsid w:val="00826BEA"/>
    <w:rsid w:val="00827B68"/>
    <w:rsid w:val="00827C23"/>
    <w:rsid w:val="0083035F"/>
    <w:rsid w:val="00831735"/>
    <w:rsid w:val="00831861"/>
    <w:rsid w:val="00831EED"/>
    <w:rsid w:val="00832A6E"/>
    <w:rsid w:val="00832CBD"/>
    <w:rsid w:val="00832CD1"/>
    <w:rsid w:val="00833B05"/>
    <w:rsid w:val="008341ED"/>
    <w:rsid w:val="00834483"/>
    <w:rsid w:val="008345E2"/>
    <w:rsid w:val="00834603"/>
    <w:rsid w:val="008350BC"/>
    <w:rsid w:val="0083557D"/>
    <w:rsid w:val="0083569D"/>
    <w:rsid w:val="00835A2F"/>
    <w:rsid w:val="00835B90"/>
    <w:rsid w:val="00835D95"/>
    <w:rsid w:val="008362B4"/>
    <w:rsid w:val="00836548"/>
    <w:rsid w:val="0083751B"/>
    <w:rsid w:val="00837D1F"/>
    <w:rsid w:val="008407EF"/>
    <w:rsid w:val="00840CA2"/>
    <w:rsid w:val="00841B2A"/>
    <w:rsid w:val="00841E12"/>
    <w:rsid w:val="00841E1E"/>
    <w:rsid w:val="00841F18"/>
    <w:rsid w:val="008429C4"/>
    <w:rsid w:val="00842A98"/>
    <w:rsid w:val="00842EA6"/>
    <w:rsid w:val="0084374F"/>
    <w:rsid w:val="00843E3F"/>
    <w:rsid w:val="0084411B"/>
    <w:rsid w:val="00844A22"/>
    <w:rsid w:val="008455DB"/>
    <w:rsid w:val="00845790"/>
    <w:rsid w:val="00845891"/>
    <w:rsid w:val="00845B89"/>
    <w:rsid w:val="00845D4B"/>
    <w:rsid w:val="00846056"/>
    <w:rsid w:val="00846389"/>
    <w:rsid w:val="008463A0"/>
    <w:rsid w:val="008463F7"/>
    <w:rsid w:val="00846556"/>
    <w:rsid w:val="00847703"/>
    <w:rsid w:val="00847C17"/>
    <w:rsid w:val="00847D95"/>
    <w:rsid w:val="00847DF5"/>
    <w:rsid w:val="008508F5"/>
    <w:rsid w:val="00851273"/>
    <w:rsid w:val="0085138F"/>
    <w:rsid w:val="0085184A"/>
    <w:rsid w:val="00851A4A"/>
    <w:rsid w:val="008524C6"/>
    <w:rsid w:val="00852FB1"/>
    <w:rsid w:val="0085309D"/>
    <w:rsid w:val="0085369E"/>
    <w:rsid w:val="00853C06"/>
    <w:rsid w:val="00854DB8"/>
    <w:rsid w:val="00855C43"/>
    <w:rsid w:val="00856561"/>
    <w:rsid w:val="00856897"/>
    <w:rsid w:val="00856D78"/>
    <w:rsid w:val="00856E9A"/>
    <w:rsid w:val="00856E9F"/>
    <w:rsid w:val="00856FA9"/>
    <w:rsid w:val="00857DAF"/>
    <w:rsid w:val="008601D9"/>
    <w:rsid w:val="00860374"/>
    <w:rsid w:val="008606DD"/>
    <w:rsid w:val="0086075D"/>
    <w:rsid w:val="00860B4B"/>
    <w:rsid w:val="00860D46"/>
    <w:rsid w:val="00860EAE"/>
    <w:rsid w:val="008616D2"/>
    <w:rsid w:val="00862502"/>
    <w:rsid w:val="00862C5C"/>
    <w:rsid w:val="00862CC1"/>
    <w:rsid w:val="00863127"/>
    <w:rsid w:val="008642A7"/>
    <w:rsid w:val="008643D5"/>
    <w:rsid w:val="0086453C"/>
    <w:rsid w:val="00865AEE"/>
    <w:rsid w:val="008660D4"/>
    <w:rsid w:val="008661B5"/>
    <w:rsid w:val="00866630"/>
    <w:rsid w:val="00866E8A"/>
    <w:rsid w:val="00867720"/>
    <w:rsid w:val="00867722"/>
    <w:rsid w:val="00867B60"/>
    <w:rsid w:val="00867B6E"/>
    <w:rsid w:val="00867E19"/>
    <w:rsid w:val="00870963"/>
    <w:rsid w:val="008710D0"/>
    <w:rsid w:val="0087180F"/>
    <w:rsid w:val="00871FA9"/>
    <w:rsid w:val="00872012"/>
    <w:rsid w:val="00872714"/>
    <w:rsid w:val="008728E9"/>
    <w:rsid w:val="008730E3"/>
    <w:rsid w:val="00873E11"/>
    <w:rsid w:val="00874161"/>
    <w:rsid w:val="008741DC"/>
    <w:rsid w:val="008744A3"/>
    <w:rsid w:val="00875010"/>
    <w:rsid w:val="00875099"/>
    <w:rsid w:val="00875770"/>
    <w:rsid w:val="00875A0A"/>
    <w:rsid w:val="00875BB9"/>
    <w:rsid w:val="00876043"/>
    <w:rsid w:val="0087631A"/>
    <w:rsid w:val="00876B53"/>
    <w:rsid w:val="0087717C"/>
    <w:rsid w:val="0087735B"/>
    <w:rsid w:val="008775CE"/>
    <w:rsid w:val="00881050"/>
    <w:rsid w:val="0088191D"/>
    <w:rsid w:val="00881C3D"/>
    <w:rsid w:val="00882414"/>
    <w:rsid w:val="0088268D"/>
    <w:rsid w:val="00882874"/>
    <w:rsid w:val="008828B7"/>
    <w:rsid w:val="00882CB7"/>
    <w:rsid w:val="00882E3C"/>
    <w:rsid w:val="00883080"/>
    <w:rsid w:val="0088308A"/>
    <w:rsid w:val="008833EF"/>
    <w:rsid w:val="0088366F"/>
    <w:rsid w:val="008836F6"/>
    <w:rsid w:val="00883787"/>
    <w:rsid w:val="0088421A"/>
    <w:rsid w:val="00884616"/>
    <w:rsid w:val="00884D78"/>
    <w:rsid w:val="00884F4F"/>
    <w:rsid w:val="008850C1"/>
    <w:rsid w:val="008850FA"/>
    <w:rsid w:val="008855E4"/>
    <w:rsid w:val="00885ED2"/>
    <w:rsid w:val="00886485"/>
    <w:rsid w:val="008869BF"/>
    <w:rsid w:val="00886AB2"/>
    <w:rsid w:val="00886CD2"/>
    <w:rsid w:val="008871C1"/>
    <w:rsid w:val="00887D85"/>
    <w:rsid w:val="0089143A"/>
    <w:rsid w:val="008918EC"/>
    <w:rsid w:val="00891C3C"/>
    <w:rsid w:val="00891E6F"/>
    <w:rsid w:val="008924A1"/>
    <w:rsid w:val="0089275D"/>
    <w:rsid w:val="0089286C"/>
    <w:rsid w:val="00892A36"/>
    <w:rsid w:val="00893239"/>
    <w:rsid w:val="008939DB"/>
    <w:rsid w:val="008942BE"/>
    <w:rsid w:val="0089443F"/>
    <w:rsid w:val="00894489"/>
    <w:rsid w:val="00894B9D"/>
    <w:rsid w:val="00894CD6"/>
    <w:rsid w:val="00895338"/>
    <w:rsid w:val="00895D3E"/>
    <w:rsid w:val="00896140"/>
    <w:rsid w:val="008963A5"/>
    <w:rsid w:val="00896D5D"/>
    <w:rsid w:val="00897183"/>
    <w:rsid w:val="00897717"/>
    <w:rsid w:val="008A0363"/>
    <w:rsid w:val="008A1105"/>
    <w:rsid w:val="008A23F0"/>
    <w:rsid w:val="008A272C"/>
    <w:rsid w:val="008A3158"/>
    <w:rsid w:val="008A3363"/>
    <w:rsid w:val="008A3371"/>
    <w:rsid w:val="008A3C3E"/>
    <w:rsid w:val="008A4232"/>
    <w:rsid w:val="008A441E"/>
    <w:rsid w:val="008A4612"/>
    <w:rsid w:val="008A4A13"/>
    <w:rsid w:val="008A4B40"/>
    <w:rsid w:val="008A4F16"/>
    <w:rsid w:val="008A5588"/>
    <w:rsid w:val="008A56C3"/>
    <w:rsid w:val="008A58D4"/>
    <w:rsid w:val="008A5BEE"/>
    <w:rsid w:val="008A5F9F"/>
    <w:rsid w:val="008A5FE6"/>
    <w:rsid w:val="008A6402"/>
    <w:rsid w:val="008A6830"/>
    <w:rsid w:val="008A6840"/>
    <w:rsid w:val="008A6A13"/>
    <w:rsid w:val="008A781F"/>
    <w:rsid w:val="008A784F"/>
    <w:rsid w:val="008A79A4"/>
    <w:rsid w:val="008A79DE"/>
    <w:rsid w:val="008A7DAA"/>
    <w:rsid w:val="008B0050"/>
    <w:rsid w:val="008B060F"/>
    <w:rsid w:val="008B0F83"/>
    <w:rsid w:val="008B14E9"/>
    <w:rsid w:val="008B1757"/>
    <w:rsid w:val="008B1C33"/>
    <w:rsid w:val="008B2075"/>
    <w:rsid w:val="008B268C"/>
    <w:rsid w:val="008B273B"/>
    <w:rsid w:val="008B2B9F"/>
    <w:rsid w:val="008B2C83"/>
    <w:rsid w:val="008B2E10"/>
    <w:rsid w:val="008B37A6"/>
    <w:rsid w:val="008B3E6B"/>
    <w:rsid w:val="008B4B29"/>
    <w:rsid w:val="008B4B6F"/>
    <w:rsid w:val="008B5DF1"/>
    <w:rsid w:val="008B5F0A"/>
    <w:rsid w:val="008B60DC"/>
    <w:rsid w:val="008B61D2"/>
    <w:rsid w:val="008B6220"/>
    <w:rsid w:val="008B632A"/>
    <w:rsid w:val="008B69A6"/>
    <w:rsid w:val="008B6A52"/>
    <w:rsid w:val="008B7326"/>
    <w:rsid w:val="008B734B"/>
    <w:rsid w:val="008B7992"/>
    <w:rsid w:val="008B79BA"/>
    <w:rsid w:val="008B7A98"/>
    <w:rsid w:val="008B7CCC"/>
    <w:rsid w:val="008B7D7E"/>
    <w:rsid w:val="008C0125"/>
    <w:rsid w:val="008C019B"/>
    <w:rsid w:val="008C02DE"/>
    <w:rsid w:val="008C0556"/>
    <w:rsid w:val="008C1740"/>
    <w:rsid w:val="008C1CFA"/>
    <w:rsid w:val="008C1DFD"/>
    <w:rsid w:val="008C1FA7"/>
    <w:rsid w:val="008C2366"/>
    <w:rsid w:val="008C308F"/>
    <w:rsid w:val="008C30BE"/>
    <w:rsid w:val="008C372E"/>
    <w:rsid w:val="008C3BF2"/>
    <w:rsid w:val="008C3D0C"/>
    <w:rsid w:val="008C3FE0"/>
    <w:rsid w:val="008C4C8E"/>
    <w:rsid w:val="008C4CE3"/>
    <w:rsid w:val="008C4D10"/>
    <w:rsid w:val="008C4DDB"/>
    <w:rsid w:val="008C4FEE"/>
    <w:rsid w:val="008C5610"/>
    <w:rsid w:val="008C566A"/>
    <w:rsid w:val="008C5706"/>
    <w:rsid w:val="008C5739"/>
    <w:rsid w:val="008C5B57"/>
    <w:rsid w:val="008C5CFC"/>
    <w:rsid w:val="008C5D08"/>
    <w:rsid w:val="008C5DFB"/>
    <w:rsid w:val="008C609F"/>
    <w:rsid w:val="008C63CB"/>
    <w:rsid w:val="008C65A6"/>
    <w:rsid w:val="008C6FE1"/>
    <w:rsid w:val="008C7282"/>
    <w:rsid w:val="008C74A7"/>
    <w:rsid w:val="008C758C"/>
    <w:rsid w:val="008C7975"/>
    <w:rsid w:val="008C7D15"/>
    <w:rsid w:val="008C7E69"/>
    <w:rsid w:val="008C7ECB"/>
    <w:rsid w:val="008D0139"/>
    <w:rsid w:val="008D01F0"/>
    <w:rsid w:val="008D0981"/>
    <w:rsid w:val="008D0A57"/>
    <w:rsid w:val="008D0BCD"/>
    <w:rsid w:val="008D1170"/>
    <w:rsid w:val="008D1B91"/>
    <w:rsid w:val="008D205B"/>
    <w:rsid w:val="008D2689"/>
    <w:rsid w:val="008D2753"/>
    <w:rsid w:val="008D29E8"/>
    <w:rsid w:val="008D2AD2"/>
    <w:rsid w:val="008D3720"/>
    <w:rsid w:val="008D3B86"/>
    <w:rsid w:val="008D4063"/>
    <w:rsid w:val="008D43FD"/>
    <w:rsid w:val="008D44EB"/>
    <w:rsid w:val="008D4755"/>
    <w:rsid w:val="008D48E5"/>
    <w:rsid w:val="008D4B56"/>
    <w:rsid w:val="008D4C3D"/>
    <w:rsid w:val="008D4D11"/>
    <w:rsid w:val="008D4E0A"/>
    <w:rsid w:val="008D4EC2"/>
    <w:rsid w:val="008D5211"/>
    <w:rsid w:val="008D5247"/>
    <w:rsid w:val="008D555E"/>
    <w:rsid w:val="008D59C3"/>
    <w:rsid w:val="008D64D9"/>
    <w:rsid w:val="008D659D"/>
    <w:rsid w:val="008D743C"/>
    <w:rsid w:val="008D78E5"/>
    <w:rsid w:val="008D7A20"/>
    <w:rsid w:val="008D7C65"/>
    <w:rsid w:val="008D7DB9"/>
    <w:rsid w:val="008D7EA4"/>
    <w:rsid w:val="008E0617"/>
    <w:rsid w:val="008E0893"/>
    <w:rsid w:val="008E0923"/>
    <w:rsid w:val="008E0BA5"/>
    <w:rsid w:val="008E0BE7"/>
    <w:rsid w:val="008E0D3C"/>
    <w:rsid w:val="008E13F1"/>
    <w:rsid w:val="008E1541"/>
    <w:rsid w:val="008E1B9E"/>
    <w:rsid w:val="008E1C9F"/>
    <w:rsid w:val="008E2E39"/>
    <w:rsid w:val="008E3594"/>
    <w:rsid w:val="008E3608"/>
    <w:rsid w:val="008E3715"/>
    <w:rsid w:val="008E3B0C"/>
    <w:rsid w:val="008E41D5"/>
    <w:rsid w:val="008E4712"/>
    <w:rsid w:val="008E4FFD"/>
    <w:rsid w:val="008E52E6"/>
    <w:rsid w:val="008E5568"/>
    <w:rsid w:val="008E55AB"/>
    <w:rsid w:val="008E5EA7"/>
    <w:rsid w:val="008E63C7"/>
    <w:rsid w:val="008E6835"/>
    <w:rsid w:val="008E688B"/>
    <w:rsid w:val="008E7678"/>
    <w:rsid w:val="008E7A92"/>
    <w:rsid w:val="008E7AE9"/>
    <w:rsid w:val="008E7E73"/>
    <w:rsid w:val="008F120A"/>
    <w:rsid w:val="008F1506"/>
    <w:rsid w:val="008F17BE"/>
    <w:rsid w:val="008F21F4"/>
    <w:rsid w:val="008F246B"/>
    <w:rsid w:val="008F27E0"/>
    <w:rsid w:val="008F2D47"/>
    <w:rsid w:val="008F2F73"/>
    <w:rsid w:val="008F356A"/>
    <w:rsid w:val="008F4137"/>
    <w:rsid w:val="008F4530"/>
    <w:rsid w:val="008F48EB"/>
    <w:rsid w:val="008F4F0B"/>
    <w:rsid w:val="008F4F5E"/>
    <w:rsid w:val="008F50BC"/>
    <w:rsid w:val="008F59D9"/>
    <w:rsid w:val="008F5DDD"/>
    <w:rsid w:val="008F63B8"/>
    <w:rsid w:val="008F69AB"/>
    <w:rsid w:val="008F6FA6"/>
    <w:rsid w:val="008F758D"/>
    <w:rsid w:val="008F7785"/>
    <w:rsid w:val="00900263"/>
    <w:rsid w:val="009008C6"/>
    <w:rsid w:val="0090159B"/>
    <w:rsid w:val="00902C36"/>
    <w:rsid w:val="00902DFA"/>
    <w:rsid w:val="00903B21"/>
    <w:rsid w:val="00904114"/>
    <w:rsid w:val="00904200"/>
    <w:rsid w:val="0090431F"/>
    <w:rsid w:val="009046C4"/>
    <w:rsid w:val="0090495F"/>
    <w:rsid w:val="00905857"/>
    <w:rsid w:val="009062A5"/>
    <w:rsid w:val="00906829"/>
    <w:rsid w:val="009069E4"/>
    <w:rsid w:val="00906BCA"/>
    <w:rsid w:val="00906DE5"/>
    <w:rsid w:val="009075B3"/>
    <w:rsid w:val="00907699"/>
    <w:rsid w:val="00907C6A"/>
    <w:rsid w:val="00910148"/>
    <w:rsid w:val="00910602"/>
    <w:rsid w:val="00910A6D"/>
    <w:rsid w:val="00910FA7"/>
    <w:rsid w:val="00911272"/>
    <w:rsid w:val="00911339"/>
    <w:rsid w:val="00911AA0"/>
    <w:rsid w:val="00911AFF"/>
    <w:rsid w:val="009128EF"/>
    <w:rsid w:val="00912DC9"/>
    <w:rsid w:val="00913339"/>
    <w:rsid w:val="0091354B"/>
    <w:rsid w:val="009135D6"/>
    <w:rsid w:val="009143DB"/>
    <w:rsid w:val="00914C77"/>
    <w:rsid w:val="00914EF6"/>
    <w:rsid w:val="0091590F"/>
    <w:rsid w:val="00916361"/>
    <w:rsid w:val="0091644D"/>
    <w:rsid w:val="009169BD"/>
    <w:rsid w:val="00916B22"/>
    <w:rsid w:val="00916E66"/>
    <w:rsid w:val="0091708E"/>
    <w:rsid w:val="0091721D"/>
    <w:rsid w:val="0091739D"/>
    <w:rsid w:val="00917626"/>
    <w:rsid w:val="009176C2"/>
    <w:rsid w:val="00917A0C"/>
    <w:rsid w:val="00917ED9"/>
    <w:rsid w:val="00920603"/>
    <w:rsid w:val="00920AE0"/>
    <w:rsid w:val="00920DDB"/>
    <w:rsid w:val="00920ED3"/>
    <w:rsid w:val="009215F4"/>
    <w:rsid w:val="00921ACB"/>
    <w:rsid w:val="00921CC3"/>
    <w:rsid w:val="00921D88"/>
    <w:rsid w:val="00922925"/>
    <w:rsid w:val="009234E0"/>
    <w:rsid w:val="00923634"/>
    <w:rsid w:val="0092369B"/>
    <w:rsid w:val="00923862"/>
    <w:rsid w:val="00923CE6"/>
    <w:rsid w:val="00923DFA"/>
    <w:rsid w:val="00924158"/>
    <w:rsid w:val="00924B77"/>
    <w:rsid w:val="009252EB"/>
    <w:rsid w:val="00925CF1"/>
    <w:rsid w:val="00926347"/>
    <w:rsid w:val="00927301"/>
    <w:rsid w:val="00927D3A"/>
    <w:rsid w:val="00930099"/>
    <w:rsid w:val="00930215"/>
    <w:rsid w:val="00930B58"/>
    <w:rsid w:val="00930C66"/>
    <w:rsid w:val="009315E0"/>
    <w:rsid w:val="00931665"/>
    <w:rsid w:val="00931966"/>
    <w:rsid w:val="009320DA"/>
    <w:rsid w:val="00933246"/>
    <w:rsid w:val="00933D33"/>
    <w:rsid w:val="009346C6"/>
    <w:rsid w:val="00934988"/>
    <w:rsid w:val="00934AC8"/>
    <w:rsid w:val="00934AC9"/>
    <w:rsid w:val="00934B18"/>
    <w:rsid w:val="00935BD5"/>
    <w:rsid w:val="00935C69"/>
    <w:rsid w:val="00935CE1"/>
    <w:rsid w:val="00936291"/>
    <w:rsid w:val="00937089"/>
    <w:rsid w:val="00937BF6"/>
    <w:rsid w:val="00937CF6"/>
    <w:rsid w:val="00937D6E"/>
    <w:rsid w:val="009401F3"/>
    <w:rsid w:val="0094022D"/>
    <w:rsid w:val="00940B15"/>
    <w:rsid w:val="00940C0E"/>
    <w:rsid w:val="00940F23"/>
    <w:rsid w:val="00942126"/>
    <w:rsid w:val="00942628"/>
    <w:rsid w:val="00942D6E"/>
    <w:rsid w:val="00942E36"/>
    <w:rsid w:val="009432A0"/>
    <w:rsid w:val="00944210"/>
    <w:rsid w:val="00944F8A"/>
    <w:rsid w:val="009451E9"/>
    <w:rsid w:val="00945435"/>
    <w:rsid w:val="0094558F"/>
    <w:rsid w:val="00945779"/>
    <w:rsid w:val="00945E30"/>
    <w:rsid w:val="009468D8"/>
    <w:rsid w:val="00946A96"/>
    <w:rsid w:val="00946FC3"/>
    <w:rsid w:val="00950C0C"/>
    <w:rsid w:val="009510A2"/>
    <w:rsid w:val="00951ADE"/>
    <w:rsid w:val="00951F99"/>
    <w:rsid w:val="009523F1"/>
    <w:rsid w:val="00952553"/>
    <w:rsid w:val="00952B3F"/>
    <w:rsid w:val="00952DF9"/>
    <w:rsid w:val="00953257"/>
    <w:rsid w:val="00953F5A"/>
    <w:rsid w:val="00953F80"/>
    <w:rsid w:val="00953FC5"/>
    <w:rsid w:val="009545FA"/>
    <w:rsid w:val="0095474C"/>
    <w:rsid w:val="0095497E"/>
    <w:rsid w:val="00955949"/>
    <w:rsid w:val="00955AF2"/>
    <w:rsid w:val="00956C36"/>
    <w:rsid w:val="00956FDD"/>
    <w:rsid w:val="00957293"/>
    <w:rsid w:val="0095744A"/>
    <w:rsid w:val="00957D92"/>
    <w:rsid w:val="00957F2A"/>
    <w:rsid w:val="00960D90"/>
    <w:rsid w:val="00960E43"/>
    <w:rsid w:val="009611BA"/>
    <w:rsid w:val="00961A5F"/>
    <w:rsid w:val="00961D9D"/>
    <w:rsid w:val="00962769"/>
    <w:rsid w:val="00962CB9"/>
    <w:rsid w:val="00962F10"/>
    <w:rsid w:val="009632BB"/>
    <w:rsid w:val="00963DDE"/>
    <w:rsid w:val="00964312"/>
    <w:rsid w:val="009658FB"/>
    <w:rsid w:val="00965AB9"/>
    <w:rsid w:val="00965B8A"/>
    <w:rsid w:val="009664D4"/>
    <w:rsid w:val="009669A5"/>
    <w:rsid w:val="00966C0B"/>
    <w:rsid w:val="009679BE"/>
    <w:rsid w:val="00967F26"/>
    <w:rsid w:val="0097071F"/>
    <w:rsid w:val="00970BF0"/>
    <w:rsid w:val="00970D4A"/>
    <w:rsid w:val="009717AC"/>
    <w:rsid w:val="00971E0E"/>
    <w:rsid w:val="00972225"/>
    <w:rsid w:val="009723E6"/>
    <w:rsid w:val="009726CE"/>
    <w:rsid w:val="00972FAB"/>
    <w:rsid w:val="00973754"/>
    <w:rsid w:val="009737A1"/>
    <w:rsid w:val="00973C48"/>
    <w:rsid w:val="00974A6B"/>
    <w:rsid w:val="009751B6"/>
    <w:rsid w:val="009751C1"/>
    <w:rsid w:val="00975BE9"/>
    <w:rsid w:val="00976406"/>
    <w:rsid w:val="00976514"/>
    <w:rsid w:val="00976EBC"/>
    <w:rsid w:val="0097743B"/>
    <w:rsid w:val="00977721"/>
    <w:rsid w:val="009801E4"/>
    <w:rsid w:val="00980916"/>
    <w:rsid w:val="009811F1"/>
    <w:rsid w:val="00981509"/>
    <w:rsid w:val="00982188"/>
    <w:rsid w:val="009825E7"/>
    <w:rsid w:val="00982611"/>
    <w:rsid w:val="00982DC2"/>
    <w:rsid w:val="00982F58"/>
    <w:rsid w:val="00982FC3"/>
    <w:rsid w:val="00983187"/>
    <w:rsid w:val="00983E57"/>
    <w:rsid w:val="00983F97"/>
    <w:rsid w:val="009840D8"/>
    <w:rsid w:val="009843B8"/>
    <w:rsid w:val="0098518A"/>
    <w:rsid w:val="00985D22"/>
    <w:rsid w:val="00985DBD"/>
    <w:rsid w:val="00985DE2"/>
    <w:rsid w:val="0098675D"/>
    <w:rsid w:val="0098694B"/>
    <w:rsid w:val="00986F01"/>
    <w:rsid w:val="009875A1"/>
    <w:rsid w:val="00987A75"/>
    <w:rsid w:val="00987AC8"/>
    <w:rsid w:val="00987BA4"/>
    <w:rsid w:val="00987FD6"/>
    <w:rsid w:val="00990EFF"/>
    <w:rsid w:val="00990FB8"/>
    <w:rsid w:val="009910BE"/>
    <w:rsid w:val="009915E6"/>
    <w:rsid w:val="00991E74"/>
    <w:rsid w:val="00992480"/>
    <w:rsid w:val="009926E0"/>
    <w:rsid w:val="00993AF3"/>
    <w:rsid w:val="00993DD9"/>
    <w:rsid w:val="0099451E"/>
    <w:rsid w:val="00994638"/>
    <w:rsid w:val="0099489C"/>
    <w:rsid w:val="00994976"/>
    <w:rsid w:val="00994D13"/>
    <w:rsid w:val="009958E7"/>
    <w:rsid w:val="009963C6"/>
    <w:rsid w:val="00996B1A"/>
    <w:rsid w:val="00997225"/>
    <w:rsid w:val="009976E3"/>
    <w:rsid w:val="00997B48"/>
    <w:rsid w:val="009A13CD"/>
    <w:rsid w:val="009A1780"/>
    <w:rsid w:val="009A1788"/>
    <w:rsid w:val="009A18F6"/>
    <w:rsid w:val="009A2B3B"/>
    <w:rsid w:val="009A2DCC"/>
    <w:rsid w:val="009A2DD6"/>
    <w:rsid w:val="009A2E64"/>
    <w:rsid w:val="009A32D8"/>
    <w:rsid w:val="009A3623"/>
    <w:rsid w:val="009A3E53"/>
    <w:rsid w:val="009A4424"/>
    <w:rsid w:val="009A567A"/>
    <w:rsid w:val="009A5ABC"/>
    <w:rsid w:val="009A5B4D"/>
    <w:rsid w:val="009A7BD5"/>
    <w:rsid w:val="009A7F10"/>
    <w:rsid w:val="009B0593"/>
    <w:rsid w:val="009B1064"/>
    <w:rsid w:val="009B145A"/>
    <w:rsid w:val="009B23A7"/>
    <w:rsid w:val="009B2EE8"/>
    <w:rsid w:val="009B3227"/>
    <w:rsid w:val="009B3C1D"/>
    <w:rsid w:val="009B3E26"/>
    <w:rsid w:val="009B4325"/>
    <w:rsid w:val="009B4949"/>
    <w:rsid w:val="009B4EBB"/>
    <w:rsid w:val="009B5604"/>
    <w:rsid w:val="009B5F0D"/>
    <w:rsid w:val="009B619B"/>
    <w:rsid w:val="009B6805"/>
    <w:rsid w:val="009B6B64"/>
    <w:rsid w:val="009B6FCA"/>
    <w:rsid w:val="009B7013"/>
    <w:rsid w:val="009B71D2"/>
    <w:rsid w:val="009C0AF8"/>
    <w:rsid w:val="009C0E6F"/>
    <w:rsid w:val="009C109C"/>
    <w:rsid w:val="009C1203"/>
    <w:rsid w:val="009C1271"/>
    <w:rsid w:val="009C19B7"/>
    <w:rsid w:val="009C1FE1"/>
    <w:rsid w:val="009C23FD"/>
    <w:rsid w:val="009C3706"/>
    <w:rsid w:val="009C3A3A"/>
    <w:rsid w:val="009C3BC6"/>
    <w:rsid w:val="009C3DF9"/>
    <w:rsid w:val="009C4211"/>
    <w:rsid w:val="009C4C97"/>
    <w:rsid w:val="009C60AB"/>
    <w:rsid w:val="009C6B04"/>
    <w:rsid w:val="009C6CEA"/>
    <w:rsid w:val="009C7B85"/>
    <w:rsid w:val="009C7D97"/>
    <w:rsid w:val="009C7DF7"/>
    <w:rsid w:val="009D0105"/>
    <w:rsid w:val="009D0254"/>
    <w:rsid w:val="009D0688"/>
    <w:rsid w:val="009D076F"/>
    <w:rsid w:val="009D0D05"/>
    <w:rsid w:val="009D0DF9"/>
    <w:rsid w:val="009D107A"/>
    <w:rsid w:val="009D148A"/>
    <w:rsid w:val="009D19AF"/>
    <w:rsid w:val="009D1A64"/>
    <w:rsid w:val="009D1E59"/>
    <w:rsid w:val="009D1ECC"/>
    <w:rsid w:val="009D2181"/>
    <w:rsid w:val="009D238F"/>
    <w:rsid w:val="009D246F"/>
    <w:rsid w:val="009D381B"/>
    <w:rsid w:val="009D3E54"/>
    <w:rsid w:val="009D3E8F"/>
    <w:rsid w:val="009D48C3"/>
    <w:rsid w:val="009D530D"/>
    <w:rsid w:val="009D5B91"/>
    <w:rsid w:val="009D61AB"/>
    <w:rsid w:val="009D6E12"/>
    <w:rsid w:val="009D78ED"/>
    <w:rsid w:val="009D792E"/>
    <w:rsid w:val="009D794C"/>
    <w:rsid w:val="009D7B79"/>
    <w:rsid w:val="009D7D57"/>
    <w:rsid w:val="009E085F"/>
    <w:rsid w:val="009E0B92"/>
    <w:rsid w:val="009E0DFE"/>
    <w:rsid w:val="009E1007"/>
    <w:rsid w:val="009E140B"/>
    <w:rsid w:val="009E1562"/>
    <w:rsid w:val="009E1B4E"/>
    <w:rsid w:val="009E1F52"/>
    <w:rsid w:val="009E2DAD"/>
    <w:rsid w:val="009E31F6"/>
    <w:rsid w:val="009E3522"/>
    <w:rsid w:val="009E38DA"/>
    <w:rsid w:val="009E49E8"/>
    <w:rsid w:val="009E4AE3"/>
    <w:rsid w:val="009E4C07"/>
    <w:rsid w:val="009E5340"/>
    <w:rsid w:val="009E5F35"/>
    <w:rsid w:val="009E607D"/>
    <w:rsid w:val="009E7552"/>
    <w:rsid w:val="009E768F"/>
    <w:rsid w:val="009E777F"/>
    <w:rsid w:val="009E7D66"/>
    <w:rsid w:val="009E7F9F"/>
    <w:rsid w:val="009F0102"/>
    <w:rsid w:val="009F0679"/>
    <w:rsid w:val="009F0E5E"/>
    <w:rsid w:val="009F17B2"/>
    <w:rsid w:val="009F216F"/>
    <w:rsid w:val="009F2CEB"/>
    <w:rsid w:val="009F3D72"/>
    <w:rsid w:val="009F407B"/>
    <w:rsid w:val="009F4F09"/>
    <w:rsid w:val="009F4F68"/>
    <w:rsid w:val="009F570F"/>
    <w:rsid w:val="009F594D"/>
    <w:rsid w:val="009F5DDA"/>
    <w:rsid w:val="009F6120"/>
    <w:rsid w:val="009F6E1D"/>
    <w:rsid w:val="009F7373"/>
    <w:rsid w:val="009F7A31"/>
    <w:rsid w:val="00A00D76"/>
    <w:rsid w:val="00A00EC7"/>
    <w:rsid w:val="00A01184"/>
    <w:rsid w:val="00A01449"/>
    <w:rsid w:val="00A01573"/>
    <w:rsid w:val="00A03320"/>
    <w:rsid w:val="00A033D4"/>
    <w:rsid w:val="00A0379C"/>
    <w:rsid w:val="00A037C2"/>
    <w:rsid w:val="00A03932"/>
    <w:rsid w:val="00A03D43"/>
    <w:rsid w:val="00A03E1B"/>
    <w:rsid w:val="00A04380"/>
    <w:rsid w:val="00A04786"/>
    <w:rsid w:val="00A05472"/>
    <w:rsid w:val="00A05BC1"/>
    <w:rsid w:val="00A05C15"/>
    <w:rsid w:val="00A05C32"/>
    <w:rsid w:val="00A0648B"/>
    <w:rsid w:val="00A0653F"/>
    <w:rsid w:val="00A067DE"/>
    <w:rsid w:val="00A06A41"/>
    <w:rsid w:val="00A0745C"/>
    <w:rsid w:val="00A077FC"/>
    <w:rsid w:val="00A106F7"/>
    <w:rsid w:val="00A10C1A"/>
    <w:rsid w:val="00A117B7"/>
    <w:rsid w:val="00A11CD0"/>
    <w:rsid w:val="00A11DED"/>
    <w:rsid w:val="00A11E30"/>
    <w:rsid w:val="00A1244C"/>
    <w:rsid w:val="00A12873"/>
    <w:rsid w:val="00A1328D"/>
    <w:rsid w:val="00A13948"/>
    <w:rsid w:val="00A13F83"/>
    <w:rsid w:val="00A13F98"/>
    <w:rsid w:val="00A14997"/>
    <w:rsid w:val="00A1555B"/>
    <w:rsid w:val="00A155C5"/>
    <w:rsid w:val="00A15A9C"/>
    <w:rsid w:val="00A15D52"/>
    <w:rsid w:val="00A15E87"/>
    <w:rsid w:val="00A15ED7"/>
    <w:rsid w:val="00A16AD8"/>
    <w:rsid w:val="00A16BBC"/>
    <w:rsid w:val="00A179A7"/>
    <w:rsid w:val="00A17D92"/>
    <w:rsid w:val="00A2021E"/>
    <w:rsid w:val="00A21C65"/>
    <w:rsid w:val="00A21C95"/>
    <w:rsid w:val="00A21CF3"/>
    <w:rsid w:val="00A21D9C"/>
    <w:rsid w:val="00A222EC"/>
    <w:rsid w:val="00A2302A"/>
    <w:rsid w:val="00A23D59"/>
    <w:rsid w:val="00A23F01"/>
    <w:rsid w:val="00A24077"/>
    <w:rsid w:val="00A241D9"/>
    <w:rsid w:val="00A24813"/>
    <w:rsid w:val="00A2488E"/>
    <w:rsid w:val="00A24B77"/>
    <w:rsid w:val="00A24E7E"/>
    <w:rsid w:val="00A254FA"/>
    <w:rsid w:val="00A2618D"/>
    <w:rsid w:val="00A26797"/>
    <w:rsid w:val="00A26F91"/>
    <w:rsid w:val="00A2781C"/>
    <w:rsid w:val="00A27AEC"/>
    <w:rsid w:val="00A30AAF"/>
    <w:rsid w:val="00A31AE5"/>
    <w:rsid w:val="00A31B41"/>
    <w:rsid w:val="00A320DB"/>
    <w:rsid w:val="00A32402"/>
    <w:rsid w:val="00A34520"/>
    <w:rsid w:val="00A3464A"/>
    <w:rsid w:val="00A350C0"/>
    <w:rsid w:val="00A35AFF"/>
    <w:rsid w:val="00A35D16"/>
    <w:rsid w:val="00A35FA7"/>
    <w:rsid w:val="00A36790"/>
    <w:rsid w:val="00A368D6"/>
    <w:rsid w:val="00A3700B"/>
    <w:rsid w:val="00A37272"/>
    <w:rsid w:val="00A3756A"/>
    <w:rsid w:val="00A37ABF"/>
    <w:rsid w:val="00A37B36"/>
    <w:rsid w:val="00A37BCD"/>
    <w:rsid w:val="00A40683"/>
    <w:rsid w:val="00A41039"/>
    <w:rsid w:val="00A41337"/>
    <w:rsid w:val="00A41689"/>
    <w:rsid w:val="00A42013"/>
    <w:rsid w:val="00A4234C"/>
    <w:rsid w:val="00A42592"/>
    <w:rsid w:val="00A4288B"/>
    <w:rsid w:val="00A42977"/>
    <w:rsid w:val="00A43A43"/>
    <w:rsid w:val="00A43C59"/>
    <w:rsid w:val="00A4430F"/>
    <w:rsid w:val="00A449F0"/>
    <w:rsid w:val="00A44A88"/>
    <w:rsid w:val="00A44B45"/>
    <w:rsid w:val="00A44BD0"/>
    <w:rsid w:val="00A44F5A"/>
    <w:rsid w:val="00A4546E"/>
    <w:rsid w:val="00A45675"/>
    <w:rsid w:val="00A45B22"/>
    <w:rsid w:val="00A466E7"/>
    <w:rsid w:val="00A47EBC"/>
    <w:rsid w:val="00A50400"/>
    <w:rsid w:val="00A5044D"/>
    <w:rsid w:val="00A509CC"/>
    <w:rsid w:val="00A50A12"/>
    <w:rsid w:val="00A50A41"/>
    <w:rsid w:val="00A50ECD"/>
    <w:rsid w:val="00A518F3"/>
    <w:rsid w:val="00A52418"/>
    <w:rsid w:val="00A52729"/>
    <w:rsid w:val="00A534A5"/>
    <w:rsid w:val="00A53675"/>
    <w:rsid w:val="00A53E6E"/>
    <w:rsid w:val="00A543FD"/>
    <w:rsid w:val="00A54743"/>
    <w:rsid w:val="00A54E89"/>
    <w:rsid w:val="00A55718"/>
    <w:rsid w:val="00A55FAD"/>
    <w:rsid w:val="00A564D7"/>
    <w:rsid w:val="00A56B6A"/>
    <w:rsid w:val="00A57000"/>
    <w:rsid w:val="00A570FD"/>
    <w:rsid w:val="00A57156"/>
    <w:rsid w:val="00A57540"/>
    <w:rsid w:val="00A578DC"/>
    <w:rsid w:val="00A57C1B"/>
    <w:rsid w:val="00A605B7"/>
    <w:rsid w:val="00A6157E"/>
    <w:rsid w:val="00A61A18"/>
    <w:rsid w:val="00A61FA4"/>
    <w:rsid w:val="00A6232E"/>
    <w:rsid w:val="00A62344"/>
    <w:rsid w:val="00A625DE"/>
    <w:rsid w:val="00A63380"/>
    <w:rsid w:val="00A63836"/>
    <w:rsid w:val="00A63B0C"/>
    <w:rsid w:val="00A63BF2"/>
    <w:rsid w:val="00A64046"/>
    <w:rsid w:val="00A640E2"/>
    <w:rsid w:val="00A644FB"/>
    <w:rsid w:val="00A64D65"/>
    <w:rsid w:val="00A64DE3"/>
    <w:rsid w:val="00A65CB4"/>
    <w:rsid w:val="00A66786"/>
    <w:rsid w:val="00A6705E"/>
    <w:rsid w:val="00A6725B"/>
    <w:rsid w:val="00A70082"/>
    <w:rsid w:val="00A70605"/>
    <w:rsid w:val="00A706D2"/>
    <w:rsid w:val="00A70DF3"/>
    <w:rsid w:val="00A70FDC"/>
    <w:rsid w:val="00A71495"/>
    <w:rsid w:val="00A714A6"/>
    <w:rsid w:val="00A716C9"/>
    <w:rsid w:val="00A71B43"/>
    <w:rsid w:val="00A72329"/>
    <w:rsid w:val="00A723E9"/>
    <w:rsid w:val="00A73024"/>
    <w:rsid w:val="00A73134"/>
    <w:rsid w:val="00A73185"/>
    <w:rsid w:val="00A733DF"/>
    <w:rsid w:val="00A7347B"/>
    <w:rsid w:val="00A7365A"/>
    <w:rsid w:val="00A73F4C"/>
    <w:rsid w:val="00A73FF4"/>
    <w:rsid w:val="00A75B47"/>
    <w:rsid w:val="00A76001"/>
    <w:rsid w:val="00A76EE4"/>
    <w:rsid w:val="00A771E2"/>
    <w:rsid w:val="00A777B2"/>
    <w:rsid w:val="00A80300"/>
    <w:rsid w:val="00A80B70"/>
    <w:rsid w:val="00A80D75"/>
    <w:rsid w:val="00A81629"/>
    <w:rsid w:val="00A8171D"/>
    <w:rsid w:val="00A817CF"/>
    <w:rsid w:val="00A81907"/>
    <w:rsid w:val="00A81B9A"/>
    <w:rsid w:val="00A820D4"/>
    <w:rsid w:val="00A82320"/>
    <w:rsid w:val="00A825D4"/>
    <w:rsid w:val="00A828F6"/>
    <w:rsid w:val="00A82A5A"/>
    <w:rsid w:val="00A82B73"/>
    <w:rsid w:val="00A82D21"/>
    <w:rsid w:val="00A8364B"/>
    <w:rsid w:val="00A83CD8"/>
    <w:rsid w:val="00A84156"/>
    <w:rsid w:val="00A842AD"/>
    <w:rsid w:val="00A84A2E"/>
    <w:rsid w:val="00A84A52"/>
    <w:rsid w:val="00A84BD8"/>
    <w:rsid w:val="00A85222"/>
    <w:rsid w:val="00A854BA"/>
    <w:rsid w:val="00A858AE"/>
    <w:rsid w:val="00A85980"/>
    <w:rsid w:val="00A85B50"/>
    <w:rsid w:val="00A85B52"/>
    <w:rsid w:val="00A86275"/>
    <w:rsid w:val="00A86291"/>
    <w:rsid w:val="00A862DA"/>
    <w:rsid w:val="00A86D9B"/>
    <w:rsid w:val="00A86E8B"/>
    <w:rsid w:val="00A86EFE"/>
    <w:rsid w:val="00A87164"/>
    <w:rsid w:val="00A879E5"/>
    <w:rsid w:val="00A916AC"/>
    <w:rsid w:val="00A91747"/>
    <w:rsid w:val="00A92744"/>
    <w:rsid w:val="00A92867"/>
    <w:rsid w:val="00A928E8"/>
    <w:rsid w:val="00A92EB4"/>
    <w:rsid w:val="00A93072"/>
    <w:rsid w:val="00A9322A"/>
    <w:rsid w:val="00A938BD"/>
    <w:rsid w:val="00A938CF"/>
    <w:rsid w:val="00A93953"/>
    <w:rsid w:val="00A93AF5"/>
    <w:rsid w:val="00A94902"/>
    <w:rsid w:val="00A94F56"/>
    <w:rsid w:val="00A94FFC"/>
    <w:rsid w:val="00A9504F"/>
    <w:rsid w:val="00A95335"/>
    <w:rsid w:val="00A95957"/>
    <w:rsid w:val="00A959D8"/>
    <w:rsid w:val="00A96011"/>
    <w:rsid w:val="00A961ED"/>
    <w:rsid w:val="00A96858"/>
    <w:rsid w:val="00A96DB5"/>
    <w:rsid w:val="00A975A4"/>
    <w:rsid w:val="00A97F96"/>
    <w:rsid w:val="00AA0587"/>
    <w:rsid w:val="00AA113D"/>
    <w:rsid w:val="00AA11FA"/>
    <w:rsid w:val="00AA12AE"/>
    <w:rsid w:val="00AA1535"/>
    <w:rsid w:val="00AA1899"/>
    <w:rsid w:val="00AA1B7E"/>
    <w:rsid w:val="00AA21C9"/>
    <w:rsid w:val="00AA28E6"/>
    <w:rsid w:val="00AA2EAC"/>
    <w:rsid w:val="00AA35C1"/>
    <w:rsid w:val="00AA3E4F"/>
    <w:rsid w:val="00AA48BF"/>
    <w:rsid w:val="00AA4937"/>
    <w:rsid w:val="00AA4A37"/>
    <w:rsid w:val="00AA53B8"/>
    <w:rsid w:val="00AA548B"/>
    <w:rsid w:val="00AA6A25"/>
    <w:rsid w:val="00AA6BD5"/>
    <w:rsid w:val="00AA6BD8"/>
    <w:rsid w:val="00AA6C7D"/>
    <w:rsid w:val="00AA72AD"/>
    <w:rsid w:val="00AA7438"/>
    <w:rsid w:val="00AA7826"/>
    <w:rsid w:val="00AA7DA6"/>
    <w:rsid w:val="00AA7FD6"/>
    <w:rsid w:val="00AB02C7"/>
    <w:rsid w:val="00AB042A"/>
    <w:rsid w:val="00AB11AD"/>
    <w:rsid w:val="00AB19EF"/>
    <w:rsid w:val="00AB1EAC"/>
    <w:rsid w:val="00AB2495"/>
    <w:rsid w:val="00AB2D34"/>
    <w:rsid w:val="00AB3430"/>
    <w:rsid w:val="00AB37B9"/>
    <w:rsid w:val="00AB3B22"/>
    <w:rsid w:val="00AB3FEA"/>
    <w:rsid w:val="00AB4608"/>
    <w:rsid w:val="00AB4AC2"/>
    <w:rsid w:val="00AB4AD1"/>
    <w:rsid w:val="00AB5413"/>
    <w:rsid w:val="00AB5E07"/>
    <w:rsid w:val="00AB618A"/>
    <w:rsid w:val="00AB6FD9"/>
    <w:rsid w:val="00AB7C0D"/>
    <w:rsid w:val="00AB7CFA"/>
    <w:rsid w:val="00AC0A4E"/>
    <w:rsid w:val="00AC1BFC"/>
    <w:rsid w:val="00AC1F96"/>
    <w:rsid w:val="00AC217C"/>
    <w:rsid w:val="00AC2418"/>
    <w:rsid w:val="00AC2E8D"/>
    <w:rsid w:val="00AC2EB8"/>
    <w:rsid w:val="00AC331A"/>
    <w:rsid w:val="00AC3A75"/>
    <w:rsid w:val="00AC5027"/>
    <w:rsid w:val="00AC50C9"/>
    <w:rsid w:val="00AC534A"/>
    <w:rsid w:val="00AC5430"/>
    <w:rsid w:val="00AC5B42"/>
    <w:rsid w:val="00AC5B48"/>
    <w:rsid w:val="00AC6496"/>
    <w:rsid w:val="00AC64C8"/>
    <w:rsid w:val="00AC6847"/>
    <w:rsid w:val="00AC6F57"/>
    <w:rsid w:val="00AC7307"/>
    <w:rsid w:val="00AC7326"/>
    <w:rsid w:val="00AC7843"/>
    <w:rsid w:val="00AD04AE"/>
    <w:rsid w:val="00AD08B8"/>
    <w:rsid w:val="00AD08E3"/>
    <w:rsid w:val="00AD0958"/>
    <w:rsid w:val="00AD0DDA"/>
    <w:rsid w:val="00AD1450"/>
    <w:rsid w:val="00AD15E8"/>
    <w:rsid w:val="00AD1F5A"/>
    <w:rsid w:val="00AD22E0"/>
    <w:rsid w:val="00AD356D"/>
    <w:rsid w:val="00AD3742"/>
    <w:rsid w:val="00AD3EED"/>
    <w:rsid w:val="00AD4AB1"/>
    <w:rsid w:val="00AD55DF"/>
    <w:rsid w:val="00AD583F"/>
    <w:rsid w:val="00AD64AF"/>
    <w:rsid w:val="00AD6502"/>
    <w:rsid w:val="00AD6BAB"/>
    <w:rsid w:val="00AD75D8"/>
    <w:rsid w:val="00AD765F"/>
    <w:rsid w:val="00AD76B5"/>
    <w:rsid w:val="00AD7928"/>
    <w:rsid w:val="00AE0695"/>
    <w:rsid w:val="00AE0E44"/>
    <w:rsid w:val="00AE0FFB"/>
    <w:rsid w:val="00AE11B9"/>
    <w:rsid w:val="00AE14DB"/>
    <w:rsid w:val="00AE17DD"/>
    <w:rsid w:val="00AE1A03"/>
    <w:rsid w:val="00AE1E33"/>
    <w:rsid w:val="00AE2CA7"/>
    <w:rsid w:val="00AE2F41"/>
    <w:rsid w:val="00AE2F51"/>
    <w:rsid w:val="00AE3401"/>
    <w:rsid w:val="00AE35F9"/>
    <w:rsid w:val="00AE39D7"/>
    <w:rsid w:val="00AE39F9"/>
    <w:rsid w:val="00AE3BB6"/>
    <w:rsid w:val="00AE3E7E"/>
    <w:rsid w:val="00AE3EB6"/>
    <w:rsid w:val="00AE4575"/>
    <w:rsid w:val="00AE4ADC"/>
    <w:rsid w:val="00AE4DE1"/>
    <w:rsid w:val="00AE51AC"/>
    <w:rsid w:val="00AE53A5"/>
    <w:rsid w:val="00AE570A"/>
    <w:rsid w:val="00AE5BE4"/>
    <w:rsid w:val="00AE731D"/>
    <w:rsid w:val="00AE74D4"/>
    <w:rsid w:val="00AE7725"/>
    <w:rsid w:val="00AE7E53"/>
    <w:rsid w:val="00AE7FBB"/>
    <w:rsid w:val="00AF0198"/>
    <w:rsid w:val="00AF05C4"/>
    <w:rsid w:val="00AF0B11"/>
    <w:rsid w:val="00AF110F"/>
    <w:rsid w:val="00AF126D"/>
    <w:rsid w:val="00AF1315"/>
    <w:rsid w:val="00AF183C"/>
    <w:rsid w:val="00AF19BF"/>
    <w:rsid w:val="00AF1D18"/>
    <w:rsid w:val="00AF22B0"/>
    <w:rsid w:val="00AF23D7"/>
    <w:rsid w:val="00AF2832"/>
    <w:rsid w:val="00AF2C74"/>
    <w:rsid w:val="00AF2DC3"/>
    <w:rsid w:val="00AF2F3D"/>
    <w:rsid w:val="00AF34A1"/>
    <w:rsid w:val="00AF4801"/>
    <w:rsid w:val="00AF4DAE"/>
    <w:rsid w:val="00AF56BA"/>
    <w:rsid w:val="00AF5983"/>
    <w:rsid w:val="00AF5ED8"/>
    <w:rsid w:val="00AF5F9B"/>
    <w:rsid w:val="00AF6532"/>
    <w:rsid w:val="00AF6569"/>
    <w:rsid w:val="00AF6632"/>
    <w:rsid w:val="00AF699C"/>
    <w:rsid w:val="00AF7235"/>
    <w:rsid w:val="00B014F4"/>
    <w:rsid w:val="00B01623"/>
    <w:rsid w:val="00B0173E"/>
    <w:rsid w:val="00B01D1B"/>
    <w:rsid w:val="00B01E6B"/>
    <w:rsid w:val="00B01F7E"/>
    <w:rsid w:val="00B0254F"/>
    <w:rsid w:val="00B02B91"/>
    <w:rsid w:val="00B032CB"/>
    <w:rsid w:val="00B033E5"/>
    <w:rsid w:val="00B03A63"/>
    <w:rsid w:val="00B03D5B"/>
    <w:rsid w:val="00B03DF6"/>
    <w:rsid w:val="00B04665"/>
    <w:rsid w:val="00B05181"/>
    <w:rsid w:val="00B05364"/>
    <w:rsid w:val="00B054A4"/>
    <w:rsid w:val="00B055CE"/>
    <w:rsid w:val="00B061B7"/>
    <w:rsid w:val="00B063A8"/>
    <w:rsid w:val="00B06410"/>
    <w:rsid w:val="00B06CA6"/>
    <w:rsid w:val="00B07F62"/>
    <w:rsid w:val="00B10267"/>
    <w:rsid w:val="00B105A8"/>
    <w:rsid w:val="00B10FBA"/>
    <w:rsid w:val="00B1126B"/>
    <w:rsid w:val="00B11642"/>
    <w:rsid w:val="00B1289F"/>
    <w:rsid w:val="00B129A4"/>
    <w:rsid w:val="00B13052"/>
    <w:rsid w:val="00B132E2"/>
    <w:rsid w:val="00B14718"/>
    <w:rsid w:val="00B149CB"/>
    <w:rsid w:val="00B14A26"/>
    <w:rsid w:val="00B15451"/>
    <w:rsid w:val="00B15502"/>
    <w:rsid w:val="00B166A9"/>
    <w:rsid w:val="00B1692C"/>
    <w:rsid w:val="00B169A2"/>
    <w:rsid w:val="00B1731F"/>
    <w:rsid w:val="00B178A8"/>
    <w:rsid w:val="00B17EEE"/>
    <w:rsid w:val="00B201A4"/>
    <w:rsid w:val="00B201D1"/>
    <w:rsid w:val="00B2092A"/>
    <w:rsid w:val="00B20B07"/>
    <w:rsid w:val="00B21268"/>
    <w:rsid w:val="00B213A6"/>
    <w:rsid w:val="00B2148D"/>
    <w:rsid w:val="00B21B90"/>
    <w:rsid w:val="00B221B2"/>
    <w:rsid w:val="00B22E9A"/>
    <w:rsid w:val="00B2303A"/>
    <w:rsid w:val="00B235B0"/>
    <w:rsid w:val="00B23970"/>
    <w:rsid w:val="00B23DE6"/>
    <w:rsid w:val="00B245E5"/>
    <w:rsid w:val="00B24DF6"/>
    <w:rsid w:val="00B24F0B"/>
    <w:rsid w:val="00B268C0"/>
    <w:rsid w:val="00B270B6"/>
    <w:rsid w:val="00B27A61"/>
    <w:rsid w:val="00B27C71"/>
    <w:rsid w:val="00B313D2"/>
    <w:rsid w:val="00B317BF"/>
    <w:rsid w:val="00B32125"/>
    <w:rsid w:val="00B322D6"/>
    <w:rsid w:val="00B32AE9"/>
    <w:rsid w:val="00B32D4E"/>
    <w:rsid w:val="00B32E1A"/>
    <w:rsid w:val="00B32EE8"/>
    <w:rsid w:val="00B33184"/>
    <w:rsid w:val="00B33C6C"/>
    <w:rsid w:val="00B345B3"/>
    <w:rsid w:val="00B34FE2"/>
    <w:rsid w:val="00B35166"/>
    <w:rsid w:val="00B357D8"/>
    <w:rsid w:val="00B35853"/>
    <w:rsid w:val="00B35969"/>
    <w:rsid w:val="00B359E3"/>
    <w:rsid w:val="00B35E26"/>
    <w:rsid w:val="00B36050"/>
    <w:rsid w:val="00B360F4"/>
    <w:rsid w:val="00B36837"/>
    <w:rsid w:val="00B36A00"/>
    <w:rsid w:val="00B3792B"/>
    <w:rsid w:val="00B37A8D"/>
    <w:rsid w:val="00B37BFC"/>
    <w:rsid w:val="00B37E88"/>
    <w:rsid w:val="00B40035"/>
    <w:rsid w:val="00B40358"/>
    <w:rsid w:val="00B40904"/>
    <w:rsid w:val="00B4134D"/>
    <w:rsid w:val="00B41614"/>
    <w:rsid w:val="00B42154"/>
    <w:rsid w:val="00B421F2"/>
    <w:rsid w:val="00B42848"/>
    <w:rsid w:val="00B42851"/>
    <w:rsid w:val="00B42993"/>
    <w:rsid w:val="00B42DF5"/>
    <w:rsid w:val="00B42F80"/>
    <w:rsid w:val="00B42FC5"/>
    <w:rsid w:val="00B43137"/>
    <w:rsid w:val="00B435CB"/>
    <w:rsid w:val="00B43DE6"/>
    <w:rsid w:val="00B4405E"/>
    <w:rsid w:val="00B44342"/>
    <w:rsid w:val="00B45250"/>
    <w:rsid w:val="00B45374"/>
    <w:rsid w:val="00B45B66"/>
    <w:rsid w:val="00B460CB"/>
    <w:rsid w:val="00B461E3"/>
    <w:rsid w:val="00B465EC"/>
    <w:rsid w:val="00B470E9"/>
    <w:rsid w:val="00B4789B"/>
    <w:rsid w:val="00B47FC3"/>
    <w:rsid w:val="00B501DF"/>
    <w:rsid w:val="00B504AC"/>
    <w:rsid w:val="00B505C8"/>
    <w:rsid w:val="00B50949"/>
    <w:rsid w:val="00B50DB8"/>
    <w:rsid w:val="00B50E35"/>
    <w:rsid w:val="00B50F77"/>
    <w:rsid w:val="00B51615"/>
    <w:rsid w:val="00B51C49"/>
    <w:rsid w:val="00B51CF2"/>
    <w:rsid w:val="00B52079"/>
    <w:rsid w:val="00B530A1"/>
    <w:rsid w:val="00B53654"/>
    <w:rsid w:val="00B53905"/>
    <w:rsid w:val="00B5395A"/>
    <w:rsid w:val="00B546DB"/>
    <w:rsid w:val="00B54780"/>
    <w:rsid w:val="00B54A79"/>
    <w:rsid w:val="00B54B5B"/>
    <w:rsid w:val="00B55035"/>
    <w:rsid w:val="00B55043"/>
    <w:rsid w:val="00B551CE"/>
    <w:rsid w:val="00B55514"/>
    <w:rsid w:val="00B55603"/>
    <w:rsid w:val="00B5562E"/>
    <w:rsid w:val="00B55862"/>
    <w:rsid w:val="00B55D65"/>
    <w:rsid w:val="00B560C2"/>
    <w:rsid w:val="00B56159"/>
    <w:rsid w:val="00B56305"/>
    <w:rsid w:val="00B56724"/>
    <w:rsid w:val="00B57000"/>
    <w:rsid w:val="00B57059"/>
    <w:rsid w:val="00B5715F"/>
    <w:rsid w:val="00B57614"/>
    <w:rsid w:val="00B60939"/>
    <w:rsid w:val="00B60AFD"/>
    <w:rsid w:val="00B60F7C"/>
    <w:rsid w:val="00B611A3"/>
    <w:rsid w:val="00B61F05"/>
    <w:rsid w:val="00B62715"/>
    <w:rsid w:val="00B64326"/>
    <w:rsid w:val="00B645C2"/>
    <w:rsid w:val="00B65291"/>
    <w:rsid w:val="00B65611"/>
    <w:rsid w:val="00B6562B"/>
    <w:rsid w:val="00B65AE3"/>
    <w:rsid w:val="00B65D79"/>
    <w:rsid w:val="00B65FAB"/>
    <w:rsid w:val="00B66769"/>
    <w:rsid w:val="00B66A88"/>
    <w:rsid w:val="00B66CAF"/>
    <w:rsid w:val="00B6783A"/>
    <w:rsid w:val="00B7090C"/>
    <w:rsid w:val="00B70E8E"/>
    <w:rsid w:val="00B7106F"/>
    <w:rsid w:val="00B7238A"/>
    <w:rsid w:val="00B7267F"/>
    <w:rsid w:val="00B72976"/>
    <w:rsid w:val="00B72A20"/>
    <w:rsid w:val="00B72D94"/>
    <w:rsid w:val="00B7307B"/>
    <w:rsid w:val="00B73C05"/>
    <w:rsid w:val="00B74360"/>
    <w:rsid w:val="00B748E6"/>
    <w:rsid w:val="00B75964"/>
    <w:rsid w:val="00B76C92"/>
    <w:rsid w:val="00B76D43"/>
    <w:rsid w:val="00B77360"/>
    <w:rsid w:val="00B80189"/>
    <w:rsid w:val="00B80EFD"/>
    <w:rsid w:val="00B811EF"/>
    <w:rsid w:val="00B812AF"/>
    <w:rsid w:val="00B81748"/>
    <w:rsid w:val="00B818A4"/>
    <w:rsid w:val="00B828AA"/>
    <w:rsid w:val="00B82C3C"/>
    <w:rsid w:val="00B82FD0"/>
    <w:rsid w:val="00B83739"/>
    <w:rsid w:val="00B83756"/>
    <w:rsid w:val="00B84042"/>
    <w:rsid w:val="00B84117"/>
    <w:rsid w:val="00B84B4D"/>
    <w:rsid w:val="00B84BDE"/>
    <w:rsid w:val="00B85470"/>
    <w:rsid w:val="00B858F0"/>
    <w:rsid w:val="00B85AA2"/>
    <w:rsid w:val="00B861B2"/>
    <w:rsid w:val="00B8649C"/>
    <w:rsid w:val="00B8695D"/>
    <w:rsid w:val="00B86D39"/>
    <w:rsid w:val="00B8753D"/>
    <w:rsid w:val="00B87722"/>
    <w:rsid w:val="00B87F0A"/>
    <w:rsid w:val="00B9001F"/>
    <w:rsid w:val="00B903E7"/>
    <w:rsid w:val="00B90825"/>
    <w:rsid w:val="00B90BA7"/>
    <w:rsid w:val="00B91A74"/>
    <w:rsid w:val="00B91D70"/>
    <w:rsid w:val="00B91E2D"/>
    <w:rsid w:val="00B92355"/>
    <w:rsid w:val="00B928BD"/>
    <w:rsid w:val="00B92B8C"/>
    <w:rsid w:val="00B92C9F"/>
    <w:rsid w:val="00B92D0B"/>
    <w:rsid w:val="00B9354B"/>
    <w:rsid w:val="00B93745"/>
    <w:rsid w:val="00B939A0"/>
    <w:rsid w:val="00B93A6C"/>
    <w:rsid w:val="00B94327"/>
    <w:rsid w:val="00B94945"/>
    <w:rsid w:val="00B94C5A"/>
    <w:rsid w:val="00B94DD6"/>
    <w:rsid w:val="00B950CE"/>
    <w:rsid w:val="00B95C47"/>
    <w:rsid w:val="00B9640C"/>
    <w:rsid w:val="00B9643B"/>
    <w:rsid w:val="00B96664"/>
    <w:rsid w:val="00B96959"/>
    <w:rsid w:val="00B9748D"/>
    <w:rsid w:val="00BA11E2"/>
    <w:rsid w:val="00BA17FA"/>
    <w:rsid w:val="00BA2241"/>
    <w:rsid w:val="00BA224D"/>
    <w:rsid w:val="00BA26DE"/>
    <w:rsid w:val="00BA2998"/>
    <w:rsid w:val="00BA2DB3"/>
    <w:rsid w:val="00BA3182"/>
    <w:rsid w:val="00BA322D"/>
    <w:rsid w:val="00BA328F"/>
    <w:rsid w:val="00BA3B0F"/>
    <w:rsid w:val="00BA3C94"/>
    <w:rsid w:val="00BA4060"/>
    <w:rsid w:val="00BA4924"/>
    <w:rsid w:val="00BA5BF0"/>
    <w:rsid w:val="00BA63FA"/>
    <w:rsid w:val="00BA71CB"/>
    <w:rsid w:val="00BA73D8"/>
    <w:rsid w:val="00BA7E1B"/>
    <w:rsid w:val="00BB00B3"/>
    <w:rsid w:val="00BB03E6"/>
    <w:rsid w:val="00BB0BDD"/>
    <w:rsid w:val="00BB176C"/>
    <w:rsid w:val="00BB1BDE"/>
    <w:rsid w:val="00BB256A"/>
    <w:rsid w:val="00BB2A73"/>
    <w:rsid w:val="00BB2DB9"/>
    <w:rsid w:val="00BB343F"/>
    <w:rsid w:val="00BB36FF"/>
    <w:rsid w:val="00BB381C"/>
    <w:rsid w:val="00BB386D"/>
    <w:rsid w:val="00BB3A21"/>
    <w:rsid w:val="00BB3A45"/>
    <w:rsid w:val="00BB3C43"/>
    <w:rsid w:val="00BB4098"/>
    <w:rsid w:val="00BB429D"/>
    <w:rsid w:val="00BB4ACC"/>
    <w:rsid w:val="00BB4D8F"/>
    <w:rsid w:val="00BB4EE8"/>
    <w:rsid w:val="00BB505C"/>
    <w:rsid w:val="00BB703E"/>
    <w:rsid w:val="00BB732D"/>
    <w:rsid w:val="00BB7405"/>
    <w:rsid w:val="00BB75BA"/>
    <w:rsid w:val="00BB785E"/>
    <w:rsid w:val="00BB79D0"/>
    <w:rsid w:val="00BB7C03"/>
    <w:rsid w:val="00BC04EF"/>
    <w:rsid w:val="00BC0A67"/>
    <w:rsid w:val="00BC0EBA"/>
    <w:rsid w:val="00BC176D"/>
    <w:rsid w:val="00BC1E3F"/>
    <w:rsid w:val="00BC2320"/>
    <w:rsid w:val="00BC2C32"/>
    <w:rsid w:val="00BC2CC3"/>
    <w:rsid w:val="00BC2D71"/>
    <w:rsid w:val="00BC3631"/>
    <w:rsid w:val="00BC3784"/>
    <w:rsid w:val="00BC4645"/>
    <w:rsid w:val="00BC591F"/>
    <w:rsid w:val="00BC5D7E"/>
    <w:rsid w:val="00BC686E"/>
    <w:rsid w:val="00BC6ACC"/>
    <w:rsid w:val="00BC7424"/>
    <w:rsid w:val="00BC745F"/>
    <w:rsid w:val="00BC7D6D"/>
    <w:rsid w:val="00BD007C"/>
    <w:rsid w:val="00BD0ADC"/>
    <w:rsid w:val="00BD19FD"/>
    <w:rsid w:val="00BD2108"/>
    <w:rsid w:val="00BD2661"/>
    <w:rsid w:val="00BD2A39"/>
    <w:rsid w:val="00BD2C23"/>
    <w:rsid w:val="00BD2D2E"/>
    <w:rsid w:val="00BD2E60"/>
    <w:rsid w:val="00BD30DE"/>
    <w:rsid w:val="00BD3B79"/>
    <w:rsid w:val="00BD3F25"/>
    <w:rsid w:val="00BD410C"/>
    <w:rsid w:val="00BD4873"/>
    <w:rsid w:val="00BD4976"/>
    <w:rsid w:val="00BD4D08"/>
    <w:rsid w:val="00BD4DF3"/>
    <w:rsid w:val="00BD642E"/>
    <w:rsid w:val="00BD68A3"/>
    <w:rsid w:val="00BD6938"/>
    <w:rsid w:val="00BD6CF3"/>
    <w:rsid w:val="00BD6E95"/>
    <w:rsid w:val="00BD7404"/>
    <w:rsid w:val="00BD7F72"/>
    <w:rsid w:val="00BE0658"/>
    <w:rsid w:val="00BE0ACA"/>
    <w:rsid w:val="00BE0C30"/>
    <w:rsid w:val="00BE0CF7"/>
    <w:rsid w:val="00BE0ECA"/>
    <w:rsid w:val="00BE2180"/>
    <w:rsid w:val="00BE21F2"/>
    <w:rsid w:val="00BE22D5"/>
    <w:rsid w:val="00BE2C3D"/>
    <w:rsid w:val="00BE2E29"/>
    <w:rsid w:val="00BE37CE"/>
    <w:rsid w:val="00BE394A"/>
    <w:rsid w:val="00BE4275"/>
    <w:rsid w:val="00BE47AE"/>
    <w:rsid w:val="00BE53EB"/>
    <w:rsid w:val="00BE5793"/>
    <w:rsid w:val="00BE5CEF"/>
    <w:rsid w:val="00BE6ACC"/>
    <w:rsid w:val="00BE6CCC"/>
    <w:rsid w:val="00BE728E"/>
    <w:rsid w:val="00BE7349"/>
    <w:rsid w:val="00BE77EB"/>
    <w:rsid w:val="00BE786C"/>
    <w:rsid w:val="00BE7D35"/>
    <w:rsid w:val="00BF01D0"/>
    <w:rsid w:val="00BF01EA"/>
    <w:rsid w:val="00BF03DE"/>
    <w:rsid w:val="00BF06AE"/>
    <w:rsid w:val="00BF0924"/>
    <w:rsid w:val="00BF0F95"/>
    <w:rsid w:val="00BF1920"/>
    <w:rsid w:val="00BF1C6E"/>
    <w:rsid w:val="00BF20CD"/>
    <w:rsid w:val="00BF21C1"/>
    <w:rsid w:val="00BF21F0"/>
    <w:rsid w:val="00BF2433"/>
    <w:rsid w:val="00BF28A5"/>
    <w:rsid w:val="00BF2E6E"/>
    <w:rsid w:val="00BF303E"/>
    <w:rsid w:val="00BF3512"/>
    <w:rsid w:val="00BF362D"/>
    <w:rsid w:val="00BF3F9D"/>
    <w:rsid w:val="00BF565B"/>
    <w:rsid w:val="00BF57D5"/>
    <w:rsid w:val="00BF5840"/>
    <w:rsid w:val="00BF59C4"/>
    <w:rsid w:val="00BF61C9"/>
    <w:rsid w:val="00BF6BBC"/>
    <w:rsid w:val="00BF6C94"/>
    <w:rsid w:val="00BF6CE9"/>
    <w:rsid w:val="00BF6CF2"/>
    <w:rsid w:val="00BF6E62"/>
    <w:rsid w:val="00BF727F"/>
    <w:rsid w:val="00BF7479"/>
    <w:rsid w:val="00BF781F"/>
    <w:rsid w:val="00BF7A49"/>
    <w:rsid w:val="00C00424"/>
    <w:rsid w:val="00C00BB0"/>
    <w:rsid w:val="00C01691"/>
    <w:rsid w:val="00C01D59"/>
    <w:rsid w:val="00C01EE7"/>
    <w:rsid w:val="00C0285C"/>
    <w:rsid w:val="00C02D96"/>
    <w:rsid w:val="00C03649"/>
    <w:rsid w:val="00C040B2"/>
    <w:rsid w:val="00C043F3"/>
    <w:rsid w:val="00C044D5"/>
    <w:rsid w:val="00C04F88"/>
    <w:rsid w:val="00C063C0"/>
    <w:rsid w:val="00C06F97"/>
    <w:rsid w:val="00C071AA"/>
    <w:rsid w:val="00C0781F"/>
    <w:rsid w:val="00C10171"/>
    <w:rsid w:val="00C1179F"/>
    <w:rsid w:val="00C11E6B"/>
    <w:rsid w:val="00C12251"/>
    <w:rsid w:val="00C1234E"/>
    <w:rsid w:val="00C127B9"/>
    <w:rsid w:val="00C128FA"/>
    <w:rsid w:val="00C12B9E"/>
    <w:rsid w:val="00C12C14"/>
    <w:rsid w:val="00C1314F"/>
    <w:rsid w:val="00C132CE"/>
    <w:rsid w:val="00C13A52"/>
    <w:rsid w:val="00C13F87"/>
    <w:rsid w:val="00C13FBA"/>
    <w:rsid w:val="00C144E4"/>
    <w:rsid w:val="00C154F7"/>
    <w:rsid w:val="00C15B8A"/>
    <w:rsid w:val="00C15ED7"/>
    <w:rsid w:val="00C15F04"/>
    <w:rsid w:val="00C17009"/>
    <w:rsid w:val="00C1744F"/>
    <w:rsid w:val="00C1763A"/>
    <w:rsid w:val="00C179B3"/>
    <w:rsid w:val="00C17B17"/>
    <w:rsid w:val="00C17E3F"/>
    <w:rsid w:val="00C200AA"/>
    <w:rsid w:val="00C2020F"/>
    <w:rsid w:val="00C20433"/>
    <w:rsid w:val="00C206C6"/>
    <w:rsid w:val="00C20C46"/>
    <w:rsid w:val="00C21090"/>
    <w:rsid w:val="00C21670"/>
    <w:rsid w:val="00C2212A"/>
    <w:rsid w:val="00C2287D"/>
    <w:rsid w:val="00C22894"/>
    <w:rsid w:val="00C234BD"/>
    <w:rsid w:val="00C235A8"/>
    <w:rsid w:val="00C237ED"/>
    <w:rsid w:val="00C24632"/>
    <w:rsid w:val="00C25418"/>
    <w:rsid w:val="00C257EB"/>
    <w:rsid w:val="00C25A04"/>
    <w:rsid w:val="00C25D85"/>
    <w:rsid w:val="00C25D9C"/>
    <w:rsid w:val="00C25E04"/>
    <w:rsid w:val="00C26116"/>
    <w:rsid w:val="00C26133"/>
    <w:rsid w:val="00C26FCF"/>
    <w:rsid w:val="00C27029"/>
    <w:rsid w:val="00C2722D"/>
    <w:rsid w:val="00C275A7"/>
    <w:rsid w:val="00C275FD"/>
    <w:rsid w:val="00C2778B"/>
    <w:rsid w:val="00C27BAF"/>
    <w:rsid w:val="00C30C63"/>
    <w:rsid w:val="00C30E3E"/>
    <w:rsid w:val="00C312B4"/>
    <w:rsid w:val="00C31649"/>
    <w:rsid w:val="00C320C6"/>
    <w:rsid w:val="00C32D74"/>
    <w:rsid w:val="00C333C0"/>
    <w:rsid w:val="00C3434C"/>
    <w:rsid w:val="00C348B8"/>
    <w:rsid w:val="00C34AC6"/>
    <w:rsid w:val="00C34D6C"/>
    <w:rsid w:val="00C3546E"/>
    <w:rsid w:val="00C3565C"/>
    <w:rsid w:val="00C357EF"/>
    <w:rsid w:val="00C361A1"/>
    <w:rsid w:val="00C40385"/>
    <w:rsid w:val="00C4088E"/>
    <w:rsid w:val="00C40A1A"/>
    <w:rsid w:val="00C40F9C"/>
    <w:rsid w:val="00C41063"/>
    <w:rsid w:val="00C41089"/>
    <w:rsid w:val="00C41264"/>
    <w:rsid w:val="00C41281"/>
    <w:rsid w:val="00C41768"/>
    <w:rsid w:val="00C41F51"/>
    <w:rsid w:val="00C4228E"/>
    <w:rsid w:val="00C4293F"/>
    <w:rsid w:val="00C42E3B"/>
    <w:rsid w:val="00C430DA"/>
    <w:rsid w:val="00C43553"/>
    <w:rsid w:val="00C43DE5"/>
    <w:rsid w:val="00C44C2D"/>
    <w:rsid w:val="00C45366"/>
    <w:rsid w:val="00C45655"/>
    <w:rsid w:val="00C45CC1"/>
    <w:rsid w:val="00C46985"/>
    <w:rsid w:val="00C469BB"/>
    <w:rsid w:val="00C46BEC"/>
    <w:rsid w:val="00C475AA"/>
    <w:rsid w:val="00C4775F"/>
    <w:rsid w:val="00C47C48"/>
    <w:rsid w:val="00C508DD"/>
    <w:rsid w:val="00C51E31"/>
    <w:rsid w:val="00C51FBB"/>
    <w:rsid w:val="00C5261D"/>
    <w:rsid w:val="00C527C7"/>
    <w:rsid w:val="00C52C6E"/>
    <w:rsid w:val="00C532A4"/>
    <w:rsid w:val="00C53C98"/>
    <w:rsid w:val="00C54603"/>
    <w:rsid w:val="00C54A98"/>
    <w:rsid w:val="00C55663"/>
    <w:rsid w:val="00C55AED"/>
    <w:rsid w:val="00C5613E"/>
    <w:rsid w:val="00C56154"/>
    <w:rsid w:val="00C565C4"/>
    <w:rsid w:val="00C5677B"/>
    <w:rsid w:val="00C568AB"/>
    <w:rsid w:val="00C56FB1"/>
    <w:rsid w:val="00C56FCF"/>
    <w:rsid w:val="00C574AC"/>
    <w:rsid w:val="00C5793A"/>
    <w:rsid w:val="00C57A30"/>
    <w:rsid w:val="00C57B6C"/>
    <w:rsid w:val="00C60021"/>
    <w:rsid w:val="00C6008A"/>
    <w:rsid w:val="00C601D2"/>
    <w:rsid w:val="00C60526"/>
    <w:rsid w:val="00C60BF3"/>
    <w:rsid w:val="00C61A59"/>
    <w:rsid w:val="00C6230B"/>
    <w:rsid w:val="00C6237D"/>
    <w:rsid w:val="00C624E9"/>
    <w:rsid w:val="00C628A6"/>
    <w:rsid w:val="00C62C05"/>
    <w:rsid w:val="00C63136"/>
    <w:rsid w:val="00C63297"/>
    <w:rsid w:val="00C6372C"/>
    <w:rsid w:val="00C639AA"/>
    <w:rsid w:val="00C64344"/>
    <w:rsid w:val="00C64530"/>
    <w:rsid w:val="00C646AC"/>
    <w:rsid w:val="00C64EA1"/>
    <w:rsid w:val="00C65108"/>
    <w:rsid w:val="00C65576"/>
    <w:rsid w:val="00C655FA"/>
    <w:rsid w:val="00C65BB5"/>
    <w:rsid w:val="00C65F2D"/>
    <w:rsid w:val="00C65FE0"/>
    <w:rsid w:val="00C66165"/>
    <w:rsid w:val="00C6623D"/>
    <w:rsid w:val="00C66800"/>
    <w:rsid w:val="00C66820"/>
    <w:rsid w:val="00C66D63"/>
    <w:rsid w:val="00C675AE"/>
    <w:rsid w:val="00C7060A"/>
    <w:rsid w:val="00C70E9D"/>
    <w:rsid w:val="00C7151A"/>
    <w:rsid w:val="00C7170B"/>
    <w:rsid w:val="00C717E3"/>
    <w:rsid w:val="00C71F60"/>
    <w:rsid w:val="00C71FDA"/>
    <w:rsid w:val="00C7206C"/>
    <w:rsid w:val="00C720A4"/>
    <w:rsid w:val="00C720DF"/>
    <w:rsid w:val="00C72241"/>
    <w:rsid w:val="00C7232F"/>
    <w:rsid w:val="00C72D55"/>
    <w:rsid w:val="00C72E06"/>
    <w:rsid w:val="00C739D2"/>
    <w:rsid w:val="00C73C78"/>
    <w:rsid w:val="00C74FD3"/>
    <w:rsid w:val="00C750C8"/>
    <w:rsid w:val="00C75271"/>
    <w:rsid w:val="00C7560F"/>
    <w:rsid w:val="00C7584D"/>
    <w:rsid w:val="00C7663B"/>
    <w:rsid w:val="00C76AAE"/>
    <w:rsid w:val="00C76BC2"/>
    <w:rsid w:val="00C773ED"/>
    <w:rsid w:val="00C80668"/>
    <w:rsid w:val="00C80A0E"/>
    <w:rsid w:val="00C80C47"/>
    <w:rsid w:val="00C8153D"/>
    <w:rsid w:val="00C8175D"/>
    <w:rsid w:val="00C8213F"/>
    <w:rsid w:val="00C8254C"/>
    <w:rsid w:val="00C82845"/>
    <w:rsid w:val="00C82AD1"/>
    <w:rsid w:val="00C8303F"/>
    <w:rsid w:val="00C847BA"/>
    <w:rsid w:val="00C84C9F"/>
    <w:rsid w:val="00C84D5D"/>
    <w:rsid w:val="00C85044"/>
    <w:rsid w:val="00C85154"/>
    <w:rsid w:val="00C85A70"/>
    <w:rsid w:val="00C85B5C"/>
    <w:rsid w:val="00C85E58"/>
    <w:rsid w:val="00C866F1"/>
    <w:rsid w:val="00C878D0"/>
    <w:rsid w:val="00C8797A"/>
    <w:rsid w:val="00C87AFC"/>
    <w:rsid w:val="00C87F99"/>
    <w:rsid w:val="00C900B8"/>
    <w:rsid w:val="00C90197"/>
    <w:rsid w:val="00C906DA"/>
    <w:rsid w:val="00C90C71"/>
    <w:rsid w:val="00C9102D"/>
    <w:rsid w:val="00C91FD1"/>
    <w:rsid w:val="00C92543"/>
    <w:rsid w:val="00C930F5"/>
    <w:rsid w:val="00C931CF"/>
    <w:rsid w:val="00C93558"/>
    <w:rsid w:val="00C93579"/>
    <w:rsid w:val="00C938CF"/>
    <w:rsid w:val="00C93B22"/>
    <w:rsid w:val="00C93C6C"/>
    <w:rsid w:val="00C94053"/>
    <w:rsid w:val="00C94A6D"/>
    <w:rsid w:val="00C953A9"/>
    <w:rsid w:val="00C9555A"/>
    <w:rsid w:val="00C95898"/>
    <w:rsid w:val="00C9624D"/>
    <w:rsid w:val="00C962DD"/>
    <w:rsid w:val="00C963AE"/>
    <w:rsid w:val="00C965C9"/>
    <w:rsid w:val="00C966C8"/>
    <w:rsid w:val="00C969DA"/>
    <w:rsid w:val="00C96A8A"/>
    <w:rsid w:val="00C96DF4"/>
    <w:rsid w:val="00C96E4E"/>
    <w:rsid w:val="00C97802"/>
    <w:rsid w:val="00C97E5D"/>
    <w:rsid w:val="00CA049C"/>
    <w:rsid w:val="00CA1CA8"/>
    <w:rsid w:val="00CA25F1"/>
    <w:rsid w:val="00CA29E1"/>
    <w:rsid w:val="00CA2AD3"/>
    <w:rsid w:val="00CA2C77"/>
    <w:rsid w:val="00CA3609"/>
    <w:rsid w:val="00CA4216"/>
    <w:rsid w:val="00CA444F"/>
    <w:rsid w:val="00CA4FF2"/>
    <w:rsid w:val="00CA5245"/>
    <w:rsid w:val="00CA663A"/>
    <w:rsid w:val="00CA6D1C"/>
    <w:rsid w:val="00CA6F0A"/>
    <w:rsid w:val="00CA71F4"/>
    <w:rsid w:val="00CA7AB7"/>
    <w:rsid w:val="00CA7B09"/>
    <w:rsid w:val="00CB1158"/>
    <w:rsid w:val="00CB1189"/>
    <w:rsid w:val="00CB12A5"/>
    <w:rsid w:val="00CB1C34"/>
    <w:rsid w:val="00CB1CAC"/>
    <w:rsid w:val="00CB20F2"/>
    <w:rsid w:val="00CB21B9"/>
    <w:rsid w:val="00CB27F5"/>
    <w:rsid w:val="00CB2F2A"/>
    <w:rsid w:val="00CB3056"/>
    <w:rsid w:val="00CB3113"/>
    <w:rsid w:val="00CB32D4"/>
    <w:rsid w:val="00CB34D3"/>
    <w:rsid w:val="00CB3AFB"/>
    <w:rsid w:val="00CB46C1"/>
    <w:rsid w:val="00CB540E"/>
    <w:rsid w:val="00CB59D5"/>
    <w:rsid w:val="00CB5AD5"/>
    <w:rsid w:val="00CB5B1A"/>
    <w:rsid w:val="00CB5CAF"/>
    <w:rsid w:val="00CB6127"/>
    <w:rsid w:val="00CB6A1B"/>
    <w:rsid w:val="00CB6B22"/>
    <w:rsid w:val="00CB6F63"/>
    <w:rsid w:val="00CB735E"/>
    <w:rsid w:val="00CB7434"/>
    <w:rsid w:val="00CB7D22"/>
    <w:rsid w:val="00CB7F5F"/>
    <w:rsid w:val="00CC0949"/>
    <w:rsid w:val="00CC0A1B"/>
    <w:rsid w:val="00CC0CAE"/>
    <w:rsid w:val="00CC0E00"/>
    <w:rsid w:val="00CC0FB1"/>
    <w:rsid w:val="00CC17B8"/>
    <w:rsid w:val="00CC1B39"/>
    <w:rsid w:val="00CC1BFA"/>
    <w:rsid w:val="00CC232B"/>
    <w:rsid w:val="00CC2601"/>
    <w:rsid w:val="00CC2679"/>
    <w:rsid w:val="00CC2DCE"/>
    <w:rsid w:val="00CC2E9F"/>
    <w:rsid w:val="00CC2ED2"/>
    <w:rsid w:val="00CC35EA"/>
    <w:rsid w:val="00CC3848"/>
    <w:rsid w:val="00CC3928"/>
    <w:rsid w:val="00CC394B"/>
    <w:rsid w:val="00CC43D3"/>
    <w:rsid w:val="00CC46C9"/>
    <w:rsid w:val="00CC4855"/>
    <w:rsid w:val="00CC4924"/>
    <w:rsid w:val="00CC5173"/>
    <w:rsid w:val="00CC5B25"/>
    <w:rsid w:val="00CC5E5E"/>
    <w:rsid w:val="00CC5EAD"/>
    <w:rsid w:val="00CC606E"/>
    <w:rsid w:val="00CC6405"/>
    <w:rsid w:val="00CC682A"/>
    <w:rsid w:val="00CC68E6"/>
    <w:rsid w:val="00CC6D5E"/>
    <w:rsid w:val="00CC78ED"/>
    <w:rsid w:val="00CC7B96"/>
    <w:rsid w:val="00CC7C1B"/>
    <w:rsid w:val="00CD00EF"/>
    <w:rsid w:val="00CD0200"/>
    <w:rsid w:val="00CD1D74"/>
    <w:rsid w:val="00CD2728"/>
    <w:rsid w:val="00CD2DD1"/>
    <w:rsid w:val="00CD3AE6"/>
    <w:rsid w:val="00CD3DCD"/>
    <w:rsid w:val="00CD3F77"/>
    <w:rsid w:val="00CD418D"/>
    <w:rsid w:val="00CD4BA8"/>
    <w:rsid w:val="00CD644B"/>
    <w:rsid w:val="00CD682C"/>
    <w:rsid w:val="00CD68DB"/>
    <w:rsid w:val="00CD6ADC"/>
    <w:rsid w:val="00CD7193"/>
    <w:rsid w:val="00CD7306"/>
    <w:rsid w:val="00CD7B15"/>
    <w:rsid w:val="00CD7E1E"/>
    <w:rsid w:val="00CE0374"/>
    <w:rsid w:val="00CE2282"/>
    <w:rsid w:val="00CE22E2"/>
    <w:rsid w:val="00CE26A1"/>
    <w:rsid w:val="00CE38C8"/>
    <w:rsid w:val="00CE3959"/>
    <w:rsid w:val="00CE4039"/>
    <w:rsid w:val="00CE432C"/>
    <w:rsid w:val="00CE4332"/>
    <w:rsid w:val="00CE4EBF"/>
    <w:rsid w:val="00CE524F"/>
    <w:rsid w:val="00CE55EE"/>
    <w:rsid w:val="00CE58CC"/>
    <w:rsid w:val="00CE5AB0"/>
    <w:rsid w:val="00CE5C21"/>
    <w:rsid w:val="00CE6274"/>
    <w:rsid w:val="00CE6901"/>
    <w:rsid w:val="00CE6B85"/>
    <w:rsid w:val="00CE6CE7"/>
    <w:rsid w:val="00CE71B8"/>
    <w:rsid w:val="00CE77B6"/>
    <w:rsid w:val="00CE77EB"/>
    <w:rsid w:val="00CF021A"/>
    <w:rsid w:val="00CF0334"/>
    <w:rsid w:val="00CF0BBE"/>
    <w:rsid w:val="00CF1545"/>
    <w:rsid w:val="00CF1A75"/>
    <w:rsid w:val="00CF1CE7"/>
    <w:rsid w:val="00CF2B8D"/>
    <w:rsid w:val="00CF3568"/>
    <w:rsid w:val="00CF3A1B"/>
    <w:rsid w:val="00CF3B75"/>
    <w:rsid w:val="00CF456B"/>
    <w:rsid w:val="00CF4C3D"/>
    <w:rsid w:val="00CF4C85"/>
    <w:rsid w:val="00CF519B"/>
    <w:rsid w:val="00CF58D4"/>
    <w:rsid w:val="00CF5A22"/>
    <w:rsid w:val="00CF5BDD"/>
    <w:rsid w:val="00CF5C0B"/>
    <w:rsid w:val="00CF5E29"/>
    <w:rsid w:val="00D00582"/>
    <w:rsid w:val="00D00729"/>
    <w:rsid w:val="00D00857"/>
    <w:rsid w:val="00D00AC6"/>
    <w:rsid w:val="00D01335"/>
    <w:rsid w:val="00D01C64"/>
    <w:rsid w:val="00D01D32"/>
    <w:rsid w:val="00D025D0"/>
    <w:rsid w:val="00D0262E"/>
    <w:rsid w:val="00D032CD"/>
    <w:rsid w:val="00D03343"/>
    <w:rsid w:val="00D03679"/>
    <w:rsid w:val="00D03762"/>
    <w:rsid w:val="00D03BBE"/>
    <w:rsid w:val="00D03E18"/>
    <w:rsid w:val="00D043E0"/>
    <w:rsid w:val="00D05E3D"/>
    <w:rsid w:val="00D06139"/>
    <w:rsid w:val="00D07B06"/>
    <w:rsid w:val="00D07D95"/>
    <w:rsid w:val="00D07EA9"/>
    <w:rsid w:val="00D110BD"/>
    <w:rsid w:val="00D11366"/>
    <w:rsid w:val="00D117CA"/>
    <w:rsid w:val="00D11ADB"/>
    <w:rsid w:val="00D11FE2"/>
    <w:rsid w:val="00D13023"/>
    <w:rsid w:val="00D13226"/>
    <w:rsid w:val="00D13305"/>
    <w:rsid w:val="00D13675"/>
    <w:rsid w:val="00D1380B"/>
    <w:rsid w:val="00D14063"/>
    <w:rsid w:val="00D141E1"/>
    <w:rsid w:val="00D14631"/>
    <w:rsid w:val="00D14B4B"/>
    <w:rsid w:val="00D15314"/>
    <w:rsid w:val="00D154E7"/>
    <w:rsid w:val="00D157FD"/>
    <w:rsid w:val="00D15934"/>
    <w:rsid w:val="00D15B48"/>
    <w:rsid w:val="00D165ED"/>
    <w:rsid w:val="00D16734"/>
    <w:rsid w:val="00D16AC1"/>
    <w:rsid w:val="00D16ACE"/>
    <w:rsid w:val="00D17463"/>
    <w:rsid w:val="00D178E6"/>
    <w:rsid w:val="00D17D6C"/>
    <w:rsid w:val="00D202EA"/>
    <w:rsid w:val="00D20450"/>
    <w:rsid w:val="00D208CF"/>
    <w:rsid w:val="00D208F1"/>
    <w:rsid w:val="00D20C83"/>
    <w:rsid w:val="00D20F13"/>
    <w:rsid w:val="00D2110A"/>
    <w:rsid w:val="00D212F2"/>
    <w:rsid w:val="00D2155B"/>
    <w:rsid w:val="00D218AD"/>
    <w:rsid w:val="00D21A08"/>
    <w:rsid w:val="00D21ABB"/>
    <w:rsid w:val="00D21B80"/>
    <w:rsid w:val="00D22019"/>
    <w:rsid w:val="00D222D7"/>
    <w:rsid w:val="00D22557"/>
    <w:rsid w:val="00D225D5"/>
    <w:rsid w:val="00D2315F"/>
    <w:rsid w:val="00D23873"/>
    <w:rsid w:val="00D23D11"/>
    <w:rsid w:val="00D23D3D"/>
    <w:rsid w:val="00D244B6"/>
    <w:rsid w:val="00D244D6"/>
    <w:rsid w:val="00D247C6"/>
    <w:rsid w:val="00D2489F"/>
    <w:rsid w:val="00D24F7E"/>
    <w:rsid w:val="00D25733"/>
    <w:rsid w:val="00D25E5C"/>
    <w:rsid w:val="00D26391"/>
    <w:rsid w:val="00D26DA3"/>
    <w:rsid w:val="00D26DE2"/>
    <w:rsid w:val="00D2754D"/>
    <w:rsid w:val="00D27B27"/>
    <w:rsid w:val="00D30027"/>
    <w:rsid w:val="00D30501"/>
    <w:rsid w:val="00D3093B"/>
    <w:rsid w:val="00D30D5B"/>
    <w:rsid w:val="00D30FAB"/>
    <w:rsid w:val="00D31082"/>
    <w:rsid w:val="00D31D09"/>
    <w:rsid w:val="00D3269C"/>
    <w:rsid w:val="00D334B1"/>
    <w:rsid w:val="00D33BE9"/>
    <w:rsid w:val="00D33F93"/>
    <w:rsid w:val="00D34B86"/>
    <w:rsid w:val="00D34BF1"/>
    <w:rsid w:val="00D35087"/>
    <w:rsid w:val="00D357FF"/>
    <w:rsid w:val="00D35AC8"/>
    <w:rsid w:val="00D35D2A"/>
    <w:rsid w:val="00D3643E"/>
    <w:rsid w:val="00D365E9"/>
    <w:rsid w:val="00D36639"/>
    <w:rsid w:val="00D3671D"/>
    <w:rsid w:val="00D36A80"/>
    <w:rsid w:val="00D36F8F"/>
    <w:rsid w:val="00D372DA"/>
    <w:rsid w:val="00D405A0"/>
    <w:rsid w:val="00D4075B"/>
    <w:rsid w:val="00D40AF7"/>
    <w:rsid w:val="00D41820"/>
    <w:rsid w:val="00D41980"/>
    <w:rsid w:val="00D41C4F"/>
    <w:rsid w:val="00D41D1D"/>
    <w:rsid w:val="00D41DB9"/>
    <w:rsid w:val="00D424C7"/>
    <w:rsid w:val="00D430D9"/>
    <w:rsid w:val="00D433AB"/>
    <w:rsid w:val="00D43B2A"/>
    <w:rsid w:val="00D43CEF"/>
    <w:rsid w:val="00D43CF1"/>
    <w:rsid w:val="00D43D83"/>
    <w:rsid w:val="00D43F08"/>
    <w:rsid w:val="00D4484E"/>
    <w:rsid w:val="00D45099"/>
    <w:rsid w:val="00D457EE"/>
    <w:rsid w:val="00D45AF0"/>
    <w:rsid w:val="00D46947"/>
    <w:rsid w:val="00D47575"/>
    <w:rsid w:val="00D47BD9"/>
    <w:rsid w:val="00D47FEC"/>
    <w:rsid w:val="00D501FA"/>
    <w:rsid w:val="00D50297"/>
    <w:rsid w:val="00D506E6"/>
    <w:rsid w:val="00D50AE2"/>
    <w:rsid w:val="00D50F41"/>
    <w:rsid w:val="00D5109E"/>
    <w:rsid w:val="00D51129"/>
    <w:rsid w:val="00D514B0"/>
    <w:rsid w:val="00D51CF3"/>
    <w:rsid w:val="00D5243B"/>
    <w:rsid w:val="00D52E26"/>
    <w:rsid w:val="00D5310E"/>
    <w:rsid w:val="00D533E3"/>
    <w:rsid w:val="00D533EC"/>
    <w:rsid w:val="00D53D60"/>
    <w:rsid w:val="00D543B6"/>
    <w:rsid w:val="00D548EC"/>
    <w:rsid w:val="00D5514B"/>
    <w:rsid w:val="00D55C14"/>
    <w:rsid w:val="00D56A90"/>
    <w:rsid w:val="00D56A95"/>
    <w:rsid w:val="00D57A6E"/>
    <w:rsid w:val="00D600F7"/>
    <w:rsid w:val="00D6011B"/>
    <w:rsid w:val="00D605C3"/>
    <w:rsid w:val="00D6076E"/>
    <w:rsid w:val="00D609A4"/>
    <w:rsid w:val="00D60B49"/>
    <w:rsid w:val="00D61004"/>
    <w:rsid w:val="00D610E6"/>
    <w:rsid w:val="00D61D53"/>
    <w:rsid w:val="00D62057"/>
    <w:rsid w:val="00D62C59"/>
    <w:rsid w:val="00D62FB0"/>
    <w:rsid w:val="00D638B1"/>
    <w:rsid w:val="00D63B45"/>
    <w:rsid w:val="00D64B9D"/>
    <w:rsid w:val="00D65336"/>
    <w:rsid w:val="00D658E2"/>
    <w:rsid w:val="00D6661D"/>
    <w:rsid w:val="00D674BA"/>
    <w:rsid w:val="00D67A25"/>
    <w:rsid w:val="00D67AC4"/>
    <w:rsid w:val="00D70325"/>
    <w:rsid w:val="00D70EC7"/>
    <w:rsid w:val="00D70F16"/>
    <w:rsid w:val="00D70FBC"/>
    <w:rsid w:val="00D71044"/>
    <w:rsid w:val="00D713B8"/>
    <w:rsid w:val="00D71FC5"/>
    <w:rsid w:val="00D72536"/>
    <w:rsid w:val="00D72617"/>
    <w:rsid w:val="00D72C47"/>
    <w:rsid w:val="00D72F57"/>
    <w:rsid w:val="00D73156"/>
    <w:rsid w:val="00D7361F"/>
    <w:rsid w:val="00D73F50"/>
    <w:rsid w:val="00D74242"/>
    <w:rsid w:val="00D74552"/>
    <w:rsid w:val="00D74B0A"/>
    <w:rsid w:val="00D74CBC"/>
    <w:rsid w:val="00D7554E"/>
    <w:rsid w:val="00D76A44"/>
    <w:rsid w:val="00D77028"/>
    <w:rsid w:val="00D778A4"/>
    <w:rsid w:val="00D77F6E"/>
    <w:rsid w:val="00D80129"/>
    <w:rsid w:val="00D80A1C"/>
    <w:rsid w:val="00D815EF"/>
    <w:rsid w:val="00D816F3"/>
    <w:rsid w:val="00D81949"/>
    <w:rsid w:val="00D81977"/>
    <w:rsid w:val="00D81D48"/>
    <w:rsid w:val="00D81F26"/>
    <w:rsid w:val="00D822E2"/>
    <w:rsid w:val="00D82E96"/>
    <w:rsid w:val="00D83050"/>
    <w:rsid w:val="00D833E4"/>
    <w:rsid w:val="00D83CD7"/>
    <w:rsid w:val="00D83D20"/>
    <w:rsid w:val="00D83DD4"/>
    <w:rsid w:val="00D84289"/>
    <w:rsid w:val="00D843F2"/>
    <w:rsid w:val="00D84D70"/>
    <w:rsid w:val="00D853F5"/>
    <w:rsid w:val="00D8585A"/>
    <w:rsid w:val="00D85978"/>
    <w:rsid w:val="00D85F99"/>
    <w:rsid w:val="00D85FFD"/>
    <w:rsid w:val="00D86231"/>
    <w:rsid w:val="00D865BC"/>
    <w:rsid w:val="00D86D9B"/>
    <w:rsid w:val="00D87031"/>
    <w:rsid w:val="00D8708B"/>
    <w:rsid w:val="00D871D3"/>
    <w:rsid w:val="00D87B39"/>
    <w:rsid w:val="00D87C95"/>
    <w:rsid w:val="00D87D3C"/>
    <w:rsid w:val="00D87E40"/>
    <w:rsid w:val="00D905D8"/>
    <w:rsid w:val="00D90764"/>
    <w:rsid w:val="00D90D08"/>
    <w:rsid w:val="00D912AB"/>
    <w:rsid w:val="00D9156E"/>
    <w:rsid w:val="00D91923"/>
    <w:rsid w:val="00D91FEF"/>
    <w:rsid w:val="00D923C0"/>
    <w:rsid w:val="00D9284B"/>
    <w:rsid w:val="00D92C36"/>
    <w:rsid w:val="00D9335D"/>
    <w:rsid w:val="00D936FD"/>
    <w:rsid w:val="00D93753"/>
    <w:rsid w:val="00D93B6B"/>
    <w:rsid w:val="00D93DB6"/>
    <w:rsid w:val="00D93E32"/>
    <w:rsid w:val="00D93EDF"/>
    <w:rsid w:val="00D94600"/>
    <w:rsid w:val="00D94C0A"/>
    <w:rsid w:val="00D94F1F"/>
    <w:rsid w:val="00D9500D"/>
    <w:rsid w:val="00D95AE9"/>
    <w:rsid w:val="00D95B05"/>
    <w:rsid w:val="00D96032"/>
    <w:rsid w:val="00D969CA"/>
    <w:rsid w:val="00D9741E"/>
    <w:rsid w:val="00D9785B"/>
    <w:rsid w:val="00DA0C7C"/>
    <w:rsid w:val="00DA0DAB"/>
    <w:rsid w:val="00DA0FB4"/>
    <w:rsid w:val="00DA1FB5"/>
    <w:rsid w:val="00DA2482"/>
    <w:rsid w:val="00DA2AAD"/>
    <w:rsid w:val="00DA2F62"/>
    <w:rsid w:val="00DA3167"/>
    <w:rsid w:val="00DA4686"/>
    <w:rsid w:val="00DA4DC3"/>
    <w:rsid w:val="00DA5898"/>
    <w:rsid w:val="00DA5C5F"/>
    <w:rsid w:val="00DA67D6"/>
    <w:rsid w:val="00DA6C7D"/>
    <w:rsid w:val="00DA70AF"/>
    <w:rsid w:val="00DA75BE"/>
    <w:rsid w:val="00DA77A5"/>
    <w:rsid w:val="00DA7CC0"/>
    <w:rsid w:val="00DB0032"/>
    <w:rsid w:val="00DB0162"/>
    <w:rsid w:val="00DB04D7"/>
    <w:rsid w:val="00DB061A"/>
    <w:rsid w:val="00DB0712"/>
    <w:rsid w:val="00DB0DE2"/>
    <w:rsid w:val="00DB0E36"/>
    <w:rsid w:val="00DB11E3"/>
    <w:rsid w:val="00DB137D"/>
    <w:rsid w:val="00DB1CED"/>
    <w:rsid w:val="00DB2012"/>
    <w:rsid w:val="00DB2779"/>
    <w:rsid w:val="00DB2823"/>
    <w:rsid w:val="00DB2C39"/>
    <w:rsid w:val="00DB33E5"/>
    <w:rsid w:val="00DB3DBF"/>
    <w:rsid w:val="00DB484F"/>
    <w:rsid w:val="00DB54E4"/>
    <w:rsid w:val="00DB6619"/>
    <w:rsid w:val="00DB67E6"/>
    <w:rsid w:val="00DB708D"/>
    <w:rsid w:val="00DB73CD"/>
    <w:rsid w:val="00DB7C50"/>
    <w:rsid w:val="00DB7E23"/>
    <w:rsid w:val="00DC04F6"/>
    <w:rsid w:val="00DC0690"/>
    <w:rsid w:val="00DC0FB3"/>
    <w:rsid w:val="00DC1D65"/>
    <w:rsid w:val="00DC210C"/>
    <w:rsid w:val="00DC2E72"/>
    <w:rsid w:val="00DC3C57"/>
    <w:rsid w:val="00DC3CDC"/>
    <w:rsid w:val="00DC453B"/>
    <w:rsid w:val="00DC4A85"/>
    <w:rsid w:val="00DC5501"/>
    <w:rsid w:val="00DC58B9"/>
    <w:rsid w:val="00DC5A06"/>
    <w:rsid w:val="00DC5A84"/>
    <w:rsid w:val="00DC5C6E"/>
    <w:rsid w:val="00DC5DE4"/>
    <w:rsid w:val="00DC5F2F"/>
    <w:rsid w:val="00DC6EC2"/>
    <w:rsid w:val="00DC7154"/>
    <w:rsid w:val="00DC78A7"/>
    <w:rsid w:val="00DC7E8A"/>
    <w:rsid w:val="00DD0620"/>
    <w:rsid w:val="00DD0BC9"/>
    <w:rsid w:val="00DD0E75"/>
    <w:rsid w:val="00DD0F78"/>
    <w:rsid w:val="00DD1CD3"/>
    <w:rsid w:val="00DD1ECB"/>
    <w:rsid w:val="00DD2219"/>
    <w:rsid w:val="00DD273C"/>
    <w:rsid w:val="00DD275E"/>
    <w:rsid w:val="00DD2D9E"/>
    <w:rsid w:val="00DD388C"/>
    <w:rsid w:val="00DD3AE0"/>
    <w:rsid w:val="00DD3C7C"/>
    <w:rsid w:val="00DD3F28"/>
    <w:rsid w:val="00DD4446"/>
    <w:rsid w:val="00DD4537"/>
    <w:rsid w:val="00DD4A51"/>
    <w:rsid w:val="00DD4E15"/>
    <w:rsid w:val="00DD4F63"/>
    <w:rsid w:val="00DD50FC"/>
    <w:rsid w:val="00DD5722"/>
    <w:rsid w:val="00DD588E"/>
    <w:rsid w:val="00DD68F8"/>
    <w:rsid w:val="00DD6C77"/>
    <w:rsid w:val="00DD6EA9"/>
    <w:rsid w:val="00DD7FEC"/>
    <w:rsid w:val="00DE07F4"/>
    <w:rsid w:val="00DE12BD"/>
    <w:rsid w:val="00DE2270"/>
    <w:rsid w:val="00DE2304"/>
    <w:rsid w:val="00DE2622"/>
    <w:rsid w:val="00DE2809"/>
    <w:rsid w:val="00DE2E2B"/>
    <w:rsid w:val="00DE3138"/>
    <w:rsid w:val="00DE3235"/>
    <w:rsid w:val="00DE37F8"/>
    <w:rsid w:val="00DE4273"/>
    <w:rsid w:val="00DE4E38"/>
    <w:rsid w:val="00DE4FCB"/>
    <w:rsid w:val="00DE5411"/>
    <w:rsid w:val="00DE5BE6"/>
    <w:rsid w:val="00DE5D07"/>
    <w:rsid w:val="00DE6E7B"/>
    <w:rsid w:val="00DE7004"/>
    <w:rsid w:val="00DE7229"/>
    <w:rsid w:val="00DE72A7"/>
    <w:rsid w:val="00DE7354"/>
    <w:rsid w:val="00DE7832"/>
    <w:rsid w:val="00DE7A0C"/>
    <w:rsid w:val="00DF06A6"/>
    <w:rsid w:val="00DF0A51"/>
    <w:rsid w:val="00DF0F4F"/>
    <w:rsid w:val="00DF18FC"/>
    <w:rsid w:val="00DF1C1A"/>
    <w:rsid w:val="00DF211B"/>
    <w:rsid w:val="00DF2824"/>
    <w:rsid w:val="00DF29F8"/>
    <w:rsid w:val="00DF2A5D"/>
    <w:rsid w:val="00DF2BAD"/>
    <w:rsid w:val="00DF2C97"/>
    <w:rsid w:val="00DF2F4F"/>
    <w:rsid w:val="00DF30C8"/>
    <w:rsid w:val="00DF3447"/>
    <w:rsid w:val="00DF4007"/>
    <w:rsid w:val="00DF4175"/>
    <w:rsid w:val="00DF5368"/>
    <w:rsid w:val="00DF55A5"/>
    <w:rsid w:val="00DF56D5"/>
    <w:rsid w:val="00DF59AD"/>
    <w:rsid w:val="00DF5D2B"/>
    <w:rsid w:val="00DF6341"/>
    <w:rsid w:val="00DF6BB8"/>
    <w:rsid w:val="00DF6C06"/>
    <w:rsid w:val="00DF71FB"/>
    <w:rsid w:val="00DF76D6"/>
    <w:rsid w:val="00DF7AAA"/>
    <w:rsid w:val="00DF7F12"/>
    <w:rsid w:val="00DF7F8A"/>
    <w:rsid w:val="00DF7FBD"/>
    <w:rsid w:val="00E003E9"/>
    <w:rsid w:val="00E008E3"/>
    <w:rsid w:val="00E00919"/>
    <w:rsid w:val="00E00E8E"/>
    <w:rsid w:val="00E00F85"/>
    <w:rsid w:val="00E010A4"/>
    <w:rsid w:val="00E0241F"/>
    <w:rsid w:val="00E02BF2"/>
    <w:rsid w:val="00E03048"/>
    <w:rsid w:val="00E031C3"/>
    <w:rsid w:val="00E031D7"/>
    <w:rsid w:val="00E03455"/>
    <w:rsid w:val="00E04502"/>
    <w:rsid w:val="00E04BFC"/>
    <w:rsid w:val="00E052C0"/>
    <w:rsid w:val="00E053A4"/>
    <w:rsid w:val="00E0555A"/>
    <w:rsid w:val="00E05566"/>
    <w:rsid w:val="00E05630"/>
    <w:rsid w:val="00E06622"/>
    <w:rsid w:val="00E06975"/>
    <w:rsid w:val="00E06DBB"/>
    <w:rsid w:val="00E07AFB"/>
    <w:rsid w:val="00E07FCF"/>
    <w:rsid w:val="00E10149"/>
    <w:rsid w:val="00E102DD"/>
    <w:rsid w:val="00E105ED"/>
    <w:rsid w:val="00E10E08"/>
    <w:rsid w:val="00E11231"/>
    <w:rsid w:val="00E11340"/>
    <w:rsid w:val="00E11A36"/>
    <w:rsid w:val="00E11D3D"/>
    <w:rsid w:val="00E11E69"/>
    <w:rsid w:val="00E11FCE"/>
    <w:rsid w:val="00E122A1"/>
    <w:rsid w:val="00E128AD"/>
    <w:rsid w:val="00E12E3A"/>
    <w:rsid w:val="00E14A27"/>
    <w:rsid w:val="00E14D47"/>
    <w:rsid w:val="00E1569A"/>
    <w:rsid w:val="00E156F4"/>
    <w:rsid w:val="00E1574C"/>
    <w:rsid w:val="00E15C20"/>
    <w:rsid w:val="00E15EF4"/>
    <w:rsid w:val="00E16203"/>
    <w:rsid w:val="00E16242"/>
    <w:rsid w:val="00E16372"/>
    <w:rsid w:val="00E16AD8"/>
    <w:rsid w:val="00E16E91"/>
    <w:rsid w:val="00E17FFA"/>
    <w:rsid w:val="00E20059"/>
    <w:rsid w:val="00E20E4D"/>
    <w:rsid w:val="00E20ED6"/>
    <w:rsid w:val="00E21010"/>
    <w:rsid w:val="00E21358"/>
    <w:rsid w:val="00E21711"/>
    <w:rsid w:val="00E21AF3"/>
    <w:rsid w:val="00E21F05"/>
    <w:rsid w:val="00E2215D"/>
    <w:rsid w:val="00E2249B"/>
    <w:rsid w:val="00E22A0D"/>
    <w:rsid w:val="00E22E59"/>
    <w:rsid w:val="00E23374"/>
    <w:rsid w:val="00E2342E"/>
    <w:rsid w:val="00E2398D"/>
    <w:rsid w:val="00E244F6"/>
    <w:rsid w:val="00E24893"/>
    <w:rsid w:val="00E24C45"/>
    <w:rsid w:val="00E24D7A"/>
    <w:rsid w:val="00E258DB"/>
    <w:rsid w:val="00E26680"/>
    <w:rsid w:val="00E26D90"/>
    <w:rsid w:val="00E273C9"/>
    <w:rsid w:val="00E2771E"/>
    <w:rsid w:val="00E279D7"/>
    <w:rsid w:val="00E304DC"/>
    <w:rsid w:val="00E30E65"/>
    <w:rsid w:val="00E30F2F"/>
    <w:rsid w:val="00E311E8"/>
    <w:rsid w:val="00E311EF"/>
    <w:rsid w:val="00E312D6"/>
    <w:rsid w:val="00E31478"/>
    <w:rsid w:val="00E316B4"/>
    <w:rsid w:val="00E3173E"/>
    <w:rsid w:val="00E32180"/>
    <w:rsid w:val="00E32610"/>
    <w:rsid w:val="00E32AED"/>
    <w:rsid w:val="00E330AD"/>
    <w:rsid w:val="00E33260"/>
    <w:rsid w:val="00E343AD"/>
    <w:rsid w:val="00E34948"/>
    <w:rsid w:val="00E34A09"/>
    <w:rsid w:val="00E34B57"/>
    <w:rsid w:val="00E34C2C"/>
    <w:rsid w:val="00E3598F"/>
    <w:rsid w:val="00E35BB3"/>
    <w:rsid w:val="00E35C04"/>
    <w:rsid w:val="00E35EB7"/>
    <w:rsid w:val="00E37569"/>
    <w:rsid w:val="00E401B2"/>
    <w:rsid w:val="00E4057F"/>
    <w:rsid w:val="00E408E2"/>
    <w:rsid w:val="00E41303"/>
    <w:rsid w:val="00E4141E"/>
    <w:rsid w:val="00E418DD"/>
    <w:rsid w:val="00E41E30"/>
    <w:rsid w:val="00E41ECF"/>
    <w:rsid w:val="00E4209B"/>
    <w:rsid w:val="00E421EF"/>
    <w:rsid w:val="00E42F73"/>
    <w:rsid w:val="00E43838"/>
    <w:rsid w:val="00E438E7"/>
    <w:rsid w:val="00E43D70"/>
    <w:rsid w:val="00E444EE"/>
    <w:rsid w:val="00E4451E"/>
    <w:rsid w:val="00E44868"/>
    <w:rsid w:val="00E4552A"/>
    <w:rsid w:val="00E45AE1"/>
    <w:rsid w:val="00E4611D"/>
    <w:rsid w:val="00E46434"/>
    <w:rsid w:val="00E466F3"/>
    <w:rsid w:val="00E47A9A"/>
    <w:rsid w:val="00E47ACA"/>
    <w:rsid w:val="00E47B2C"/>
    <w:rsid w:val="00E501B8"/>
    <w:rsid w:val="00E50705"/>
    <w:rsid w:val="00E51287"/>
    <w:rsid w:val="00E513D4"/>
    <w:rsid w:val="00E513EA"/>
    <w:rsid w:val="00E51560"/>
    <w:rsid w:val="00E51821"/>
    <w:rsid w:val="00E518DA"/>
    <w:rsid w:val="00E51D08"/>
    <w:rsid w:val="00E52114"/>
    <w:rsid w:val="00E52827"/>
    <w:rsid w:val="00E53DD2"/>
    <w:rsid w:val="00E53FC8"/>
    <w:rsid w:val="00E54347"/>
    <w:rsid w:val="00E54C85"/>
    <w:rsid w:val="00E5507A"/>
    <w:rsid w:val="00E55424"/>
    <w:rsid w:val="00E55915"/>
    <w:rsid w:val="00E55BB5"/>
    <w:rsid w:val="00E55F5C"/>
    <w:rsid w:val="00E56766"/>
    <w:rsid w:val="00E56B81"/>
    <w:rsid w:val="00E57E70"/>
    <w:rsid w:val="00E6065E"/>
    <w:rsid w:val="00E6089A"/>
    <w:rsid w:val="00E60A55"/>
    <w:rsid w:val="00E60AB6"/>
    <w:rsid w:val="00E60E5C"/>
    <w:rsid w:val="00E60F6E"/>
    <w:rsid w:val="00E611DF"/>
    <w:rsid w:val="00E61677"/>
    <w:rsid w:val="00E620BD"/>
    <w:rsid w:val="00E6351E"/>
    <w:rsid w:val="00E63A03"/>
    <w:rsid w:val="00E6401B"/>
    <w:rsid w:val="00E6415A"/>
    <w:rsid w:val="00E6422B"/>
    <w:rsid w:val="00E65E79"/>
    <w:rsid w:val="00E65ED0"/>
    <w:rsid w:val="00E661F4"/>
    <w:rsid w:val="00E66478"/>
    <w:rsid w:val="00E664BD"/>
    <w:rsid w:val="00E66BA2"/>
    <w:rsid w:val="00E66EEE"/>
    <w:rsid w:val="00E67416"/>
    <w:rsid w:val="00E67D95"/>
    <w:rsid w:val="00E70331"/>
    <w:rsid w:val="00E70573"/>
    <w:rsid w:val="00E7077F"/>
    <w:rsid w:val="00E70942"/>
    <w:rsid w:val="00E70EE8"/>
    <w:rsid w:val="00E70F21"/>
    <w:rsid w:val="00E7121A"/>
    <w:rsid w:val="00E718B6"/>
    <w:rsid w:val="00E71E8D"/>
    <w:rsid w:val="00E723BA"/>
    <w:rsid w:val="00E725DF"/>
    <w:rsid w:val="00E72F98"/>
    <w:rsid w:val="00E73581"/>
    <w:rsid w:val="00E73825"/>
    <w:rsid w:val="00E7420E"/>
    <w:rsid w:val="00E7440D"/>
    <w:rsid w:val="00E76C72"/>
    <w:rsid w:val="00E76E55"/>
    <w:rsid w:val="00E77931"/>
    <w:rsid w:val="00E77AC9"/>
    <w:rsid w:val="00E8053D"/>
    <w:rsid w:val="00E80FB6"/>
    <w:rsid w:val="00E81AFC"/>
    <w:rsid w:val="00E81D1F"/>
    <w:rsid w:val="00E81E1F"/>
    <w:rsid w:val="00E828E7"/>
    <w:rsid w:val="00E82FE2"/>
    <w:rsid w:val="00E833F7"/>
    <w:rsid w:val="00E83BDF"/>
    <w:rsid w:val="00E8404C"/>
    <w:rsid w:val="00E85337"/>
    <w:rsid w:val="00E863B7"/>
    <w:rsid w:val="00E86C1F"/>
    <w:rsid w:val="00E86FCC"/>
    <w:rsid w:val="00E86FDA"/>
    <w:rsid w:val="00E8708F"/>
    <w:rsid w:val="00E8749E"/>
    <w:rsid w:val="00E876AB"/>
    <w:rsid w:val="00E87A1D"/>
    <w:rsid w:val="00E9005B"/>
    <w:rsid w:val="00E90390"/>
    <w:rsid w:val="00E9094A"/>
    <w:rsid w:val="00E909F5"/>
    <w:rsid w:val="00E90DD2"/>
    <w:rsid w:val="00E91589"/>
    <w:rsid w:val="00E915E3"/>
    <w:rsid w:val="00E91965"/>
    <w:rsid w:val="00E91D35"/>
    <w:rsid w:val="00E926A5"/>
    <w:rsid w:val="00E936B2"/>
    <w:rsid w:val="00E9406F"/>
    <w:rsid w:val="00E9423C"/>
    <w:rsid w:val="00E9492C"/>
    <w:rsid w:val="00E94A5C"/>
    <w:rsid w:val="00E94CCC"/>
    <w:rsid w:val="00E953C7"/>
    <w:rsid w:val="00E9541B"/>
    <w:rsid w:val="00E95507"/>
    <w:rsid w:val="00E95AAD"/>
    <w:rsid w:val="00E962CC"/>
    <w:rsid w:val="00E9659E"/>
    <w:rsid w:val="00E96704"/>
    <w:rsid w:val="00E96C0D"/>
    <w:rsid w:val="00E97324"/>
    <w:rsid w:val="00E973F2"/>
    <w:rsid w:val="00E9762A"/>
    <w:rsid w:val="00E97690"/>
    <w:rsid w:val="00E97BAB"/>
    <w:rsid w:val="00E97EAE"/>
    <w:rsid w:val="00E97F25"/>
    <w:rsid w:val="00EA0488"/>
    <w:rsid w:val="00EA05FD"/>
    <w:rsid w:val="00EA17C3"/>
    <w:rsid w:val="00EA1ADD"/>
    <w:rsid w:val="00EA1C45"/>
    <w:rsid w:val="00EA1DEF"/>
    <w:rsid w:val="00EA2308"/>
    <w:rsid w:val="00EA2581"/>
    <w:rsid w:val="00EA2763"/>
    <w:rsid w:val="00EA2CAA"/>
    <w:rsid w:val="00EA306C"/>
    <w:rsid w:val="00EA330E"/>
    <w:rsid w:val="00EA384C"/>
    <w:rsid w:val="00EA3864"/>
    <w:rsid w:val="00EA39F8"/>
    <w:rsid w:val="00EA3BFA"/>
    <w:rsid w:val="00EA41E0"/>
    <w:rsid w:val="00EA4C80"/>
    <w:rsid w:val="00EA4D0D"/>
    <w:rsid w:val="00EA4D5F"/>
    <w:rsid w:val="00EA4E77"/>
    <w:rsid w:val="00EA5378"/>
    <w:rsid w:val="00EA55F8"/>
    <w:rsid w:val="00EA6101"/>
    <w:rsid w:val="00EA6E7A"/>
    <w:rsid w:val="00EA7711"/>
    <w:rsid w:val="00EA7F1C"/>
    <w:rsid w:val="00EB15B6"/>
    <w:rsid w:val="00EB1CC4"/>
    <w:rsid w:val="00EB2C66"/>
    <w:rsid w:val="00EB34EB"/>
    <w:rsid w:val="00EB35F3"/>
    <w:rsid w:val="00EB3A23"/>
    <w:rsid w:val="00EB3D06"/>
    <w:rsid w:val="00EB3FA7"/>
    <w:rsid w:val="00EB45C0"/>
    <w:rsid w:val="00EB45D6"/>
    <w:rsid w:val="00EB4916"/>
    <w:rsid w:val="00EB4A7D"/>
    <w:rsid w:val="00EB4B3F"/>
    <w:rsid w:val="00EB4D60"/>
    <w:rsid w:val="00EB4DC4"/>
    <w:rsid w:val="00EB4EC3"/>
    <w:rsid w:val="00EB50FE"/>
    <w:rsid w:val="00EB51EF"/>
    <w:rsid w:val="00EB541E"/>
    <w:rsid w:val="00EB54B0"/>
    <w:rsid w:val="00EB561D"/>
    <w:rsid w:val="00EB5896"/>
    <w:rsid w:val="00EB5BD4"/>
    <w:rsid w:val="00EB61D3"/>
    <w:rsid w:val="00EB620C"/>
    <w:rsid w:val="00EB6DDB"/>
    <w:rsid w:val="00EB70A7"/>
    <w:rsid w:val="00EB7208"/>
    <w:rsid w:val="00EB9167"/>
    <w:rsid w:val="00EBDE23"/>
    <w:rsid w:val="00EC00C9"/>
    <w:rsid w:val="00EC09D8"/>
    <w:rsid w:val="00EC0DD9"/>
    <w:rsid w:val="00EC2158"/>
    <w:rsid w:val="00EC2649"/>
    <w:rsid w:val="00EC2970"/>
    <w:rsid w:val="00EC2B0C"/>
    <w:rsid w:val="00EC31ED"/>
    <w:rsid w:val="00EC3379"/>
    <w:rsid w:val="00EC43B9"/>
    <w:rsid w:val="00EC441A"/>
    <w:rsid w:val="00EC4637"/>
    <w:rsid w:val="00EC4A36"/>
    <w:rsid w:val="00EC4B12"/>
    <w:rsid w:val="00EC5836"/>
    <w:rsid w:val="00EC63B9"/>
    <w:rsid w:val="00EC66F6"/>
    <w:rsid w:val="00EC688C"/>
    <w:rsid w:val="00EC6E3E"/>
    <w:rsid w:val="00EC711A"/>
    <w:rsid w:val="00EC71A2"/>
    <w:rsid w:val="00EC785D"/>
    <w:rsid w:val="00EC7948"/>
    <w:rsid w:val="00ED08E6"/>
    <w:rsid w:val="00ED0C74"/>
    <w:rsid w:val="00ED10B9"/>
    <w:rsid w:val="00ED123D"/>
    <w:rsid w:val="00ED12E3"/>
    <w:rsid w:val="00ED16E5"/>
    <w:rsid w:val="00ED1CA1"/>
    <w:rsid w:val="00ED2CC1"/>
    <w:rsid w:val="00ED2CD5"/>
    <w:rsid w:val="00ED3292"/>
    <w:rsid w:val="00ED3D5E"/>
    <w:rsid w:val="00ED4507"/>
    <w:rsid w:val="00ED4A6F"/>
    <w:rsid w:val="00ED4B04"/>
    <w:rsid w:val="00ED5220"/>
    <w:rsid w:val="00ED57EA"/>
    <w:rsid w:val="00ED5BD4"/>
    <w:rsid w:val="00ED6262"/>
    <w:rsid w:val="00ED631F"/>
    <w:rsid w:val="00ED737E"/>
    <w:rsid w:val="00EE00A5"/>
    <w:rsid w:val="00EE07D3"/>
    <w:rsid w:val="00EE0DDE"/>
    <w:rsid w:val="00EE197F"/>
    <w:rsid w:val="00EE1996"/>
    <w:rsid w:val="00EE1C01"/>
    <w:rsid w:val="00EE1C0D"/>
    <w:rsid w:val="00EE2121"/>
    <w:rsid w:val="00EE22AF"/>
    <w:rsid w:val="00EE24A7"/>
    <w:rsid w:val="00EE2659"/>
    <w:rsid w:val="00EE30DB"/>
    <w:rsid w:val="00EE3FB9"/>
    <w:rsid w:val="00EE3FD5"/>
    <w:rsid w:val="00EE420B"/>
    <w:rsid w:val="00EE44D2"/>
    <w:rsid w:val="00EE4A29"/>
    <w:rsid w:val="00EE4BB2"/>
    <w:rsid w:val="00EE56FB"/>
    <w:rsid w:val="00EE63B3"/>
    <w:rsid w:val="00EE6B8D"/>
    <w:rsid w:val="00EF0171"/>
    <w:rsid w:val="00EF035F"/>
    <w:rsid w:val="00EF061D"/>
    <w:rsid w:val="00EF0C3A"/>
    <w:rsid w:val="00EF133F"/>
    <w:rsid w:val="00EF18AF"/>
    <w:rsid w:val="00EF1B25"/>
    <w:rsid w:val="00EF1DA0"/>
    <w:rsid w:val="00EF278D"/>
    <w:rsid w:val="00EF33D9"/>
    <w:rsid w:val="00EF45F5"/>
    <w:rsid w:val="00EF4725"/>
    <w:rsid w:val="00EF4747"/>
    <w:rsid w:val="00EF4ADF"/>
    <w:rsid w:val="00EF4BF8"/>
    <w:rsid w:val="00EF51F2"/>
    <w:rsid w:val="00EF52C2"/>
    <w:rsid w:val="00EF6B11"/>
    <w:rsid w:val="00EF7373"/>
    <w:rsid w:val="00EF79BE"/>
    <w:rsid w:val="00F005E1"/>
    <w:rsid w:val="00F00EFC"/>
    <w:rsid w:val="00F00FDC"/>
    <w:rsid w:val="00F01087"/>
    <w:rsid w:val="00F01BC6"/>
    <w:rsid w:val="00F02253"/>
    <w:rsid w:val="00F022A0"/>
    <w:rsid w:val="00F02C6D"/>
    <w:rsid w:val="00F03C2E"/>
    <w:rsid w:val="00F03F6A"/>
    <w:rsid w:val="00F04860"/>
    <w:rsid w:val="00F04994"/>
    <w:rsid w:val="00F049C3"/>
    <w:rsid w:val="00F04A66"/>
    <w:rsid w:val="00F04B4B"/>
    <w:rsid w:val="00F04F33"/>
    <w:rsid w:val="00F0516C"/>
    <w:rsid w:val="00F05950"/>
    <w:rsid w:val="00F05975"/>
    <w:rsid w:val="00F05FD7"/>
    <w:rsid w:val="00F061E6"/>
    <w:rsid w:val="00F067A2"/>
    <w:rsid w:val="00F06ABE"/>
    <w:rsid w:val="00F07508"/>
    <w:rsid w:val="00F075EF"/>
    <w:rsid w:val="00F07758"/>
    <w:rsid w:val="00F07B9E"/>
    <w:rsid w:val="00F10388"/>
    <w:rsid w:val="00F103D7"/>
    <w:rsid w:val="00F1116F"/>
    <w:rsid w:val="00F116D0"/>
    <w:rsid w:val="00F11905"/>
    <w:rsid w:val="00F119C3"/>
    <w:rsid w:val="00F12499"/>
    <w:rsid w:val="00F1263A"/>
    <w:rsid w:val="00F12B10"/>
    <w:rsid w:val="00F133CE"/>
    <w:rsid w:val="00F139C5"/>
    <w:rsid w:val="00F13E8D"/>
    <w:rsid w:val="00F15B77"/>
    <w:rsid w:val="00F1613A"/>
    <w:rsid w:val="00F1651D"/>
    <w:rsid w:val="00F16BEC"/>
    <w:rsid w:val="00F206E2"/>
    <w:rsid w:val="00F20727"/>
    <w:rsid w:val="00F20F1D"/>
    <w:rsid w:val="00F21236"/>
    <w:rsid w:val="00F22149"/>
    <w:rsid w:val="00F2389A"/>
    <w:rsid w:val="00F240E5"/>
    <w:rsid w:val="00F24837"/>
    <w:rsid w:val="00F2483B"/>
    <w:rsid w:val="00F2560F"/>
    <w:rsid w:val="00F2571E"/>
    <w:rsid w:val="00F2575F"/>
    <w:rsid w:val="00F257F5"/>
    <w:rsid w:val="00F25934"/>
    <w:rsid w:val="00F265C1"/>
    <w:rsid w:val="00F26664"/>
    <w:rsid w:val="00F274C6"/>
    <w:rsid w:val="00F27565"/>
    <w:rsid w:val="00F27CCB"/>
    <w:rsid w:val="00F30094"/>
    <w:rsid w:val="00F310D4"/>
    <w:rsid w:val="00F317A0"/>
    <w:rsid w:val="00F318F4"/>
    <w:rsid w:val="00F31D5A"/>
    <w:rsid w:val="00F32249"/>
    <w:rsid w:val="00F32E08"/>
    <w:rsid w:val="00F338A4"/>
    <w:rsid w:val="00F3393E"/>
    <w:rsid w:val="00F33975"/>
    <w:rsid w:val="00F33D1E"/>
    <w:rsid w:val="00F33DE9"/>
    <w:rsid w:val="00F3419C"/>
    <w:rsid w:val="00F343F2"/>
    <w:rsid w:val="00F34FAD"/>
    <w:rsid w:val="00F35E6D"/>
    <w:rsid w:val="00F35EF0"/>
    <w:rsid w:val="00F35EF4"/>
    <w:rsid w:val="00F36083"/>
    <w:rsid w:val="00F3619A"/>
    <w:rsid w:val="00F364A4"/>
    <w:rsid w:val="00F36909"/>
    <w:rsid w:val="00F374E8"/>
    <w:rsid w:val="00F376F6"/>
    <w:rsid w:val="00F37D35"/>
    <w:rsid w:val="00F4094F"/>
    <w:rsid w:val="00F40AAA"/>
    <w:rsid w:val="00F40BA7"/>
    <w:rsid w:val="00F40EEC"/>
    <w:rsid w:val="00F40F9D"/>
    <w:rsid w:val="00F41105"/>
    <w:rsid w:val="00F41552"/>
    <w:rsid w:val="00F418C6"/>
    <w:rsid w:val="00F41ACD"/>
    <w:rsid w:val="00F41F5C"/>
    <w:rsid w:val="00F41FCF"/>
    <w:rsid w:val="00F430D1"/>
    <w:rsid w:val="00F43388"/>
    <w:rsid w:val="00F43BCB"/>
    <w:rsid w:val="00F446B2"/>
    <w:rsid w:val="00F44C33"/>
    <w:rsid w:val="00F44E60"/>
    <w:rsid w:val="00F455D4"/>
    <w:rsid w:val="00F456B4"/>
    <w:rsid w:val="00F45842"/>
    <w:rsid w:val="00F45B02"/>
    <w:rsid w:val="00F46129"/>
    <w:rsid w:val="00F461DF"/>
    <w:rsid w:val="00F46423"/>
    <w:rsid w:val="00F46CB6"/>
    <w:rsid w:val="00F47129"/>
    <w:rsid w:val="00F4756D"/>
    <w:rsid w:val="00F47612"/>
    <w:rsid w:val="00F4773C"/>
    <w:rsid w:val="00F47DE8"/>
    <w:rsid w:val="00F501E7"/>
    <w:rsid w:val="00F50619"/>
    <w:rsid w:val="00F5089C"/>
    <w:rsid w:val="00F50960"/>
    <w:rsid w:val="00F50977"/>
    <w:rsid w:val="00F519F5"/>
    <w:rsid w:val="00F51ECC"/>
    <w:rsid w:val="00F5294D"/>
    <w:rsid w:val="00F52ACB"/>
    <w:rsid w:val="00F52D73"/>
    <w:rsid w:val="00F5323A"/>
    <w:rsid w:val="00F532D2"/>
    <w:rsid w:val="00F53EFF"/>
    <w:rsid w:val="00F542C1"/>
    <w:rsid w:val="00F5434D"/>
    <w:rsid w:val="00F54800"/>
    <w:rsid w:val="00F54B87"/>
    <w:rsid w:val="00F550E3"/>
    <w:rsid w:val="00F55E73"/>
    <w:rsid w:val="00F55EDA"/>
    <w:rsid w:val="00F56C80"/>
    <w:rsid w:val="00F56F9E"/>
    <w:rsid w:val="00F5736A"/>
    <w:rsid w:val="00F57676"/>
    <w:rsid w:val="00F60092"/>
    <w:rsid w:val="00F60A92"/>
    <w:rsid w:val="00F60AF4"/>
    <w:rsid w:val="00F6136A"/>
    <w:rsid w:val="00F61479"/>
    <w:rsid w:val="00F61629"/>
    <w:rsid w:val="00F61C18"/>
    <w:rsid w:val="00F622B9"/>
    <w:rsid w:val="00F63C7A"/>
    <w:rsid w:val="00F6423B"/>
    <w:rsid w:val="00F645CC"/>
    <w:rsid w:val="00F650C3"/>
    <w:rsid w:val="00F65A82"/>
    <w:rsid w:val="00F65C08"/>
    <w:rsid w:val="00F65F4B"/>
    <w:rsid w:val="00F6608A"/>
    <w:rsid w:val="00F6682A"/>
    <w:rsid w:val="00F66D09"/>
    <w:rsid w:val="00F66DDB"/>
    <w:rsid w:val="00F67403"/>
    <w:rsid w:val="00F67A69"/>
    <w:rsid w:val="00F67C8B"/>
    <w:rsid w:val="00F67E52"/>
    <w:rsid w:val="00F70201"/>
    <w:rsid w:val="00F70424"/>
    <w:rsid w:val="00F705CB"/>
    <w:rsid w:val="00F70776"/>
    <w:rsid w:val="00F70BFF"/>
    <w:rsid w:val="00F70C9D"/>
    <w:rsid w:val="00F7117D"/>
    <w:rsid w:val="00F711F6"/>
    <w:rsid w:val="00F715FE"/>
    <w:rsid w:val="00F71EBD"/>
    <w:rsid w:val="00F722B2"/>
    <w:rsid w:val="00F72831"/>
    <w:rsid w:val="00F72950"/>
    <w:rsid w:val="00F73195"/>
    <w:rsid w:val="00F7382E"/>
    <w:rsid w:val="00F73E08"/>
    <w:rsid w:val="00F73F3F"/>
    <w:rsid w:val="00F74763"/>
    <w:rsid w:val="00F74CD9"/>
    <w:rsid w:val="00F74F3E"/>
    <w:rsid w:val="00F7557B"/>
    <w:rsid w:val="00F76247"/>
    <w:rsid w:val="00F76393"/>
    <w:rsid w:val="00F76E74"/>
    <w:rsid w:val="00F7772C"/>
    <w:rsid w:val="00F777F2"/>
    <w:rsid w:val="00F77CB3"/>
    <w:rsid w:val="00F77EE2"/>
    <w:rsid w:val="00F77FDD"/>
    <w:rsid w:val="00F80429"/>
    <w:rsid w:val="00F80A06"/>
    <w:rsid w:val="00F80A7B"/>
    <w:rsid w:val="00F80DF5"/>
    <w:rsid w:val="00F80E5D"/>
    <w:rsid w:val="00F80EA4"/>
    <w:rsid w:val="00F81163"/>
    <w:rsid w:val="00F8154E"/>
    <w:rsid w:val="00F81A9A"/>
    <w:rsid w:val="00F81CEF"/>
    <w:rsid w:val="00F81E78"/>
    <w:rsid w:val="00F81E9D"/>
    <w:rsid w:val="00F82760"/>
    <w:rsid w:val="00F82947"/>
    <w:rsid w:val="00F83094"/>
    <w:rsid w:val="00F8313C"/>
    <w:rsid w:val="00F83916"/>
    <w:rsid w:val="00F83C0A"/>
    <w:rsid w:val="00F840D8"/>
    <w:rsid w:val="00F847CB"/>
    <w:rsid w:val="00F851CE"/>
    <w:rsid w:val="00F85B8B"/>
    <w:rsid w:val="00F86148"/>
    <w:rsid w:val="00F86280"/>
    <w:rsid w:val="00F86C1F"/>
    <w:rsid w:val="00F87040"/>
    <w:rsid w:val="00F87111"/>
    <w:rsid w:val="00F87214"/>
    <w:rsid w:val="00F908CF"/>
    <w:rsid w:val="00F90EEB"/>
    <w:rsid w:val="00F91219"/>
    <w:rsid w:val="00F9142F"/>
    <w:rsid w:val="00F91B90"/>
    <w:rsid w:val="00F91C52"/>
    <w:rsid w:val="00F9242D"/>
    <w:rsid w:val="00F92444"/>
    <w:rsid w:val="00F92676"/>
    <w:rsid w:val="00F92808"/>
    <w:rsid w:val="00F93262"/>
    <w:rsid w:val="00F93752"/>
    <w:rsid w:val="00F9393E"/>
    <w:rsid w:val="00F9465E"/>
    <w:rsid w:val="00F950B0"/>
    <w:rsid w:val="00F95311"/>
    <w:rsid w:val="00F958EC"/>
    <w:rsid w:val="00F9600A"/>
    <w:rsid w:val="00F96088"/>
    <w:rsid w:val="00F96638"/>
    <w:rsid w:val="00F9698A"/>
    <w:rsid w:val="00F96C92"/>
    <w:rsid w:val="00F96FD0"/>
    <w:rsid w:val="00F970DB"/>
    <w:rsid w:val="00F97358"/>
    <w:rsid w:val="00F973A4"/>
    <w:rsid w:val="00F97A78"/>
    <w:rsid w:val="00FA001D"/>
    <w:rsid w:val="00FA0282"/>
    <w:rsid w:val="00FA0752"/>
    <w:rsid w:val="00FA0B20"/>
    <w:rsid w:val="00FA0CFE"/>
    <w:rsid w:val="00FA24DD"/>
    <w:rsid w:val="00FA24E7"/>
    <w:rsid w:val="00FA33CA"/>
    <w:rsid w:val="00FA37B4"/>
    <w:rsid w:val="00FA489E"/>
    <w:rsid w:val="00FA4A1E"/>
    <w:rsid w:val="00FA4A8E"/>
    <w:rsid w:val="00FA4B3F"/>
    <w:rsid w:val="00FA5145"/>
    <w:rsid w:val="00FA5B82"/>
    <w:rsid w:val="00FA5EE6"/>
    <w:rsid w:val="00FA7587"/>
    <w:rsid w:val="00FA75BE"/>
    <w:rsid w:val="00FA7822"/>
    <w:rsid w:val="00FA7956"/>
    <w:rsid w:val="00FA7958"/>
    <w:rsid w:val="00FB0824"/>
    <w:rsid w:val="00FB0CA2"/>
    <w:rsid w:val="00FB0D54"/>
    <w:rsid w:val="00FB1303"/>
    <w:rsid w:val="00FB13CD"/>
    <w:rsid w:val="00FB16B3"/>
    <w:rsid w:val="00FB17FB"/>
    <w:rsid w:val="00FB19D9"/>
    <w:rsid w:val="00FB1AA6"/>
    <w:rsid w:val="00FB1CD8"/>
    <w:rsid w:val="00FB2FCB"/>
    <w:rsid w:val="00FB30F0"/>
    <w:rsid w:val="00FB3261"/>
    <w:rsid w:val="00FB3371"/>
    <w:rsid w:val="00FB4436"/>
    <w:rsid w:val="00FB482C"/>
    <w:rsid w:val="00FB4C9C"/>
    <w:rsid w:val="00FB4DFB"/>
    <w:rsid w:val="00FB5F72"/>
    <w:rsid w:val="00FB608D"/>
    <w:rsid w:val="00FB6591"/>
    <w:rsid w:val="00FB72A6"/>
    <w:rsid w:val="00FB7BC2"/>
    <w:rsid w:val="00FB7C4C"/>
    <w:rsid w:val="00FB7C55"/>
    <w:rsid w:val="00FC0191"/>
    <w:rsid w:val="00FC0289"/>
    <w:rsid w:val="00FC1074"/>
    <w:rsid w:val="00FC1744"/>
    <w:rsid w:val="00FC1807"/>
    <w:rsid w:val="00FC1884"/>
    <w:rsid w:val="00FC1FBC"/>
    <w:rsid w:val="00FC2D5F"/>
    <w:rsid w:val="00FC3126"/>
    <w:rsid w:val="00FC31E4"/>
    <w:rsid w:val="00FC3238"/>
    <w:rsid w:val="00FC3471"/>
    <w:rsid w:val="00FC3653"/>
    <w:rsid w:val="00FC371D"/>
    <w:rsid w:val="00FC3DF2"/>
    <w:rsid w:val="00FC40D1"/>
    <w:rsid w:val="00FC44BA"/>
    <w:rsid w:val="00FC4AC5"/>
    <w:rsid w:val="00FC5012"/>
    <w:rsid w:val="00FC5646"/>
    <w:rsid w:val="00FC5BF2"/>
    <w:rsid w:val="00FC5CAB"/>
    <w:rsid w:val="00FC5F0B"/>
    <w:rsid w:val="00FC5F7C"/>
    <w:rsid w:val="00FC701E"/>
    <w:rsid w:val="00FC74A6"/>
    <w:rsid w:val="00FC79E2"/>
    <w:rsid w:val="00FD02E1"/>
    <w:rsid w:val="00FD1511"/>
    <w:rsid w:val="00FD1575"/>
    <w:rsid w:val="00FD17E7"/>
    <w:rsid w:val="00FD2100"/>
    <w:rsid w:val="00FD28A9"/>
    <w:rsid w:val="00FD2E24"/>
    <w:rsid w:val="00FD313A"/>
    <w:rsid w:val="00FD36F1"/>
    <w:rsid w:val="00FD3895"/>
    <w:rsid w:val="00FD436C"/>
    <w:rsid w:val="00FD446D"/>
    <w:rsid w:val="00FD4DD7"/>
    <w:rsid w:val="00FD4F2C"/>
    <w:rsid w:val="00FD4F85"/>
    <w:rsid w:val="00FD538C"/>
    <w:rsid w:val="00FD5473"/>
    <w:rsid w:val="00FD55F9"/>
    <w:rsid w:val="00FD60CD"/>
    <w:rsid w:val="00FD6394"/>
    <w:rsid w:val="00FD6617"/>
    <w:rsid w:val="00FD6914"/>
    <w:rsid w:val="00FD6EA9"/>
    <w:rsid w:val="00FD744D"/>
    <w:rsid w:val="00FD74F2"/>
    <w:rsid w:val="00FD780F"/>
    <w:rsid w:val="00FD7D19"/>
    <w:rsid w:val="00FE04AE"/>
    <w:rsid w:val="00FE0E6C"/>
    <w:rsid w:val="00FE107E"/>
    <w:rsid w:val="00FE177F"/>
    <w:rsid w:val="00FE1978"/>
    <w:rsid w:val="00FE198A"/>
    <w:rsid w:val="00FE1B71"/>
    <w:rsid w:val="00FE1CDC"/>
    <w:rsid w:val="00FE1F6F"/>
    <w:rsid w:val="00FE2038"/>
    <w:rsid w:val="00FE246C"/>
    <w:rsid w:val="00FE25E8"/>
    <w:rsid w:val="00FE37B6"/>
    <w:rsid w:val="00FE3FDD"/>
    <w:rsid w:val="00FE43B0"/>
    <w:rsid w:val="00FE45BE"/>
    <w:rsid w:val="00FE5203"/>
    <w:rsid w:val="00FE5D58"/>
    <w:rsid w:val="00FE5D6E"/>
    <w:rsid w:val="00FE608A"/>
    <w:rsid w:val="00FE6189"/>
    <w:rsid w:val="00FE61B1"/>
    <w:rsid w:val="00FE67C6"/>
    <w:rsid w:val="00FE68ED"/>
    <w:rsid w:val="00FE6A6A"/>
    <w:rsid w:val="00FE6C84"/>
    <w:rsid w:val="00FE6FAC"/>
    <w:rsid w:val="00FE70C3"/>
    <w:rsid w:val="00FE71F0"/>
    <w:rsid w:val="00FE7289"/>
    <w:rsid w:val="00FE743B"/>
    <w:rsid w:val="00FF08A5"/>
    <w:rsid w:val="00FF0AF4"/>
    <w:rsid w:val="00FF0F5D"/>
    <w:rsid w:val="00FF19FB"/>
    <w:rsid w:val="00FF1A8B"/>
    <w:rsid w:val="00FF1B21"/>
    <w:rsid w:val="00FF1BE7"/>
    <w:rsid w:val="00FF245E"/>
    <w:rsid w:val="00FF2491"/>
    <w:rsid w:val="00FF2AD9"/>
    <w:rsid w:val="00FF2C11"/>
    <w:rsid w:val="00FF2D22"/>
    <w:rsid w:val="00FF2FD8"/>
    <w:rsid w:val="00FF2FD9"/>
    <w:rsid w:val="00FF2FFB"/>
    <w:rsid w:val="00FF3112"/>
    <w:rsid w:val="00FF359F"/>
    <w:rsid w:val="00FF3DCF"/>
    <w:rsid w:val="00FF4112"/>
    <w:rsid w:val="00FF43F3"/>
    <w:rsid w:val="00FF4623"/>
    <w:rsid w:val="00FF47D3"/>
    <w:rsid w:val="00FF492C"/>
    <w:rsid w:val="00FF4A21"/>
    <w:rsid w:val="00FF4AA0"/>
    <w:rsid w:val="00FF5AA3"/>
    <w:rsid w:val="00FF5AD8"/>
    <w:rsid w:val="00FF61AE"/>
    <w:rsid w:val="00FF6FDA"/>
    <w:rsid w:val="00FF7539"/>
    <w:rsid w:val="00FF7CD1"/>
    <w:rsid w:val="01704801"/>
    <w:rsid w:val="028057BD"/>
    <w:rsid w:val="02C0A86F"/>
    <w:rsid w:val="032A934E"/>
    <w:rsid w:val="032C869C"/>
    <w:rsid w:val="03C5DBA0"/>
    <w:rsid w:val="03F6F9D0"/>
    <w:rsid w:val="040E9497"/>
    <w:rsid w:val="04732CEF"/>
    <w:rsid w:val="05598861"/>
    <w:rsid w:val="05DDD21A"/>
    <w:rsid w:val="0640E90E"/>
    <w:rsid w:val="080C138D"/>
    <w:rsid w:val="081D8934"/>
    <w:rsid w:val="084CE564"/>
    <w:rsid w:val="086FE1CD"/>
    <w:rsid w:val="0890AEDE"/>
    <w:rsid w:val="09418CF6"/>
    <w:rsid w:val="095E1C9F"/>
    <w:rsid w:val="096244F6"/>
    <w:rsid w:val="0A2CE55E"/>
    <w:rsid w:val="0A44B9E0"/>
    <w:rsid w:val="0A8B92F9"/>
    <w:rsid w:val="0A9C4B7A"/>
    <w:rsid w:val="0AE7677C"/>
    <w:rsid w:val="0B6507BE"/>
    <w:rsid w:val="0C148938"/>
    <w:rsid w:val="0CAC5E4F"/>
    <w:rsid w:val="0DDB3236"/>
    <w:rsid w:val="0E486EB1"/>
    <w:rsid w:val="0E5B5DE9"/>
    <w:rsid w:val="0F4EA9AB"/>
    <w:rsid w:val="0FE8837D"/>
    <w:rsid w:val="0FF5B160"/>
    <w:rsid w:val="100C05B8"/>
    <w:rsid w:val="107B4AC3"/>
    <w:rsid w:val="112FBAE4"/>
    <w:rsid w:val="1146BE5D"/>
    <w:rsid w:val="11560250"/>
    <w:rsid w:val="115AD15E"/>
    <w:rsid w:val="120A91EB"/>
    <w:rsid w:val="12286C4C"/>
    <w:rsid w:val="1251B2BF"/>
    <w:rsid w:val="13334CC8"/>
    <w:rsid w:val="1583D486"/>
    <w:rsid w:val="15C754C1"/>
    <w:rsid w:val="1616BC14"/>
    <w:rsid w:val="163395FD"/>
    <w:rsid w:val="1677BFCD"/>
    <w:rsid w:val="16BF3103"/>
    <w:rsid w:val="16C8A459"/>
    <w:rsid w:val="171111DE"/>
    <w:rsid w:val="1816104B"/>
    <w:rsid w:val="181B8A2E"/>
    <w:rsid w:val="18858997"/>
    <w:rsid w:val="19075ED6"/>
    <w:rsid w:val="19423E94"/>
    <w:rsid w:val="19D0822B"/>
    <w:rsid w:val="19F2750E"/>
    <w:rsid w:val="1A30B402"/>
    <w:rsid w:val="1A6681DA"/>
    <w:rsid w:val="1D3CEBB6"/>
    <w:rsid w:val="1E8D69D6"/>
    <w:rsid w:val="1EA6EC72"/>
    <w:rsid w:val="1ED893B4"/>
    <w:rsid w:val="1F7455A4"/>
    <w:rsid w:val="200C5409"/>
    <w:rsid w:val="2020BBE6"/>
    <w:rsid w:val="215FF077"/>
    <w:rsid w:val="21BFC3AD"/>
    <w:rsid w:val="22373EF5"/>
    <w:rsid w:val="224AD6A4"/>
    <w:rsid w:val="22974BD5"/>
    <w:rsid w:val="229B78C3"/>
    <w:rsid w:val="22A83C39"/>
    <w:rsid w:val="23099D70"/>
    <w:rsid w:val="23FFCBA7"/>
    <w:rsid w:val="24249BDF"/>
    <w:rsid w:val="24536F6D"/>
    <w:rsid w:val="249BA54B"/>
    <w:rsid w:val="24B59184"/>
    <w:rsid w:val="24C283CD"/>
    <w:rsid w:val="2514C824"/>
    <w:rsid w:val="2572B462"/>
    <w:rsid w:val="26FB4FE3"/>
    <w:rsid w:val="275CEF96"/>
    <w:rsid w:val="27CD6177"/>
    <w:rsid w:val="282211C3"/>
    <w:rsid w:val="286A917B"/>
    <w:rsid w:val="287EC166"/>
    <w:rsid w:val="28AEF9E0"/>
    <w:rsid w:val="28D0C09F"/>
    <w:rsid w:val="2AAFEE2F"/>
    <w:rsid w:val="2AFA659D"/>
    <w:rsid w:val="2B547669"/>
    <w:rsid w:val="2B5C20B0"/>
    <w:rsid w:val="2C37D950"/>
    <w:rsid w:val="2CBBE2C0"/>
    <w:rsid w:val="2D2C0A27"/>
    <w:rsid w:val="2ED5615E"/>
    <w:rsid w:val="2EDDBA88"/>
    <w:rsid w:val="2EE5DB24"/>
    <w:rsid w:val="3007F9A3"/>
    <w:rsid w:val="306190B1"/>
    <w:rsid w:val="30A448B5"/>
    <w:rsid w:val="30D61609"/>
    <w:rsid w:val="31B90A67"/>
    <w:rsid w:val="31FC56B1"/>
    <w:rsid w:val="32477D56"/>
    <w:rsid w:val="32BE69A7"/>
    <w:rsid w:val="32D80BAD"/>
    <w:rsid w:val="32E47877"/>
    <w:rsid w:val="32F2B1B0"/>
    <w:rsid w:val="33011EE4"/>
    <w:rsid w:val="34007AB3"/>
    <w:rsid w:val="344A7C5E"/>
    <w:rsid w:val="345D5291"/>
    <w:rsid w:val="352CAE22"/>
    <w:rsid w:val="3547CD16"/>
    <w:rsid w:val="35958FC3"/>
    <w:rsid w:val="36767D22"/>
    <w:rsid w:val="369653E9"/>
    <w:rsid w:val="37D997FF"/>
    <w:rsid w:val="37E29D78"/>
    <w:rsid w:val="38353BF7"/>
    <w:rsid w:val="3970A353"/>
    <w:rsid w:val="39F265C3"/>
    <w:rsid w:val="3B80E6C6"/>
    <w:rsid w:val="3BCE45B1"/>
    <w:rsid w:val="3BE3403D"/>
    <w:rsid w:val="3C6B8DED"/>
    <w:rsid w:val="3C761E91"/>
    <w:rsid w:val="3CCA072D"/>
    <w:rsid w:val="3CCD1145"/>
    <w:rsid w:val="3E5954D2"/>
    <w:rsid w:val="3F2BDCD5"/>
    <w:rsid w:val="40A99A8D"/>
    <w:rsid w:val="41FC7A66"/>
    <w:rsid w:val="426BED3D"/>
    <w:rsid w:val="42A5627D"/>
    <w:rsid w:val="42D74832"/>
    <w:rsid w:val="43066ECF"/>
    <w:rsid w:val="43725DDB"/>
    <w:rsid w:val="438AE8EA"/>
    <w:rsid w:val="43BE7FC9"/>
    <w:rsid w:val="444E0B57"/>
    <w:rsid w:val="45DDF76A"/>
    <w:rsid w:val="4602F2AA"/>
    <w:rsid w:val="468D3E0B"/>
    <w:rsid w:val="471A9138"/>
    <w:rsid w:val="473FE290"/>
    <w:rsid w:val="479FE350"/>
    <w:rsid w:val="47AD201E"/>
    <w:rsid w:val="486BE3C3"/>
    <w:rsid w:val="489FFBC5"/>
    <w:rsid w:val="48C800F1"/>
    <w:rsid w:val="48CF5448"/>
    <w:rsid w:val="49B3C683"/>
    <w:rsid w:val="4A2C2C77"/>
    <w:rsid w:val="4A3231BE"/>
    <w:rsid w:val="4AA39B62"/>
    <w:rsid w:val="4BC11BB9"/>
    <w:rsid w:val="4BE76AB3"/>
    <w:rsid w:val="4C22059F"/>
    <w:rsid w:val="4DA5B95D"/>
    <w:rsid w:val="4EF17261"/>
    <w:rsid w:val="4FD35CE2"/>
    <w:rsid w:val="4FEE3DDB"/>
    <w:rsid w:val="5029C0EC"/>
    <w:rsid w:val="509575AB"/>
    <w:rsid w:val="50A9CD56"/>
    <w:rsid w:val="50DE926D"/>
    <w:rsid w:val="51370D89"/>
    <w:rsid w:val="52172448"/>
    <w:rsid w:val="52B59601"/>
    <w:rsid w:val="53B9F64B"/>
    <w:rsid w:val="53F95D70"/>
    <w:rsid w:val="549ECCD9"/>
    <w:rsid w:val="55396818"/>
    <w:rsid w:val="559AAEA1"/>
    <w:rsid w:val="55D4EAC4"/>
    <w:rsid w:val="56865B7E"/>
    <w:rsid w:val="570D70A3"/>
    <w:rsid w:val="575EAC46"/>
    <w:rsid w:val="57BC43B3"/>
    <w:rsid w:val="5824945B"/>
    <w:rsid w:val="59C5DFB2"/>
    <w:rsid w:val="5A38D6AE"/>
    <w:rsid w:val="5B61FF34"/>
    <w:rsid w:val="5B6817FC"/>
    <w:rsid w:val="5B6A8C9A"/>
    <w:rsid w:val="5C363DDA"/>
    <w:rsid w:val="5CF0FBD1"/>
    <w:rsid w:val="5CF6A7B1"/>
    <w:rsid w:val="5CF7BE05"/>
    <w:rsid w:val="5D0ABC92"/>
    <w:rsid w:val="5D148707"/>
    <w:rsid w:val="5D9C6547"/>
    <w:rsid w:val="5DB495BB"/>
    <w:rsid w:val="5DD596BE"/>
    <w:rsid w:val="5E507466"/>
    <w:rsid w:val="5E527BCD"/>
    <w:rsid w:val="5E6292F4"/>
    <w:rsid w:val="5EA3B943"/>
    <w:rsid w:val="5FFF1487"/>
    <w:rsid w:val="6089E182"/>
    <w:rsid w:val="61090D89"/>
    <w:rsid w:val="618A00AC"/>
    <w:rsid w:val="62710E6E"/>
    <w:rsid w:val="62F9EE2B"/>
    <w:rsid w:val="633C0C57"/>
    <w:rsid w:val="63F3F4DE"/>
    <w:rsid w:val="63FE1A91"/>
    <w:rsid w:val="646F2841"/>
    <w:rsid w:val="64DDB4C4"/>
    <w:rsid w:val="65B0E3EE"/>
    <w:rsid w:val="65B8467B"/>
    <w:rsid w:val="65B931CE"/>
    <w:rsid w:val="65FF9A34"/>
    <w:rsid w:val="663DE131"/>
    <w:rsid w:val="667E4482"/>
    <w:rsid w:val="674C5DE7"/>
    <w:rsid w:val="676FA50A"/>
    <w:rsid w:val="67795F7F"/>
    <w:rsid w:val="6850B2E6"/>
    <w:rsid w:val="6870A219"/>
    <w:rsid w:val="69BEE957"/>
    <w:rsid w:val="6A02C7D7"/>
    <w:rsid w:val="6A1D5C7B"/>
    <w:rsid w:val="6B0BEE82"/>
    <w:rsid w:val="6B6B3131"/>
    <w:rsid w:val="6BD20BD5"/>
    <w:rsid w:val="6D83FDA6"/>
    <w:rsid w:val="6DACA788"/>
    <w:rsid w:val="6DBE7028"/>
    <w:rsid w:val="6E09D84B"/>
    <w:rsid w:val="6E1D61DE"/>
    <w:rsid w:val="6E86A237"/>
    <w:rsid w:val="6E956B97"/>
    <w:rsid w:val="6EA18949"/>
    <w:rsid w:val="6EAB57D2"/>
    <w:rsid w:val="6EF5C3F9"/>
    <w:rsid w:val="6F7966D1"/>
    <w:rsid w:val="6FB9EE37"/>
    <w:rsid w:val="6FC63FCE"/>
    <w:rsid w:val="6FEEFFF2"/>
    <w:rsid w:val="703FA684"/>
    <w:rsid w:val="70D84573"/>
    <w:rsid w:val="715A8B63"/>
    <w:rsid w:val="723D83BA"/>
    <w:rsid w:val="72D818B7"/>
    <w:rsid w:val="72F8BFBF"/>
    <w:rsid w:val="731E4D35"/>
    <w:rsid w:val="7352195F"/>
    <w:rsid w:val="73AF2777"/>
    <w:rsid w:val="73D20D5B"/>
    <w:rsid w:val="75611C1B"/>
    <w:rsid w:val="75817905"/>
    <w:rsid w:val="75A92333"/>
    <w:rsid w:val="75D81FBC"/>
    <w:rsid w:val="75FCD2D8"/>
    <w:rsid w:val="7607A1F9"/>
    <w:rsid w:val="7701708C"/>
    <w:rsid w:val="7711B820"/>
    <w:rsid w:val="77C1158B"/>
    <w:rsid w:val="77DA0F38"/>
    <w:rsid w:val="77E741DA"/>
    <w:rsid w:val="7829816F"/>
    <w:rsid w:val="782D054F"/>
    <w:rsid w:val="78B282D9"/>
    <w:rsid w:val="78CDB9A5"/>
    <w:rsid w:val="791D39FC"/>
    <w:rsid w:val="795E76DF"/>
    <w:rsid w:val="7A300100"/>
    <w:rsid w:val="7B43F419"/>
    <w:rsid w:val="7C0CB276"/>
    <w:rsid w:val="7D114216"/>
    <w:rsid w:val="7D1CAF6A"/>
    <w:rsid w:val="7D206C49"/>
    <w:rsid w:val="7D387363"/>
    <w:rsid w:val="7D4D64AD"/>
    <w:rsid w:val="7DDB1AE0"/>
    <w:rsid w:val="7E56C808"/>
    <w:rsid w:val="7E9C4755"/>
    <w:rsid w:val="7F4C1EAE"/>
    <w:rsid w:val="7F981E80"/>
    <w:rsid w:val="7FFBB7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link w:val="TableHeaderChar"/>
    <w:uiPriority w:val="3"/>
    <w:qFormat/>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COMexecsummheadings"/>
    <w:next w:val="Normal"/>
    <w:link w:val="TitleChar"/>
    <w:uiPriority w:val="99"/>
    <w:qFormat/>
    <w:rsid w:val="00727911"/>
  </w:style>
  <w:style w:type="character" w:customStyle="1" w:styleId="TitleChar">
    <w:name w:val="Title Char"/>
    <w:basedOn w:val="DefaultParagraphFont"/>
    <w:link w:val="Title"/>
    <w:uiPriority w:val="99"/>
    <w:rsid w:val="00727911"/>
    <w:rPr>
      <w:rFonts w:asciiTheme="minorHAnsi" w:eastAsiaTheme="majorEastAsia" w:hAnsiTheme="minorHAnsi" w:cstheme="majorBidi"/>
      <w:b/>
      <w:spacing w:val="5"/>
      <w:kern w:val="28"/>
      <w:sz w:val="36"/>
      <w:szCs w:val="36"/>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Bullet List,L"/>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Source table_,NICE instructions,PHE Table Grid,Lash Style Table,HTAtableplain,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uiPriority w:val="99"/>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DF55A5"/>
    <w:pPr>
      <w:tabs>
        <w:tab w:val="left" w:pos="713"/>
        <w:tab w:val="left" w:pos="880"/>
        <w:tab w:val="right" w:leader="dot" w:pos="9016"/>
      </w:tabs>
      <w:spacing w:before="40"/>
      <w:ind w:left="221"/>
      <w:jc w:val="left"/>
    </w:pPr>
    <w:rPr>
      <w:iCs/>
      <w:noProof/>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Comment Text Char Char Char,Comment Text Char Char,- H19,Comment Text Char2,Comment Text Char Char1,Comment Text Char2 Char Char,Comment Text Char Char1 Char Char,Comment Text Char2 Char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Comment Text Char2 Char,Comment Text Char Char1 Char,Comment Text Char2 Char Char Char,Comment Text Char Char1 Char Char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uiPriority w:val="99"/>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FE67C6"/>
    <w:pPr>
      <w:spacing w:before="60" w:after="60"/>
    </w:pPr>
  </w:style>
  <w:style w:type="character" w:customStyle="1" w:styleId="3-BodyTextChar">
    <w:name w:val="3-Body Text Char"/>
    <w:basedOn w:val="ListParagraphChar"/>
    <w:link w:val="3-BodyText"/>
    <w:rsid w:val="00FE67C6"/>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uiPriority w:val="99"/>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uiPriority w:val="99"/>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PBAClayout">
    <w:name w:val="PBAC_layout"/>
    <w:basedOn w:val="TableNormal"/>
    <w:uiPriority w:val="99"/>
    <w:rsid w:val="003E2299"/>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paragraph" w:styleId="FootnoteText">
    <w:name w:val="footnote text"/>
    <w:aliases w:val="Footnote Text Char1,Footnote Text Char Char,Footnote Text Char2,Footnote Text Char Char1"/>
    <w:basedOn w:val="Normal"/>
    <w:link w:val="FootnoteTextChar"/>
    <w:uiPriority w:val="99"/>
    <w:unhideWhenUsed/>
    <w:qFormat/>
    <w:rsid w:val="00B055CE"/>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B055CE"/>
    <w:rPr>
      <w:rFonts w:ascii="Calibri" w:hAnsi="Calibri" w:cs="Arial"/>
    </w:rPr>
  </w:style>
  <w:style w:type="character" w:styleId="FootnoteReference">
    <w:name w:val="footnote reference"/>
    <w:basedOn w:val="DefaultParagraphFont"/>
    <w:unhideWhenUsed/>
    <w:rsid w:val="00B055CE"/>
    <w:rPr>
      <w:vertAlign w:val="superscript"/>
    </w:rPr>
  </w:style>
  <w:style w:type="character" w:styleId="UnresolvedMention">
    <w:name w:val="Unresolved Mention"/>
    <w:basedOn w:val="DefaultParagraphFont"/>
    <w:uiPriority w:val="99"/>
    <w:unhideWhenUsed/>
    <w:rsid w:val="00802526"/>
    <w:rPr>
      <w:color w:val="605E5C"/>
      <w:shd w:val="clear" w:color="auto" w:fill="E1DFDD"/>
    </w:rPr>
  </w:style>
  <w:style w:type="character" w:styleId="PlaceholderText">
    <w:name w:val="Placeholder Text"/>
    <w:basedOn w:val="DefaultParagraphFont"/>
    <w:uiPriority w:val="99"/>
    <w:semiHidden/>
    <w:rsid w:val="003A1ED6"/>
    <w:rPr>
      <w:color w:val="808080"/>
    </w:rPr>
  </w:style>
  <w:style w:type="paragraph" w:customStyle="1" w:styleId="TableBullet">
    <w:name w:val="Table Bullet"/>
    <w:basedOn w:val="TableText0"/>
    <w:qFormat/>
    <w:rsid w:val="00FA24DD"/>
    <w:pPr>
      <w:keepNext w:val="0"/>
      <w:numPr>
        <w:numId w:val="6"/>
      </w:numPr>
      <w:spacing w:before="40" w:after="40" w:line="276" w:lineRule="auto"/>
    </w:pPr>
    <w:rPr>
      <w:rFonts w:eastAsiaTheme="minorHAnsi" w:cs="Calibri (Body)"/>
      <w:bCs w:val="0"/>
      <w:szCs w:val="20"/>
      <w:lang w:eastAsia="en-US"/>
    </w:rPr>
  </w:style>
  <w:style w:type="character" w:customStyle="1" w:styleId="TableHeadingChar">
    <w:name w:val="TableHeading Char"/>
    <w:link w:val="TableHeading"/>
    <w:rsid w:val="00FA24DD"/>
    <w:rPr>
      <w:rFonts w:ascii="Arial Narrow" w:hAnsi="Arial Narrow" w:cs="Arial Narrow"/>
      <w:b/>
      <w:bCs/>
      <w:snapToGrid w:val="0"/>
      <w:szCs w:val="24"/>
    </w:rPr>
  </w:style>
  <w:style w:type="paragraph" w:customStyle="1" w:styleId="TableBodyCentred">
    <w:name w:val="Table Body (Centred)"/>
    <w:basedOn w:val="Normal"/>
    <w:link w:val="TableBodyCentredChar"/>
    <w:uiPriority w:val="13"/>
    <w:qFormat/>
    <w:rsid w:val="00FA24DD"/>
    <w:pPr>
      <w:spacing w:line="252" w:lineRule="auto"/>
      <w:jc w:val="center"/>
    </w:pPr>
    <w:rPr>
      <w:rFonts w:asciiTheme="minorHAnsi" w:eastAsia="Calibri" w:hAnsiTheme="minorHAnsi" w:cstheme="minorBidi"/>
      <w:color w:val="000000"/>
      <w:sz w:val="18"/>
      <w:szCs w:val="22"/>
      <w:lang w:val="en-GB" w:eastAsia="en-US"/>
    </w:rPr>
  </w:style>
  <w:style w:type="character" w:customStyle="1" w:styleId="TableBodyCentredChar">
    <w:name w:val="Table Body (Centred) Char"/>
    <w:basedOn w:val="DefaultParagraphFont"/>
    <w:link w:val="TableBodyCentred"/>
    <w:uiPriority w:val="13"/>
    <w:rsid w:val="00FA24DD"/>
    <w:rPr>
      <w:rFonts w:asciiTheme="minorHAnsi" w:eastAsia="Calibri" w:hAnsiTheme="minorHAnsi" w:cstheme="minorBidi"/>
      <w:color w:val="000000"/>
      <w:sz w:val="18"/>
      <w:szCs w:val="22"/>
      <w:lang w:val="en-GB" w:eastAsia="en-US"/>
    </w:rPr>
  </w:style>
  <w:style w:type="paragraph" w:customStyle="1" w:styleId="TableHeaderCentred">
    <w:name w:val="Table Header (Centred)"/>
    <w:basedOn w:val="TableHeader"/>
    <w:link w:val="TableHeaderCentredChar"/>
    <w:uiPriority w:val="5"/>
    <w:qFormat/>
    <w:rsid w:val="00FA24DD"/>
    <w:pPr>
      <w:spacing w:before="60" w:after="60" w:line="252" w:lineRule="auto"/>
      <w:jc w:val="center"/>
    </w:pPr>
    <w:rPr>
      <w:rFonts w:asciiTheme="minorHAnsi" w:eastAsia="Calibri" w:hAnsiTheme="minorHAnsi" w:cstheme="minorBidi"/>
      <w:color w:val="FFFFFF" w:themeColor="background1"/>
      <w:sz w:val="18"/>
      <w:szCs w:val="22"/>
      <w:lang w:val="en-GB" w:eastAsia="en-US"/>
    </w:rPr>
  </w:style>
  <w:style w:type="character" w:customStyle="1" w:styleId="TableHeaderCentredChar">
    <w:name w:val="Table Header (Centred) Char"/>
    <w:basedOn w:val="DefaultParagraphFont"/>
    <w:link w:val="TableHeaderCentred"/>
    <w:uiPriority w:val="5"/>
    <w:rsid w:val="00FA24DD"/>
    <w:rPr>
      <w:rFonts w:asciiTheme="minorHAnsi" w:eastAsia="Calibri" w:hAnsiTheme="minorHAnsi" w:cstheme="minorBidi"/>
      <w:b/>
      <w:color w:val="FFFFFF" w:themeColor="background1"/>
      <w:sz w:val="18"/>
      <w:szCs w:val="22"/>
      <w:lang w:val="en-GB" w:eastAsia="en-US"/>
    </w:rPr>
  </w:style>
  <w:style w:type="paragraph" w:customStyle="1" w:styleId="BodyCopy">
    <w:name w:val="Body Copy"/>
    <w:basedOn w:val="Normal"/>
    <w:link w:val="BodyCopyChar"/>
    <w:qFormat/>
    <w:rsid w:val="00FA24DD"/>
    <w:pPr>
      <w:spacing w:after="240" w:line="276" w:lineRule="auto"/>
    </w:pPr>
    <w:rPr>
      <w:rFonts w:ascii="Arial Nova Light" w:eastAsiaTheme="minorHAnsi" w:hAnsi="Arial Nova Light"/>
      <w:color w:val="2B3A42"/>
      <w:sz w:val="22"/>
      <w:szCs w:val="22"/>
      <w:lang w:val="en-US" w:eastAsia="en-US"/>
    </w:rPr>
  </w:style>
  <w:style w:type="character" w:customStyle="1" w:styleId="BodyCopyChar">
    <w:name w:val="Body Copy Char"/>
    <w:basedOn w:val="DefaultParagraphFont"/>
    <w:link w:val="BodyCopy"/>
    <w:rsid w:val="00FA24DD"/>
    <w:rPr>
      <w:rFonts w:ascii="Arial Nova Light" w:eastAsiaTheme="minorHAnsi" w:hAnsi="Arial Nova Light" w:cs="Arial"/>
      <w:color w:val="2B3A42"/>
      <w:sz w:val="22"/>
      <w:szCs w:val="22"/>
      <w:lang w:val="en-US" w:eastAsia="en-US"/>
    </w:rPr>
  </w:style>
  <w:style w:type="character" w:customStyle="1" w:styleId="TableHeaderChar">
    <w:name w:val="Table Header Char"/>
    <w:basedOn w:val="DefaultParagraphFont"/>
    <w:link w:val="TableHeader"/>
    <w:uiPriority w:val="3"/>
    <w:rsid w:val="00FA24DD"/>
    <w:rPr>
      <w:rFonts w:ascii="Calibri" w:hAnsi="Calibri" w:cs="Arial"/>
      <w:b/>
      <w:szCs w:val="24"/>
    </w:rPr>
  </w:style>
  <w:style w:type="table" w:styleId="TableGridLight">
    <w:name w:val="Grid Table Light"/>
    <w:basedOn w:val="TableNormal"/>
    <w:uiPriority w:val="40"/>
    <w:rsid w:val="00FA24DD"/>
    <w:rPr>
      <w:rFonts w:asciiTheme="minorHAnsi" w:eastAsiaTheme="minorHAnsi" w:hAnsiTheme="minorHAnsi" w:cs="Calibri (Body)"/>
      <w:sz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BACTableStyle">
    <w:name w:val="PBAC Table Style"/>
    <w:basedOn w:val="TableGrid1"/>
    <w:uiPriority w:val="99"/>
    <w:rsid w:val="00FA24DD"/>
    <w:pPr>
      <w:widowControl w:val="0"/>
      <w:spacing w:before="120"/>
      <w:contextualSpacing/>
      <w:jc w:val="center"/>
    </w:pPr>
    <w:rPr>
      <w:rFonts w:ascii="Arial Narrow" w:eastAsiaTheme="minorHAnsi" w:hAnsi="Arial Narrow" w:cstheme="minorBidi"/>
      <w:color w:val="000000" w:themeColor="text1"/>
      <w:lang w:val="en-US"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emibold" w:hAnsi="Segoe UI Semibol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emibold" w:hAnsi="Segoe UI Semibol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emibold" w:hAnsi="Segoe UI Semibol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uiPriority w:val="99"/>
    <w:semiHidden/>
    <w:unhideWhenUsed/>
    <w:rsid w:val="00FA24DD"/>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
    <w:name w:val="Table Grid2"/>
    <w:basedOn w:val="TableNormal"/>
    <w:next w:val="TableGrid"/>
    <w:rsid w:val="00FA24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FootnoteChar">
    <w:name w:val="Caption Footnote Char"/>
    <w:basedOn w:val="DefaultParagraphFont"/>
    <w:link w:val="CaptionFootnote"/>
    <w:locked/>
    <w:rsid w:val="00FA24DD"/>
    <w:rPr>
      <w:kern w:val="28"/>
      <w:sz w:val="16"/>
      <w:szCs w:val="24"/>
      <w:lang w:eastAsia="en-GB"/>
    </w:rPr>
  </w:style>
  <w:style w:type="paragraph" w:customStyle="1" w:styleId="CaptionFootnote">
    <w:name w:val="Caption Footnote"/>
    <w:basedOn w:val="Normal"/>
    <w:link w:val="CaptionFootnoteChar"/>
    <w:qFormat/>
    <w:rsid w:val="00FA24DD"/>
    <w:pPr>
      <w:jc w:val="left"/>
    </w:pPr>
    <w:rPr>
      <w:rFonts w:ascii="Times New Roman" w:hAnsi="Times New Roman" w:cs="Times New Roman"/>
      <w:kern w:val="28"/>
      <w:sz w:val="16"/>
      <w:lang w:eastAsia="en-GB"/>
    </w:rPr>
  </w:style>
  <w:style w:type="table" w:customStyle="1" w:styleId="ASDTable2">
    <w:name w:val="ASD Table2"/>
    <w:basedOn w:val="TableNormal"/>
    <w:uiPriority w:val="39"/>
    <w:rsid w:val="00FA24D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FA24DD"/>
    <w:pPr>
      <w:spacing w:line="360"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uiPriority w:val="99"/>
    <w:qFormat/>
    <w:rsid w:val="00FA24DD"/>
    <w:pPr>
      <w:keepNext/>
      <w:keepLines/>
      <w:suppressLineNumbers/>
      <w:spacing w:after="80"/>
      <w:textboxTightWrap w:val="allLines"/>
    </w:pPr>
    <w:rPr>
      <w:rFonts w:ascii="Arial Narrow" w:eastAsia="SimSun" w:hAnsi="Arial Narrow" w:cs="Arial"/>
      <w:szCs w:val="24"/>
      <w:lang w:eastAsia="en-GB"/>
    </w:rPr>
  </w:style>
  <w:style w:type="paragraph" w:customStyle="1" w:styleId="PBACTblFignote">
    <w:name w:val="PBAC Tbl/Fig note"/>
    <w:qFormat/>
    <w:rsid w:val="00FA24DD"/>
    <w:pPr>
      <w:keepNext/>
      <w:keepLines/>
      <w:spacing w:after="360"/>
      <w:contextualSpacing/>
      <w:textboxTightWrap w:val="allLines"/>
    </w:pPr>
    <w:rPr>
      <w:rFonts w:ascii="Arial Narrow" w:eastAsia="SimSun" w:hAnsi="Arial Narrow" w:cs="Arial"/>
      <w:sz w:val="16"/>
      <w:szCs w:val="24"/>
      <w:lang w:eastAsia="en-GB"/>
    </w:rPr>
  </w:style>
  <w:style w:type="character" w:customStyle="1" w:styleId="Heading5Char">
    <w:name w:val="Heading 5 Char"/>
    <w:basedOn w:val="DefaultParagraphFont"/>
    <w:link w:val="Heading5"/>
    <w:rsid w:val="00FA24DD"/>
    <w:rPr>
      <w:rFonts w:ascii="Calibri" w:hAnsi="Calibri" w:cs="Arial"/>
      <w:b/>
      <w:bCs/>
      <w:iCs/>
      <w:sz w:val="26"/>
      <w:szCs w:val="26"/>
    </w:rPr>
  </w:style>
  <w:style w:type="character" w:styleId="HTMLCite">
    <w:name w:val="HTML Cite"/>
    <w:basedOn w:val="DefaultParagraphFont"/>
    <w:uiPriority w:val="99"/>
    <w:semiHidden/>
    <w:unhideWhenUsed/>
    <w:rsid w:val="00FA24DD"/>
    <w:rPr>
      <w:i/>
      <w:iCs/>
    </w:rPr>
  </w:style>
  <w:style w:type="paragraph" w:customStyle="1" w:styleId="PBACESHeading1">
    <w:name w:val="PBAC ES Heading 1"/>
    <w:basedOn w:val="2-SectionHeading"/>
    <w:next w:val="ListParagraph"/>
    <w:uiPriority w:val="1"/>
    <w:qFormat/>
    <w:rsid w:val="002C6E5E"/>
    <w:pPr>
      <w:numPr>
        <w:numId w:val="1"/>
      </w:numPr>
    </w:pPr>
  </w:style>
  <w:style w:type="paragraph" w:customStyle="1" w:styleId="PBACESHeading2">
    <w:name w:val="PBAC ES Heading 2"/>
    <w:basedOn w:val="Heading2"/>
    <w:link w:val="PBACESHeading2Char"/>
    <w:uiPriority w:val="1"/>
    <w:qFormat/>
    <w:rsid w:val="00FA24DD"/>
    <w:pPr>
      <w:keepNext/>
      <w:keepLines/>
      <w:spacing w:before="360" w:after="120"/>
      <w:ind w:left="720" w:hanging="720"/>
      <w:jc w:val="left"/>
    </w:pPr>
    <w:rPr>
      <w:rFonts w:asciiTheme="majorHAnsi" w:eastAsiaTheme="majorEastAsia" w:hAnsiTheme="majorHAnsi" w:cstheme="majorBidi"/>
      <w:snapToGrid w:val="0"/>
      <w:szCs w:val="28"/>
      <w:lang w:eastAsia="en-GB"/>
    </w:rPr>
  </w:style>
  <w:style w:type="paragraph" w:customStyle="1" w:styleId="PBACESHeadingCAPS">
    <w:name w:val="PBAC ES Heading CAPS"/>
    <w:basedOn w:val="PBACESHeading2"/>
    <w:link w:val="PBACESHeadingCAPSChar"/>
    <w:uiPriority w:val="1"/>
    <w:qFormat/>
    <w:rsid w:val="00FA24DD"/>
    <w:rPr>
      <w:i w:val="0"/>
      <w:smallCaps/>
      <w:sz w:val="32"/>
    </w:rPr>
  </w:style>
  <w:style w:type="paragraph" w:customStyle="1" w:styleId="PBACESHeading3">
    <w:name w:val="PBAC ES Heading 3"/>
    <w:basedOn w:val="PBACESHeading2"/>
    <w:uiPriority w:val="1"/>
    <w:qFormat/>
    <w:rsid w:val="00FA24DD"/>
    <w:pPr>
      <w:ind w:left="1080" w:hanging="1080"/>
    </w:pPr>
    <w:rPr>
      <w:i w:val="0"/>
      <w:sz w:val="24"/>
    </w:rPr>
  </w:style>
  <w:style w:type="character" w:customStyle="1" w:styleId="PBACESHeadingCAPSChar">
    <w:name w:val="PBAC ES Heading CAPS Char"/>
    <w:basedOn w:val="DefaultParagraphFont"/>
    <w:link w:val="PBACESHeadingCAPS"/>
    <w:uiPriority w:val="1"/>
    <w:rsid w:val="00FA24DD"/>
    <w:rPr>
      <w:rFonts w:asciiTheme="majorHAnsi" w:eastAsiaTheme="majorEastAsia" w:hAnsiTheme="majorHAnsi" w:cstheme="majorBidi"/>
      <w:b/>
      <w:smallCaps/>
      <w:snapToGrid w:val="0"/>
      <w:sz w:val="32"/>
      <w:szCs w:val="28"/>
      <w:lang w:eastAsia="en-GB"/>
    </w:rPr>
  </w:style>
  <w:style w:type="paragraph" w:customStyle="1" w:styleId="MSACHeading1">
    <w:name w:val="MSAC Heading 1"/>
    <w:basedOn w:val="Heading1"/>
    <w:next w:val="Normal"/>
    <w:uiPriority w:val="1"/>
    <w:qFormat/>
    <w:rsid w:val="00FA24DD"/>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FA24DD"/>
    <w:pPr>
      <w:keepNext/>
      <w:keepLines/>
      <w:spacing w:before="360" w:after="120"/>
      <w:ind w:left="720" w:hanging="720"/>
      <w:jc w:val="left"/>
    </w:pPr>
    <w:rPr>
      <w:rFonts w:ascii="Cambria" w:eastAsiaTheme="majorEastAsia" w:hAnsi="Cambria" w:cstheme="majorBidi"/>
      <w:i w:val="0"/>
      <w:snapToGrid w:val="0"/>
      <w:sz w:val="24"/>
      <w:szCs w:val="28"/>
      <w:lang w:eastAsia="en-GB"/>
    </w:rPr>
  </w:style>
  <w:style w:type="character" w:customStyle="1" w:styleId="PBACESHeading2Char">
    <w:name w:val="PBAC ES Heading 2 Char"/>
    <w:basedOn w:val="Heading2Char"/>
    <w:link w:val="PBACESHeading2"/>
    <w:uiPriority w:val="1"/>
    <w:rsid w:val="00FA24DD"/>
    <w:rPr>
      <w:rFonts w:asciiTheme="majorHAnsi" w:eastAsiaTheme="majorEastAsia" w:hAnsiTheme="majorHAnsi" w:cstheme="majorBidi"/>
      <w:b/>
      <w:i/>
      <w:snapToGrid w:val="0"/>
      <w:sz w:val="28"/>
      <w:szCs w:val="28"/>
      <w:lang w:eastAsia="en-GB"/>
    </w:rPr>
  </w:style>
  <w:style w:type="paragraph" w:customStyle="1" w:styleId="TableHeading0">
    <w:name w:val="Table Heading"/>
    <w:basedOn w:val="Normal"/>
    <w:link w:val="TableHeadingChar0"/>
    <w:qFormat/>
    <w:rsid w:val="00FA24DD"/>
    <w:pPr>
      <w:keepNext/>
      <w:keepLines/>
      <w:spacing w:before="20" w:after="20" w:line="276" w:lineRule="auto"/>
      <w:jc w:val="left"/>
    </w:pPr>
    <w:rPr>
      <w:rFonts w:ascii="Arial Narrow" w:eastAsiaTheme="majorEastAsia" w:hAnsi="Arial Narrow"/>
      <w:b/>
      <w:sz w:val="20"/>
      <w:szCs w:val="20"/>
      <w:lang w:bidi="en-US"/>
    </w:rPr>
  </w:style>
  <w:style w:type="character" w:customStyle="1" w:styleId="TableHeadingChar0">
    <w:name w:val="Table Heading Char"/>
    <w:basedOn w:val="DefaultParagraphFont"/>
    <w:link w:val="TableHeading0"/>
    <w:locked/>
    <w:rsid w:val="00FA24DD"/>
    <w:rPr>
      <w:rFonts w:ascii="Arial Narrow" w:eastAsiaTheme="majorEastAsia" w:hAnsi="Arial Narrow" w:cs="Arial"/>
      <w:b/>
      <w:lang w:bidi="en-US"/>
    </w:rPr>
  </w:style>
  <w:style w:type="character" w:customStyle="1" w:styleId="MainBodyBulletPointChar">
    <w:name w:val="MainBody Bullet Point Char"/>
    <w:basedOn w:val="DefaultParagraphFont"/>
    <w:link w:val="MainBodyBulletPoint"/>
    <w:uiPriority w:val="1"/>
    <w:locked/>
    <w:rsid w:val="00FA24DD"/>
    <w:rPr>
      <w:rFonts w:ascii="Calibri" w:hAnsi="Calibri"/>
      <w:sz w:val="24"/>
      <w:szCs w:val="24"/>
      <w:lang w:eastAsia="en-GB"/>
    </w:rPr>
  </w:style>
  <w:style w:type="paragraph" w:customStyle="1" w:styleId="MainBodyBulletPoint">
    <w:name w:val="MainBody Bullet Point"/>
    <w:basedOn w:val="Normal"/>
    <w:link w:val="MainBodyBulletPointChar"/>
    <w:uiPriority w:val="1"/>
    <w:qFormat/>
    <w:rsid w:val="00FA24DD"/>
    <w:pPr>
      <w:numPr>
        <w:numId w:val="7"/>
      </w:numPr>
      <w:spacing w:before="120" w:after="120"/>
      <w:jc w:val="left"/>
    </w:pPr>
    <w:rPr>
      <w:rFonts w:cs="Times New Roman"/>
      <w:lang w:eastAsia="en-GB"/>
    </w:rPr>
  </w:style>
  <w:style w:type="character" w:customStyle="1" w:styleId="Heading1Char">
    <w:name w:val="Heading 1 Char"/>
    <w:basedOn w:val="DefaultParagraphFont"/>
    <w:link w:val="Heading1"/>
    <w:uiPriority w:val="1"/>
    <w:rsid w:val="00FA24DD"/>
    <w:rPr>
      <w:rFonts w:ascii="Calibri" w:hAnsi="Calibri" w:cs="Arial"/>
      <w:b/>
      <w:caps/>
      <w:sz w:val="32"/>
      <w:szCs w:val="24"/>
    </w:rPr>
  </w:style>
  <w:style w:type="character" w:customStyle="1" w:styleId="Heading3Char">
    <w:name w:val="Heading 3 Char"/>
    <w:basedOn w:val="DefaultParagraphFont"/>
    <w:link w:val="Heading3"/>
    <w:rsid w:val="00FA24DD"/>
    <w:rPr>
      <w:rFonts w:ascii="Calibri" w:hAnsi="Calibri" w:cs="Arial"/>
      <w:sz w:val="24"/>
      <w:szCs w:val="24"/>
      <w:u w:val="single"/>
    </w:rPr>
  </w:style>
  <w:style w:type="character" w:customStyle="1" w:styleId="Heading4Char">
    <w:name w:val="Heading 4 Char"/>
    <w:basedOn w:val="DefaultParagraphFont"/>
    <w:link w:val="Heading4"/>
    <w:rsid w:val="00FA24DD"/>
    <w:rPr>
      <w:rFonts w:ascii="Calibri" w:hAnsi="Calibri" w:cs="Arial"/>
      <w:b/>
      <w:bCs/>
      <w:i/>
      <w:sz w:val="26"/>
      <w:szCs w:val="28"/>
    </w:rPr>
  </w:style>
  <w:style w:type="character" w:customStyle="1" w:styleId="Heading6Char">
    <w:name w:val="Heading 6 Char"/>
    <w:basedOn w:val="DefaultParagraphFont"/>
    <w:link w:val="Heading6"/>
    <w:rsid w:val="00FA24DD"/>
    <w:rPr>
      <w:rFonts w:ascii="Calibri" w:hAnsi="Calibri" w:cs="Arial"/>
      <w:b/>
      <w:bCs/>
      <w:i/>
      <w:sz w:val="24"/>
      <w:szCs w:val="24"/>
    </w:rPr>
  </w:style>
  <w:style w:type="paragraph" w:customStyle="1" w:styleId="msonormal0">
    <w:name w:val="msonormal"/>
    <w:basedOn w:val="Normal"/>
    <w:uiPriority w:val="99"/>
    <w:rsid w:val="00FA24DD"/>
    <w:pPr>
      <w:spacing w:before="100" w:after="100"/>
      <w:jc w:val="left"/>
    </w:pPr>
    <w:rPr>
      <w:rFonts w:ascii="Times New Roman" w:eastAsia="SimSun" w:hAnsi="Times New Roman" w:cs="Times New Roman"/>
      <w:lang w:val="en-GB"/>
    </w:rPr>
  </w:style>
  <w:style w:type="character" w:customStyle="1" w:styleId="CommentTextChar1">
    <w:name w:val="Comment Text Char1"/>
    <w:aliases w:val="Comment Text Char Char Char Char1,Comment Text Char Char Char2"/>
    <w:basedOn w:val="DefaultParagraphFont"/>
    <w:uiPriority w:val="99"/>
    <w:semiHidden/>
    <w:rsid w:val="00FA24DD"/>
    <w:rPr>
      <w:rFonts w:ascii="Calibri" w:hAnsi="Calibri" w:cs="Arial"/>
    </w:rPr>
  </w:style>
  <w:style w:type="character" w:customStyle="1" w:styleId="HeaderChar1">
    <w:name w:val="Header Char1"/>
    <w:aliases w:val="Page Header Char1,Header title Char1,he=header Char1,cntr/bld Char1"/>
    <w:basedOn w:val="DefaultParagraphFont"/>
    <w:semiHidden/>
    <w:rsid w:val="00FA24DD"/>
    <w:rPr>
      <w:rFonts w:ascii="Calibri" w:hAnsi="Calibri" w:cs="Arial"/>
      <w:sz w:val="24"/>
      <w:szCs w:val="24"/>
    </w:rPr>
  </w:style>
  <w:style w:type="paragraph" w:styleId="TableofFigures">
    <w:name w:val="table of figures"/>
    <w:basedOn w:val="Normal"/>
    <w:next w:val="Normal"/>
    <w:uiPriority w:val="99"/>
    <w:semiHidden/>
    <w:unhideWhenUsed/>
    <w:rsid w:val="00FA24DD"/>
    <w:rPr>
      <w:rFonts w:eastAsia="SimSun"/>
    </w:rPr>
  </w:style>
  <w:style w:type="paragraph" w:customStyle="1" w:styleId="PBACESText">
    <w:name w:val="PBAC ES Text"/>
    <w:basedOn w:val="Normal"/>
    <w:qFormat/>
    <w:rsid w:val="00FA24DD"/>
    <w:pPr>
      <w:spacing w:before="60" w:after="80"/>
      <w:jc w:val="left"/>
    </w:pPr>
    <w:rPr>
      <w:rFonts w:eastAsia="SimSun"/>
      <w:sz w:val="22"/>
      <w:lang w:val="en-US" w:eastAsia="en-GB"/>
    </w:rPr>
  </w:style>
  <w:style w:type="character" w:customStyle="1" w:styleId="TableNumberChar">
    <w:name w:val="Table Number Char"/>
    <w:basedOn w:val="DefaultParagraphFont"/>
    <w:link w:val="TableNumber"/>
    <w:locked/>
    <w:rsid w:val="00FA24DD"/>
    <w:rPr>
      <w:rFonts w:ascii="Arial Narrow" w:hAnsi="Arial Narrow"/>
      <w:szCs w:val="24"/>
      <w:lang w:eastAsia="en-GB"/>
    </w:rPr>
  </w:style>
  <w:style w:type="paragraph" w:customStyle="1" w:styleId="TableNumber">
    <w:name w:val="Table Number"/>
    <w:basedOn w:val="Normal"/>
    <w:link w:val="TableNumberChar"/>
    <w:qFormat/>
    <w:rsid w:val="00FA24DD"/>
    <w:pPr>
      <w:widowControl w:val="0"/>
      <w:tabs>
        <w:tab w:val="decimal" w:pos="396"/>
      </w:tabs>
      <w:spacing w:before="40" w:after="40" w:line="252" w:lineRule="auto"/>
      <w:jc w:val="center"/>
    </w:pPr>
    <w:rPr>
      <w:rFonts w:ascii="Arial Narrow" w:hAnsi="Arial Narrow" w:cs="Times New Roman"/>
      <w:sz w:val="20"/>
      <w:lang w:eastAsia="en-GB"/>
    </w:rPr>
  </w:style>
  <w:style w:type="character" w:customStyle="1" w:styleId="InstructionalTextChar">
    <w:name w:val="Instructional Text Char"/>
    <w:basedOn w:val="DefaultParagraphFont"/>
    <w:link w:val="InstructionalText"/>
    <w:uiPriority w:val="3"/>
    <w:locked/>
    <w:rsid w:val="00FA24DD"/>
    <w:rPr>
      <w:rFonts w:asciiTheme="minorHAnsi" w:hAnsiTheme="minorHAnsi" w:cs="Calibri"/>
      <w:color w:val="0070C0"/>
      <w:sz w:val="24"/>
      <w:szCs w:val="24"/>
      <w:lang w:eastAsia="en-GB"/>
    </w:rPr>
  </w:style>
  <w:style w:type="paragraph" w:customStyle="1" w:styleId="InstructionalText">
    <w:name w:val="Instructional Text"/>
    <w:basedOn w:val="Normal"/>
    <w:link w:val="InstructionalTextChar"/>
    <w:uiPriority w:val="3"/>
    <w:qFormat/>
    <w:rsid w:val="00FA24DD"/>
    <w:pPr>
      <w:spacing w:before="120" w:after="160"/>
    </w:pPr>
    <w:rPr>
      <w:rFonts w:asciiTheme="minorHAnsi" w:hAnsiTheme="minorHAnsi" w:cs="Calibri"/>
      <w:color w:val="0070C0"/>
      <w:lang w:eastAsia="en-GB"/>
    </w:rPr>
  </w:style>
  <w:style w:type="paragraph" w:customStyle="1" w:styleId="xl110">
    <w:name w:val="xl110"/>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1">
    <w:name w:val="xl111"/>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2">
    <w:name w:val="xl112"/>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3">
    <w:name w:val="xl113"/>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4">
    <w:name w:val="xl114"/>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5">
    <w:name w:val="xl115"/>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6">
    <w:name w:val="xl116"/>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7">
    <w:name w:val="xl117"/>
    <w:basedOn w:val="Normal"/>
    <w:uiPriority w:val="99"/>
    <w:rsid w:val="00FA24DD"/>
    <w:pP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18">
    <w:name w:val="xl118"/>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9">
    <w:name w:val="xl119"/>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20">
    <w:name w:val="xl120"/>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21">
    <w:name w:val="xl121"/>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22">
    <w:name w:val="xl122"/>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23">
    <w:name w:val="xl123"/>
    <w:basedOn w:val="Normal"/>
    <w:uiPriority w:val="99"/>
    <w:rsid w:val="00FA24DD"/>
    <w:pPr>
      <w:spacing w:before="100" w:beforeAutospacing="1" w:after="100" w:afterAutospacing="1"/>
      <w:jc w:val="left"/>
    </w:pPr>
    <w:rPr>
      <w:rFonts w:ascii="Arial Narrow" w:eastAsia="SimSun" w:hAnsi="Arial Narrow" w:cs="Times New Roman"/>
      <w:color w:val="BFBFBF"/>
      <w:sz w:val="20"/>
      <w:szCs w:val="20"/>
    </w:rPr>
  </w:style>
  <w:style w:type="paragraph" w:customStyle="1" w:styleId="xl124">
    <w:name w:val="xl124"/>
    <w:basedOn w:val="Normal"/>
    <w:uiPriority w:val="99"/>
    <w:rsid w:val="00FA24DD"/>
    <w:pPr>
      <w:spacing w:before="100" w:beforeAutospacing="1" w:after="100" w:afterAutospacing="1"/>
      <w:jc w:val="left"/>
    </w:pPr>
    <w:rPr>
      <w:rFonts w:ascii="Arial Narrow" w:eastAsia="SimSun" w:hAnsi="Arial Narrow" w:cs="Times New Roman"/>
      <w:color w:val="BFBFBF"/>
      <w:sz w:val="20"/>
      <w:szCs w:val="20"/>
    </w:rPr>
  </w:style>
  <w:style w:type="paragraph" w:customStyle="1" w:styleId="xl125">
    <w:name w:val="xl125"/>
    <w:basedOn w:val="Normal"/>
    <w:uiPriority w:val="99"/>
    <w:rsid w:val="00FA24DD"/>
    <w:pPr>
      <w:spacing w:before="100" w:beforeAutospacing="1" w:after="100" w:afterAutospacing="1"/>
      <w:jc w:val="left"/>
    </w:pPr>
    <w:rPr>
      <w:rFonts w:ascii="Arial Narrow" w:eastAsia="SimSun" w:hAnsi="Arial Narrow" w:cs="Times New Roman"/>
      <w:sz w:val="20"/>
      <w:szCs w:val="20"/>
    </w:rPr>
  </w:style>
  <w:style w:type="paragraph" w:customStyle="1" w:styleId="xl126">
    <w:name w:val="xl126"/>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27">
    <w:name w:val="xl127"/>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28">
    <w:name w:val="xl128"/>
    <w:basedOn w:val="Normal"/>
    <w:uiPriority w:val="99"/>
    <w:rsid w:val="00FA24DD"/>
    <w:pP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29">
    <w:name w:val="xl129"/>
    <w:basedOn w:val="Normal"/>
    <w:uiPriority w:val="99"/>
    <w:rsid w:val="00FA24DD"/>
    <w:pP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30">
    <w:name w:val="xl130"/>
    <w:basedOn w:val="Normal"/>
    <w:uiPriority w:val="99"/>
    <w:rsid w:val="00FA24DD"/>
    <w:pP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31">
    <w:name w:val="xl131"/>
    <w:basedOn w:val="Normal"/>
    <w:uiPriority w:val="99"/>
    <w:rsid w:val="00FA24DD"/>
    <w:pP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32">
    <w:name w:val="xl132"/>
    <w:basedOn w:val="Normal"/>
    <w:uiPriority w:val="99"/>
    <w:rsid w:val="00FA24DD"/>
    <w:pP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33">
    <w:name w:val="xl133"/>
    <w:basedOn w:val="Normal"/>
    <w:uiPriority w:val="99"/>
    <w:rsid w:val="00FA24DD"/>
    <w:pP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34">
    <w:name w:val="xl134"/>
    <w:basedOn w:val="Normal"/>
    <w:uiPriority w:val="99"/>
    <w:rsid w:val="00FA24DD"/>
    <w:pP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35">
    <w:name w:val="xl135"/>
    <w:basedOn w:val="Normal"/>
    <w:uiPriority w:val="99"/>
    <w:rsid w:val="00FA24DD"/>
    <w:pP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36">
    <w:name w:val="xl136"/>
    <w:basedOn w:val="Normal"/>
    <w:uiPriority w:val="99"/>
    <w:rsid w:val="00FA24DD"/>
    <w:pP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37">
    <w:name w:val="xl137"/>
    <w:basedOn w:val="Normal"/>
    <w:uiPriority w:val="99"/>
    <w:rsid w:val="00FA24DD"/>
    <w:pP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38">
    <w:name w:val="xl138"/>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39">
    <w:name w:val="xl139"/>
    <w:basedOn w:val="Normal"/>
    <w:uiPriority w:val="99"/>
    <w:rsid w:val="00FA24DD"/>
    <w:pPr>
      <w:shd w:val="clear" w:color="auto" w:fill="E7E6E6"/>
      <w:spacing w:before="100" w:beforeAutospacing="1" w:after="100" w:afterAutospacing="1"/>
      <w:jc w:val="center"/>
    </w:pPr>
    <w:rPr>
      <w:rFonts w:ascii="Arial Narrow" w:eastAsia="SimSun" w:hAnsi="Arial Narrow" w:cs="Times New Roman"/>
      <w:color w:val="7030A0"/>
      <w:sz w:val="20"/>
      <w:szCs w:val="20"/>
    </w:rPr>
  </w:style>
  <w:style w:type="paragraph" w:customStyle="1" w:styleId="xl140">
    <w:name w:val="xl140"/>
    <w:basedOn w:val="Normal"/>
    <w:uiPriority w:val="99"/>
    <w:rsid w:val="00FA24DD"/>
    <w:pPr>
      <w:shd w:val="clear" w:color="auto" w:fill="E7E6E6"/>
      <w:spacing w:before="100" w:beforeAutospacing="1" w:after="100" w:afterAutospacing="1"/>
      <w:jc w:val="center"/>
    </w:pPr>
    <w:rPr>
      <w:rFonts w:ascii="Arial Narrow" w:eastAsia="SimSun" w:hAnsi="Arial Narrow" w:cs="Times New Roman"/>
      <w:color w:val="7030A0"/>
      <w:sz w:val="20"/>
      <w:szCs w:val="20"/>
    </w:rPr>
  </w:style>
  <w:style w:type="paragraph" w:customStyle="1" w:styleId="xl141">
    <w:name w:val="xl141"/>
    <w:basedOn w:val="Normal"/>
    <w:uiPriority w:val="99"/>
    <w:rsid w:val="00FA24DD"/>
    <w:pPr>
      <w:shd w:val="clear" w:color="auto" w:fill="FCE4D6"/>
      <w:spacing w:before="100" w:beforeAutospacing="1" w:after="100" w:afterAutospacing="1"/>
      <w:jc w:val="center"/>
    </w:pPr>
    <w:rPr>
      <w:rFonts w:ascii="Arial Narrow" w:eastAsia="SimSun" w:hAnsi="Arial Narrow" w:cs="Times New Roman"/>
      <w:color w:val="7030A0"/>
      <w:sz w:val="20"/>
      <w:szCs w:val="20"/>
    </w:rPr>
  </w:style>
  <w:style w:type="paragraph" w:customStyle="1" w:styleId="xl142">
    <w:name w:val="xl142"/>
    <w:basedOn w:val="Normal"/>
    <w:uiPriority w:val="99"/>
    <w:rsid w:val="00FA24DD"/>
    <w:pPr>
      <w:shd w:val="clear" w:color="auto" w:fill="FCE4D6"/>
      <w:spacing w:before="100" w:beforeAutospacing="1" w:after="100" w:afterAutospacing="1"/>
      <w:jc w:val="center"/>
    </w:pPr>
    <w:rPr>
      <w:rFonts w:ascii="Arial Narrow" w:eastAsia="SimSun" w:hAnsi="Arial Narrow" w:cs="Times New Roman"/>
      <w:color w:val="7030A0"/>
      <w:sz w:val="20"/>
      <w:szCs w:val="20"/>
    </w:rPr>
  </w:style>
  <w:style w:type="paragraph" w:customStyle="1" w:styleId="xl143">
    <w:name w:val="xl143"/>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44">
    <w:name w:val="xl144"/>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45">
    <w:name w:val="xl145"/>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46">
    <w:name w:val="xl146"/>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47">
    <w:name w:val="xl147"/>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48">
    <w:name w:val="xl148"/>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49">
    <w:name w:val="xl149"/>
    <w:basedOn w:val="Normal"/>
    <w:uiPriority w:val="99"/>
    <w:rsid w:val="00FA24DD"/>
    <w:pPr>
      <w:pBdr>
        <w:top w:val="single" w:sz="4" w:space="0" w:color="auto"/>
      </w:pBd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50">
    <w:name w:val="xl150"/>
    <w:basedOn w:val="Normal"/>
    <w:uiPriority w:val="99"/>
    <w:rsid w:val="00FA24DD"/>
    <w:pPr>
      <w:pBdr>
        <w:top w:val="single" w:sz="4" w:space="0" w:color="auto"/>
      </w:pBd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51">
    <w:name w:val="xl151"/>
    <w:basedOn w:val="Normal"/>
    <w:uiPriority w:val="99"/>
    <w:rsid w:val="00FA24DD"/>
    <w:pPr>
      <w:pBdr>
        <w:top w:val="single" w:sz="4" w:space="0" w:color="auto"/>
      </w:pBd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52">
    <w:name w:val="xl152"/>
    <w:basedOn w:val="Normal"/>
    <w:uiPriority w:val="99"/>
    <w:rsid w:val="00FA24DD"/>
    <w:pPr>
      <w:pBdr>
        <w:top w:val="single" w:sz="4" w:space="0" w:color="auto"/>
      </w:pBd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53">
    <w:name w:val="xl153"/>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4">
    <w:name w:val="xl154"/>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5">
    <w:name w:val="xl155"/>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6">
    <w:name w:val="xl156"/>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7">
    <w:name w:val="xl157"/>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8">
    <w:name w:val="xl158"/>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9">
    <w:name w:val="xl159"/>
    <w:basedOn w:val="Normal"/>
    <w:uiPriority w:val="99"/>
    <w:rsid w:val="00FA24DD"/>
    <w:pPr>
      <w:pBdr>
        <w:top w:val="single" w:sz="4" w:space="0" w:color="auto"/>
      </w:pBd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60">
    <w:name w:val="xl160"/>
    <w:basedOn w:val="Normal"/>
    <w:uiPriority w:val="99"/>
    <w:rsid w:val="00FA24DD"/>
    <w:pPr>
      <w:pBdr>
        <w:top w:val="single" w:sz="4" w:space="0" w:color="auto"/>
      </w:pBd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61">
    <w:name w:val="xl161"/>
    <w:basedOn w:val="Normal"/>
    <w:uiPriority w:val="99"/>
    <w:rsid w:val="00FA24DD"/>
    <w:pPr>
      <w:pBdr>
        <w:top w:val="single" w:sz="8" w:space="0" w:color="auto"/>
        <w:left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2">
    <w:name w:val="xl162"/>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3">
    <w:name w:val="xl163"/>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4">
    <w:name w:val="xl164"/>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5">
    <w:name w:val="xl165"/>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6">
    <w:name w:val="xl166"/>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7">
    <w:name w:val="xl167"/>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8">
    <w:name w:val="xl168"/>
    <w:basedOn w:val="Normal"/>
    <w:uiPriority w:val="99"/>
    <w:rsid w:val="00FA24DD"/>
    <w:pPr>
      <w:pBdr>
        <w:top w:val="single" w:sz="8" w:space="0" w:color="auto"/>
        <w:right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9">
    <w:name w:val="xl169"/>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0">
    <w:name w:val="xl170"/>
    <w:basedOn w:val="Normal"/>
    <w:uiPriority w:val="99"/>
    <w:rsid w:val="00FA24DD"/>
    <w:pPr>
      <w:pBdr>
        <w:top w:val="single" w:sz="4" w:space="0" w:color="auto"/>
        <w:bottom w:val="single" w:sz="4" w:space="0" w:color="auto"/>
      </w:pBdr>
      <w:shd w:val="clear" w:color="auto" w:fill="E7E6E6"/>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1">
    <w:name w:val="xl171"/>
    <w:basedOn w:val="Normal"/>
    <w:uiPriority w:val="99"/>
    <w:rsid w:val="00FA24DD"/>
    <w:pPr>
      <w:pBdr>
        <w:top w:val="single" w:sz="4" w:space="0" w:color="auto"/>
        <w:bottom w:val="single" w:sz="4" w:space="0" w:color="auto"/>
      </w:pBdr>
      <w:shd w:val="clear" w:color="auto" w:fill="E7E6E6"/>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2">
    <w:name w:val="xl172"/>
    <w:basedOn w:val="Normal"/>
    <w:uiPriority w:val="99"/>
    <w:rsid w:val="00FA24DD"/>
    <w:pPr>
      <w:pBdr>
        <w:top w:val="single" w:sz="4" w:space="0" w:color="auto"/>
        <w:bottom w:val="single" w:sz="4" w:space="0" w:color="auto"/>
      </w:pBdr>
      <w:shd w:val="clear" w:color="auto" w:fill="FCE4D6"/>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3">
    <w:name w:val="xl173"/>
    <w:basedOn w:val="Normal"/>
    <w:uiPriority w:val="99"/>
    <w:rsid w:val="00FA24DD"/>
    <w:pPr>
      <w:pBdr>
        <w:top w:val="single" w:sz="4" w:space="0" w:color="auto"/>
        <w:bottom w:val="single" w:sz="4" w:space="0" w:color="auto"/>
      </w:pBdr>
      <w:shd w:val="clear" w:color="auto" w:fill="FCE4D6"/>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4">
    <w:name w:val="xl174"/>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5">
    <w:name w:val="xl175"/>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6">
    <w:name w:val="xl176"/>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7">
    <w:name w:val="xl177"/>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8">
    <w:name w:val="xl178"/>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9">
    <w:name w:val="xl179"/>
    <w:basedOn w:val="Normal"/>
    <w:uiPriority w:val="99"/>
    <w:rsid w:val="00FA24DD"/>
    <w:pP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80">
    <w:name w:val="xl180"/>
    <w:basedOn w:val="Normal"/>
    <w:uiPriority w:val="99"/>
    <w:rsid w:val="00FA24DD"/>
    <w:pPr>
      <w:spacing w:before="100" w:beforeAutospacing="1" w:after="100" w:afterAutospacing="1"/>
      <w:jc w:val="center"/>
    </w:pPr>
    <w:rPr>
      <w:rFonts w:ascii="Arial Narrow" w:eastAsia="SimSun" w:hAnsi="Arial Narrow" w:cs="Times New Roman"/>
      <w:b/>
      <w:bCs/>
      <w:color w:val="7030A0"/>
      <w:sz w:val="20"/>
      <w:szCs w:val="20"/>
    </w:rPr>
  </w:style>
  <w:style w:type="paragraph" w:customStyle="1" w:styleId="xl181">
    <w:name w:val="xl181"/>
    <w:basedOn w:val="Normal"/>
    <w:uiPriority w:val="99"/>
    <w:rsid w:val="00FA24DD"/>
    <w:pPr>
      <w:pBdr>
        <w:top w:val="single" w:sz="4" w:space="0" w:color="auto"/>
      </w:pBd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82">
    <w:name w:val="xl182"/>
    <w:basedOn w:val="Normal"/>
    <w:uiPriority w:val="99"/>
    <w:rsid w:val="00FA24DD"/>
    <w:pPr>
      <w:pBdr>
        <w:top w:val="single" w:sz="4" w:space="0" w:color="auto"/>
      </w:pBd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83">
    <w:name w:val="xl183"/>
    <w:basedOn w:val="Normal"/>
    <w:uiPriority w:val="99"/>
    <w:rsid w:val="00FA24DD"/>
    <w:pPr>
      <w:pBdr>
        <w:top w:val="single" w:sz="4" w:space="0" w:color="auto"/>
      </w:pBd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84">
    <w:name w:val="xl184"/>
    <w:basedOn w:val="Normal"/>
    <w:uiPriority w:val="99"/>
    <w:rsid w:val="00FA24DD"/>
    <w:pPr>
      <w:pBdr>
        <w:top w:val="single" w:sz="4" w:space="0" w:color="auto"/>
      </w:pBd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85">
    <w:name w:val="xl185"/>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86">
    <w:name w:val="xl186"/>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87">
    <w:name w:val="xl187"/>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88">
    <w:name w:val="xl188"/>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89">
    <w:name w:val="xl189"/>
    <w:basedOn w:val="Normal"/>
    <w:uiPriority w:val="99"/>
    <w:rsid w:val="00FA24DD"/>
    <w:pPr>
      <w:pBdr>
        <w:top w:val="single" w:sz="4" w:space="0" w:color="auto"/>
      </w:pBdr>
      <w:shd w:val="clear" w:color="auto" w:fill="FFFF00"/>
      <w:spacing w:before="100" w:beforeAutospacing="1" w:after="100" w:afterAutospacing="1"/>
      <w:jc w:val="left"/>
    </w:pPr>
    <w:rPr>
      <w:rFonts w:ascii="Arial Narrow" w:eastAsia="SimSun" w:hAnsi="Arial Narrow" w:cs="Times New Roman"/>
      <w:i/>
      <w:iCs/>
      <w:color w:val="7030A0"/>
      <w:sz w:val="20"/>
      <w:szCs w:val="20"/>
    </w:rPr>
  </w:style>
  <w:style w:type="paragraph" w:customStyle="1" w:styleId="xl190">
    <w:name w:val="xl190"/>
    <w:basedOn w:val="Normal"/>
    <w:uiPriority w:val="99"/>
    <w:rsid w:val="00FA24DD"/>
    <w:pPr>
      <w:shd w:val="clear" w:color="auto" w:fill="FFFF00"/>
      <w:spacing w:before="100" w:beforeAutospacing="1" w:after="100" w:afterAutospacing="1"/>
      <w:jc w:val="left"/>
    </w:pPr>
    <w:rPr>
      <w:rFonts w:ascii="Arial Narrow" w:eastAsia="SimSun" w:hAnsi="Arial Narrow" w:cs="Times New Roman"/>
      <w:i/>
      <w:iCs/>
      <w:color w:val="7030A0"/>
      <w:sz w:val="20"/>
      <w:szCs w:val="20"/>
    </w:rPr>
  </w:style>
  <w:style w:type="paragraph" w:customStyle="1" w:styleId="xl191">
    <w:name w:val="xl191"/>
    <w:basedOn w:val="Normal"/>
    <w:uiPriority w:val="99"/>
    <w:rsid w:val="00FA24DD"/>
    <w:pPr>
      <w:shd w:val="clear" w:color="auto" w:fill="FFFF00"/>
      <w:spacing w:before="100" w:beforeAutospacing="1" w:after="100" w:afterAutospacing="1"/>
      <w:jc w:val="left"/>
    </w:pPr>
    <w:rPr>
      <w:rFonts w:ascii="Arial Narrow" w:eastAsia="SimSun" w:hAnsi="Arial Narrow" w:cs="Times New Roman"/>
      <w:color w:val="7030A0"/>
      <w:sz w:val="20"/>
      <w:szCs w:val="20"/>
    </w:rPr>
  </w:style>
  <w:style w:type="paragraph" w:customStyle="1" w:styleId="xl192">
    <w:name w:val="xl192"/>
    <w:basedOn w:val="Normal"/>
    <w:uiPriority w:val="99"/>
    <w:rsid w:val="00FA24DD"/>
    <w:pPr>
      <w:shd w:val="clear" w:color="auto" w:fill="E7E6E6"/>
      <w:spacing w:before="100" w:beforeAutospacing="1" w:after="100" w:afterAutospacing="1"/>
      <w:jc w:val="center"/>
    </w:pPr>
    <w:rPr>
      <w:rFonts w:ascii="Arial Narrow" w:eastAsia="SimSun" w:hAnsi="Arial Narrow" w:cs="Times New Roman"/>
      <w:b/>
      <w:bCs/>
      <w:color w:val="7030A0"/>
      <w:sz w:val="20"/>
      <w:szCs w:val="20"/>
    </w:rPr>
  </w:style>
  <w:style w:type="paragraph" w:customStyle="1" w:styleId="xl193">
    <w:name w:val="xl193"/>
    <w:basedOn w:val="Normal"/>
    <w:uiPriority w:val="99"/>
    <w:rsid w:val="00FA24DD"/>
    <w:pPr>
      <w:shd w:val="clear" w:color="auto" w:fill="FCE4D6"/>
      <w:spacing w:before="100" w:beforeAutospacing="1" w:after="100" w:afterAutospacing="1"/>
      <w:jc w:val="center"/>
    </w:pPr>
    <w:rPr>
      <w:rFonts w:ascii="Arial Narrow" w:eastAsia="SimSun" w:hAnsi="Arial Narrow" w:cs="Times New Roman"/>
      <w:b/>
      <w:bCs/>
      <w:color w:val="7030A0"/>
      <w:sz w:val="20"/>
      <w:szCs w:val="20"/>
    </w:rPr>
  </w:style>
  <w:style w:type="paragraph" w:customStyle="1" w:styleId="xl194">
    <w:name w:val="xl194"/>
    <w:basedOn w:val="Normal"/>
    <w:uiPriority w:val="99"/>
    <w:rsid w:val="00FA24DD"/>
    <w:pPr>
      <w:shd w:val="clear" w:color="auto" w:fill="FFFF00"/>
      <w:spacing w:before="100" w:beforeAutospacing="1" w:after="100" w:afterAutospacing="1"/>
      <w:jc w:val="left"/>
    </w:pPr>
    <w:rPr>
      <w:rFonts w:ascii="Arial Narrow" w:eastAsia="SimSun" w:hAnsi="Arial Narrow" w:cs="Times New Roman"/>
      <w:i/>
      <w:iCs/>
      <w:color w:val="7030A0"/>
      <w:sz w:val="20"/>
      <w:szCs w:val="20"/>
    </w:rPr>
  </w:style>
  <w:style w:type="paragraph" w:customStyle="1" w:styleId="xl195">
    <w:name w:val="xl195"/>
    <w:basedOn w:val="Normal"/>
    <w:uiPriority w:val="99"/>
    <w:rsid w:val="00FA24DD"/>
    <w:pPr>
      <w:pBdr>
        <w:top w:val="single" w:sz="4" w:space="0" w:color="auto"/>
        <w:bottom w:val="single" w:sz="4" w:space="0" w:color="auto"/>
      </w:pBdr>
      <w:spacing w:before="100" w:beforeAutospacing="1" w:after="100" w:afterAutospacing="1"/>
      <w:jc w:val="center"/>
    </w:pPr>
    <w:rPr>
      <w:rFonts w:ascii="Arial Narrow" w:eastAsia="SimSun" w:hAnsi="Arial Narrow" w:cs="Times New Roman"/>
      <w:b/>
      <w:bCs/>
      <w:color w:val="7030A0"/>
      <w:sz w:val="20"/>
      <w:szCs w:val="20"/>
    </w:rPr>
  </w:style>
  <w:style w:type="paragraph" w:customStyle="1" w:styleId="xl196">
    <w:name w:val="xl196"/>
    <w:basedOn w:val="Normal"/>
    <w:uiPriority w:val="99"/>
    <w:rsid w:val="00FA24DD"/>
    <w:pPr>
      <w:pBdr>
        <w:top w:val="single" w:sz="4" w:space="0" w:color="auto"/>
      </w:pBdr>
      <w:spacing w:before="100" w:beforeAutospacing="1" w:after="100" w:afterAutospacing="1"/>
      <w:jc w:val="center"/>
    </w:pPr>
    <w:rPr>
      <w:rFonts w:ascii="Arial Narrow" w:eastAsia="SimSun" w:hAnsi="Arial Narrow" w:cs="Times New Roman"/>
      <w:color w:val="7030A0"/>
      <w:sz w:val="20"/>
      <w:szCs w:val="20"/>
    </w:rPr>
  </w:style>
  <w:style w:type="paragraph" w:customStyle="1" w:styleId="xl197">
    <w:name w:val="xl197"/>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98">
    <w:name w:val="xl198"/>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table" w:customStyle="1" w:styleId="PBACTableStyle1">
    <w:name w:val="PBAC Table Style1"/>
    <w:basedOn w:val="TableGrid1"/>
    <w:uiPriority w:val="99"/>
    <w:rsid w:val="00FA24DD"/>
    <w:pPr>
      <w:widowControl w:val="0"/>
      <w:spacing w:before="120"/>
      <w:contextualSpacing/>
      <w:jc w:val="center"/>
    </w:pPr>
    <w:rPr>
      <w:rFonts w:ascii="Arial Narrow" w:eastAsia="Calibri" w:hAnsi="Arial Narrow"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ScalaLancetPro" w:hAnsi="ScalaLancetPro"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ScalaLancetPro" w:hAnsi="ScalaLancetPro"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ScalaLancetPro" w:hAnsi="ScalaLancetPro"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
    <w:name w:val="PBAC Table Style2"/>
    <w:basedOn w:val="TableGrid1"/>
    <w:uiPriority w:val="99"/>
    <w:rsid w:val="00FA24DD"/>
    <w:pPr>
      <w:widowControl w:val="0"/>
      <w:spacing w:before="120"/>
      <w:contextualSpacing/>
      <w:jc w:val="center"/>
    </w:pPr>
    <w:rPr>
      <w:rFonts w:ascii="Arial Narrow" w:eastAsia="Calibri" w:hAnsi="Arial Narrow"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ScalaLancetPro" w:hAnsi="ScalaLancetPro"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ScalaLancetPro" w:hAnsi="ScalaLancetPro"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ScalaLancetPro" w:hAnsi="ScalaLancetPro"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ELILILLYTABLE">
    <w:name w:val="ELI_LILLY TABLE"/>
    <w:basedOn w:val="TableNormal"/>
    <w:uiPriority w:val="99"/>
    <w:rsid w:val="00FA24DD"/>
    <w:pPr>
      <w:spacing w:before="20" w:after="20"/>
      <w:ind w:left="113" w:right="113"/>
    </w:pPr>
    <w:rPr>
      <w:rFonts w:ascii="Calibri" w:eastAsia="Calibri" w:hAnsi="Calibri" w:cs="Arial"/>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i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cPr>
    </w:tblStylePr>
  </w:style>
  <w:style w:type="numbering" w:customStyle="1" w:styleId="Style1">
    <w:name w:val="Style1"/>
    <w:uiPriority w:val="99"/>
    <w:rsid w:val="00FA24DD"/>
    <w:pPr>
      <w:numPr>
        <w:numId w:val="8"/>
      </w:numPr>
    </w:pPr>
  </w:style>
  <w:style w:type="paragraph" w:customStyle="1" w:styleId="SyneviNormal">
    <w:name w:val="Synevi Normal"/>
    <w:basedOn w:val="Normal"/>
    <w:link w:val="SyneviNormalChar"/>
    <w:qFormat/>
    <w:rsid w:val="00FA24DD"/>
    <w:pPr>
      <w:spacing w:line="360" w:lineRule="auto"/>
    </w:pPr>
    <w:rPr>
      <w:rFonts w:asciiTheme="minorHAnsi" w:eastAsia="SimSun" w:hAnsiTheme="minorHAnsi" w:cs="Times New Roman"/>
      <w:sz w:val="22"/>
      <w:szCs w:val="20"/>
      <w:lang w:val="en-US" w:eastAsia="en-US"/>
    </w:rPr>
  </w:style>
  <w:style w:type="character" w:customStyle="1" w:styleId="SyneviNormalChar">
    <w:name w:val="Synevi Normal Char"/>
    <w:basedOn w:val="DefaultParagraphFont"/>
    <w:link w:val="SyneviNormal"/>
    <w:rsid w:val="00FA24DD"/>
    <w:rPr>
      <w:rFonts w:asciiTheme="minorHAnsi" w:eastAsia="SimSun" w:hAnsiTheme="minorHAnsi"/>
      <w:sz w:val="22"/>
      <w:lang w:val="en-US" w:eastAsia="en-US"/>
    </w:rPr>
  </w:style>
  <w:style w:type="table" w:customStyle="1" w:styleId="Summarybox13">
    <w:name w:val="Summary box13"/>
    <w:basedOn w:val="TableNormal"/>
    <w:next w:val="TableGrid"/>
    <w:uiPriority w:val="39"/>
    <w:rsid w:val="00FA24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0">
    <w:name w:val="Table bullet"/>
    <w:basedOn w:val="Normal"/>
    <w:qFormat/>
    <w:rsid w:val="00FA24DD"/>
    <w:pPr>
      <w:keepNext/>
      <w:numPr>
        <w:numId w:val="9"/>
      </w:numPr>
      <w:tabs>
        <w:tab w:val="left" w:pos="416"/>
        <w:tab w:val="left" w:pos="582"/>
      </w:tabs>
      <w:contextualSpacing/>
    </w:pPr>
    <w:rPr>
      <w:rFonts w:ascii="Arial Narrow" w:eastAsia="SimSun" w:hAnsi="Arial Narrow" w:cs="Times New Roman"/>
      <w:sz w:val="20"/>
      <w:szCs w:val="20"/>
      <w:lang w:eastAsia="en-US"/>
    </w:rPr>
  </w:style>
  <w:style w:type="table" w:customStyle="1" w:styleId="Summarybox11">
    <w:name w:val="Summary box11"/>
    <w:basedOn w:val="TableNormal"/>
    <w:uiPriority w:val="59"/>
    <w:rsid w:val="00FA24DD"/>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1">
    <w:name w:val="Table heading Char"/>
    <w:basedOn w:val="DefaultParagraphFont"/>
    <w:link w:val="Tableheading1"/>
    <w:locked/>
    <w:rsid w:val="00FA24DD"/>
    <w:rPr>
      <w:b/>
    </w:rPr>
  </w:style>
  <w:style w:type="paragraph" w:customStyle="1" w:styleId="Tableheading1">
    <w:name w:val="Table heading"/>
    <w:basedOn w:val="Normal"/>
    <w:link w:val="TableheadingChar1"/>
    <w:qFormat/>
    <w:rsid w:val="00FA24DD"/>
    <w:pPr>
      <w:keepNext/>
      <w:keepLines/>
      <w:jc w:val="left"/>
    </w:pPr>
    <w:rPr>
      <w:rFonts w:ascii="Times New Roman" w:hAnsi="Times New Roman" w:cs="Times New Roman"/>
      <w:b/>
      <w:sz w:val="20"/>
      <w:szCs w:val="20"/>
    </w:rPr>
  </w:style>
  <w:style w:type="paragraph" w:customStyle="1" w:styleId="Ntabletext">
    <w:name w:val="N table text"/>
    <w:basedOn w:val="Tabletext"/>
    <w:qFormat/>
    <w:rsid w:val="00FA24DD"/>
    <w:pPr>
      <w:keepNext/>
      <w:numPr>
        <w:numId w:val="10"/>
      </w:numPr>
      <w:tabs>
        <w:tab w:val="num" w:pos="360"/>
      </w:tabs>
      <w:ind w:left="0" w:firstLine="0"/>
      <w:contextualSpacing/>
      <w:jc w:val="both"/>
    </w:pPr>
    <w:rPr>
      <w:rFonts w:asciiTheme="minorHAnsi" w:eastAsiaTheme="minorHAnsi" w:hAnsiTheme="minorHAnsi" w:cstheme="minorBidi"/>
      <w:snapToGrid/>
      <w:szCs w:val="20"/>
      <w:lang w:eastAsia="en-US"/>
    </w:rPr>
  </w:style>
  <w:style w:type="table" w:customStyle="1" w:styleId="Summarybox10">
    <w:name w:val="Summary box10"/>
    <w:basedOn w:val="TableNormal"/>
    <w:uiPriority w:val="59"/>
    <w:rsid w:val="00FA24DD"/>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Normal"/>
    <w:uiPriority w:val="35"/>
    <w:qFormat/>
    <w:rsid w:val="00FA24DD"/>
    <w:pPr>
      <w:keepNext/>
    </w:pPr>
    <w:rPr>
      <w:rFonts w:eastAsiaTheme="minorHAnsi" w:cstheme="minorBidi"/>
      <w:sz w:val="20"/>
      <w:szCs w:val="22"/>
      <w:lang w:eastAsia="en-US"/>
    </w:rPr>
  </w:style>
  <w:style w:type="table" w:customStyle="1" w:styleId="LightShading1">
    <w:name w:val="Light Shading1"/>
    <w:basedOn w:val="TableNormal"/>
    <w:next w:val="LightShading"/>
    <w:uiPriority w:val="60"/>
    <w:rsid w:val="00FA24DD"/>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semiHidden/>
    <w:unhideWhenUsed/>
    <w:rsid w:val="00FA24DD"/>
    <w:rPr>
      <w:rFonts w:eastAsia="SimSu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ListParagraph">
    <w:name w:val="Table List Paragraph"/>
    <w:basedOn w:val="TableText0"/>
    <w:link w:val="TableListParagraphChar"/>
    <w:uiPriority w:val="3"/>
    <w:qFormat/>
    <w:rsid w:val="00FA24DD"/>
    <w:pPr>
      <w:numPr>
        <w:numId w:val="11"/>
      </w:numPr>
    </w:pPr>
    <w:rPr>
      <w:rFonts w:ascii="Arial" w:eastAsiaTheme="minorHAnsi" w:hAnsi="Arial" w:cstheme="minorBidi"/>
      <w:bCs w:val="0"/>
      <w:sz w:val="18"/>
      <w:szCs w:val="22"/>
      <w:lang w:val="en-US" w:eastAsia="en-US"/>
    </w:rPr>
  </w:style>
  <w:style w:type="character" w:customStyle="1" w:styleId="TableListParagraphChar">
    <w:name w:val="Table List Paragraph Char"/>
    <w:basedOn w:val="TableTextChar0"/>
    <w:link w:val="TableListParagraph"/>
    <w:uiPriority w:val="3"/>
    <w:rsid w:val="00FA24DD"/>
    <w:rPr>
      <w:rFonts w:ascii="Arial" w:eastAsiaTheme="minorHAnsi" w:hAnsi="Arial" w:cstheme="minorBidi"/>
      <w:bCs w:val="0"/>
      <w:sz w:val="18"/>
      <w:szCs w:val="22"/>
      <w:lang w:val="en-US" w:eastAsia="en-US"/>
    </w:rPr>
  </w:style>
  <w:style w:type="table" w:styleId="GridTable1Light">
    <w:name w:val="Grid Table 1 Light"/>
    <w:basedOn w:val="TableNormal"/>
    <w:uiPriority w:val="46"/>
    <w:rsid w:val="00FA24DD"/>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FA24DD"/>
    <w:rPr>
      <w:rFonts w:eastAsia="SimSu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Caption"/>
    <w:basedOn w:val="Caption"/>
    <w:next w:val="Normal"/>
    <w:qFormat/>
    <w:rsid w:val="00FA24DD"/>
    <w:pPr>
      <w:keepLines w:val="0"/>
      <w:tabs>
        <w:tab w:val="left" w:pos="1701"/>
      </w:tabs>
      <w:spacing w:before="180" w:after="120" w:line="276" w:lineRule="auto"/>
      <w:ind w:left="1701" w:hanging="1701"/>
      <w:jc w:val="left"/>
      <w:outlineLvl w:val="2"/>
    </w:pPr>
    <w:rPr>
      <w:rFonts w:ascii="Arial" w:eastAsia="SimSun" w:hAnsi="Arial" w:cs="Times New Roman"/>
      <w:szCs w:val="20"/>
    </w:rPr>
  </w:style>
  <w:style w:type="paragraph" w:customStyle="1" w:styleId="TextUnderTable">
    <w:name w:val="Text Under Table"/>
    <w:basedOn w:val="Normal"/>
    <w:link w:val="TextUnderTableChar"/>
    <w:qFormat/>
    <w:rsid w:val="00FA24DD"/>
    <w:pPr>
      <w:keepNext/>
      <w:keepLines/>
      <w:spacing w:before="120" w:after="120" w:line="276" w:lineRule="auto"/>
      <w:contextualSpacing/>
      <w:jc w:val="left"/>
    </w:pPr>
    <w:rPr>
      <w:rFonts w:ascii="Arial" w:eastAsia="SimSun" w:hAnsi="Arial" w:cs="Times New Roman"/>
      <w:i/>
      <w:sz w:val="18"/>
      <w:szCs w:val="22"/>
    </w:rPr>
  </w:style>
  <w:style w:type="character" w:customStyle="1" w:styleId="TextUnderTableChar">
    <w:name w:val="Text Under Table Char"/>
    <w:link w:val="TextUnderTable"/>
    <w:rsid w:val="00FA24DD"/>
    <w:rPr>
      <w:rFonts w:ascii="Arial" w:eastAsia="SimSun" w:hAnsi="Arial"/>
      <w:i/>
      <w:sz w:val="18"/>
      <w:szCs w:val="22"/>
    </w:rPr>
  </w:style>
  <w:style w:type="paragraph" w:styleId="EndnoteText">
    <w:name w:val="endnote text"/>
    <w:basedOn w:val="Normal"/>
    <w:link w:val="EndnoteTextChar"/>
    <w:semiHidden/>
    <w:unhideWhenUsed/>
    <w:rsid w:val="00FA24DD"/>
    <w:rPr>
      <w:rFonts w:eastAsia="SimSun"/>
      <w:sz w:val="20"/>
      <w:szCs w:val="20"/>
    </w:rPr>
  </w:style>
  <w:style w:type="character" w:customStyle="1" w:styleId="EndnoteTextChar">
    <w:name w:val="Endnote Text Char"/>
    <w:basedOn w:val="DefaultParagraphFont"/>
    <w:link w:val="EndnoteText"/>
    <w:semiHidden/>
    <w:rsid w:val="00FA24DD"/>
    <w:rPr>
      <w:rFonts w:ascii="Calibri" w:eastAsia="SimSun" w:hAnsi="Calibri" w:cs="Arial"/>
    </w:rPr>
  </w:style>
  <w:style w:type="character" w:styleId="EndnoteReference">
    <w:name w:val="endnote reference"/>
    <w:basedOn w:val="DefaultParagraphFont"/>
    <w:semiHidden/>
    <w:unhideWhenUsed/>
    <w:rsid w:val="00FA24DD"/>
    <w:rPr>
      <w:vertAlign w:val="superscript"/>
    </w:rPr>
  </w:style>
  <w:style w:type="character" w:styleId="Mention">
    <w:name w:val="Mention"/>
    <w:basedOn w:val="DefaultParagraphFont"/>
    <w:uiPriority w:val="99"/>
    <w:unhideWhenUsed/>
    <w:rsid w:val="00826BEA"/>
    <w:rPr>
      <w:color w:val="2B579A"/>
      <w:shd w:val="clear" w:color="auto" w:fill="E1DFDD"/>
    </w:rPr>
  </w:style>
  <w:style w:type="character" w:customStyle="1" w:styleId="TableTextChar1">
    <w:name w:val="TableText Char"/>
    <w:basedOn w:val="DefaultParagraphFont"/>
    <w:link w:val="TableText1"/>
    <w:uiPriority w:val="3"/>
    <w:locked/>
    <w:rsid w:val="0057506F"/>
    <w:rPr>
      <w:rFonts w:ascii="Calibri" w:hAnsi="Calibri" w:cs="Calibri"/>
      <w:bCs/>
      <w:lang w:eastAsia="zh-CN"/>
    </w:rPr>
  </w:style>
  <w:style w:type="paragraph" w:customStyle="1" w:styleId="TableText1">
    <w:name w:val="TableText"/>
    <w:basedOn w:val="Normal"/>
    <w:link w:val="TableTextChar1"/>
    <w:uiPriority w:val="3"/>
    <w:qFormat/>
    <w:rsid w:val="0057506F"/>
    <w:pPr>
      <w:spacing w:before="20" w:after="20"/>
      <w:jc w:val="left"/>
    </w:pPr>
    <w:rPr>
      <w:rFonts w:cs="Calibri"/>
      <w:bCs/>
      <w:sz w:val="20"/>
      <w:szCs w:val="20"/>
      <w:lang w:eastAsia="zh-CN"/>
    </w:rPr>
  </w:style>
  <w:style w:type="paragraph" w:customStyle="1" w:styleId="TableHeadingRow">
    <w:name w:val="TableHeadingRow"/>
    <w:basedOn w:val="TableText1"/>
    <w:uiPriority w:val="3"/>
    <w:qFormat/>
    <w:rsid w:val="0057506F"/>
    <w:pPr>
      <w:keepNext/>
      <w:spacing w:before="40" w:after="40"/>
      <w:jc w:val="center"/>
    </w:pPr>
    <w:rPr>
      <w:b/>
      <w:bCs w:val="0"/>
    </w:rPr>
  </w:style>
  <w:style w:type="paragraph" w:customStyle="1" w:styleId="TableBullet1">
    <w:name w:val="TableBullet"/>
    <w:basedOn w:val="Normal"/>
    <w:uiPriority w:val="99"/>
    <w:rsid w:val="00E52827"/>
    <w:pPr>
      <w:tabs>
        <w:tab w:val="left" w:pos="216"/>
        <w:tab w:val="num" w:pos="360"/>
      </w:tabs>
      <w:spacing w:before="20" w:after="20"/>
      <w:ind w:left="216" w:hanging="216"/>
    </w:pPr>
    <w:rPr>
      <w:rFonts w:cstheme="minorHAnsi"/>
      <w:bCs/>
      <w:sz w:val="20"/>
      <w:szCs w:val="20"/>
      <w:lang w:eastAsia="zh-CN"/>
    </w:rPr>
  </w:style>
  <w:style w:type="paragraph" w:customStyle="1" w:styleId="LandscapeFooter">
    <w:name w:val="Landscape Footer"/>
    <w:basedOn w:val="Normal"/>
    <w:link w:val="LandscapeFooterChar"/>
    <w:uiPriority w:val="5"/>
    <w:qFormat/>
    <w:rsid w:val="00AF5F9B"/>
    <w:pPr>
      <w:tabs>
        <w:tab w:val="center" w:pos="7655"/>
        <w:tab w:val="right" w:pos="15137"/>
      </w:tabs>
    </w:pPr>
    <w:rPr>
      <w:rFonts w:eastAsiaTheme="minorEastAsia" w:cstheme="minorBidi"/>
      <w:sz w:val="18"/>
      <w:szCs w:val="18"/>
      <w:lang w:eastAsia="zh-CN"/>
    </w:rPr>
  </w:style>
  <w:style w:type="character" w:customStyle="1" w:styleId="LandscapeFooterChar">
    <w:name w:val="Landscape Footer Char"/>
    <w:basedOn w:val="DefaultParagraphFont"/>
    <w:link w:val="LandscapeFooter"/>
    <w:uiPriority w:val="5"/>
    <w:rsid w:val="00AF5F9B"/>
    <w:rPr>
      <w:rFonts w:ascii="Calibri" w:eastAsiaTheme="minorEastAsia" w:hAnsi="Calibri" w:cstheme="minorBidi"/>
      <w:sz w:val="18"/>
      <w:szCs w:val="18"/>
      <w:lang w:eastAsia="zh-CN"/>
    </w:rPr>
  </w:style>
  <w:style w:type="paragraph" w:customStyle="1" w:styleId="TableNotes">
    <w:name w:val="TableNotes"/>
    <w:basedOn w:val="Normal"/>
    <w:next w:val="Normal"/>
    <w:link w:val="TableNotesChar"/>
    <w:uiPriority w:val="3"/>
    <w:qFormat/>
    <w:rsid w:val="00AF5F9B"/>
    <w:pPr>
      <w:tabs>
        <w:tab w:val="left" w:pos="1134"/>
      </w:tabs>
      <w:ind w:left="1134" w:hanging="1134"/>
    </w:pPr>
    <w:rPr>
      <w:rFonts w:eastAsiaTheme="minorEastAsia" w:cstheme="minorBidi"/>
      <w:sz w:val="18"/>
      <w:szCs w:val="18"/>
      <w:lang w:eastAsia="zh-CN"/>
    </w:rPr>
  </w:style>
  <w:style w:type="paragraph" w:customStyle="1" w:styleId="SourceNotes">
    <w:name w:val="SourceNotes"/>
    <w:basedOn w:val="Normal"/>
    <w:next w:val="Normal"/>
    <w:link w:val="SourceNotesChar"/>
    <w:uiPriority w:val="2"/>
    <w:qFormat/>
    <w:rsid w:val="00AF5F9B"/>
    <w:pPr>
      <w:tabs>
        <w:tab w:val="left" w:pos="1100"/>
      </w:tabs>
      <w:ind w:left="1100" w:hanging="1100"/>
      <w:jc w:val="left"/>
    </w:pPr>
    <w:rPr>
      <w:rFonts w:eastAsiaTheme="minorEastAsia" w:cstheme="minorBidi"/>
      <w:sz w:val="18"/>
      <w:szCs w:val="18"/>
      <w:lang w:eastAsia="en-US"/>
    </w:rPr>
  </w:style>
  <w:style w:type="character" w:customStyle="1" w:styleId="TableNotesChar">
    <w:name w:val="TableNotes Char"/>
    <w:basedOn w:val="DefaultParagraphFont"/>
    <w:link w:val="TableNotes"/>
    <w:uiPriority w:val="3"/>
    <w:rsid w:val="00AF5F9B"/>
    <w:rPr>
      <w:rFonts w:ascii="Calibri" w:eastAsiaTheme="minorEastAsia" w:hAnsi="Calibri" w:cstheme="minorBidi"/>
      <w:sz w:val="18"/>
      <w:szCs w:val="18"/>
      <w:lang w:eastAsia="zh-CN"/>
    </w:rPr>
  </w:style>
  <w:style w:type="character" w:customStyle="1" w:styleId="SourceNotesChar">
    <w:name w:val="SourceNotes Char"/>
    <w:basedOn w:val="TableNotesChar"/>
    <w:link w:val="SourceNotes"/>
    <w:uiPriority w:val="2"/>
    <w:rsid w:val="00AF5F9B"/>
    <w:rPr>
      <w:rFonts w:ascii="Calibri" w:eastAsiaTheme="minorEastAsia" w:hAnsi="Calibri" w:cstheme="minorBidi"/>
      <w:sz w:val="18"/>
      <w:szCs w:val="18"/>
      <w:lang w:eastAsia="en-US"/>
    </w:rPr>
  </w:style>
  <w:style w:type="paragraph" w:customStyle="1" w:styleId="MtATableText">
    <w:name w:val="MtA Table Text"/>
    <w:basedOn w:val="Normal"/>
    <w:link w:val="MtATableTextChar"/>
    <w:uiPriority w:val="1"/>
    <w:qFormat/>
    <w:rsid w:val="00AF5F9B"/>
    <w:pPr>
      <w:spacing w:before="60" w:after="60"/>
      <w:jc w:val="left"/>
    </w:pPr>
    <w:rPr>
      <w:rFonts w:eastAsiaTheme="minorHAnsi" w:cs="Calibri"/>
      <w:color w:val="3B3634"/>
      <w:sz w:val="20"/>
      <w:szCs w:val="22"/>
      <w:lang w:val="en-GB" w:eastAsia="en-US"/>
    </w:rPr>
  </w:style>
  <w:style w:type="character" w:customStyle="1" w:styleId="MtATableTextChar">
    <w:name w:val="MtA Table Text Char"/>
    <w:basedOn w:val="DefaultParagraphFont"/>
    <w:link w:val="MtATableText"/>
    <w:uiPriority w:val="1"/>
    <w:rsid w:val="00AF5F9B"/>
    <w:rPr>
      <w:rFonts w:ascii="Calibri" w:eastAsiaTheme="minorHAnsi" w:hAnsi="Calibri" w:cs="Calibri"/>
      <w:color w:val="3B3634"/>
      <w:szCs w:val="22"/>
      <w:lang w:val="en-GB" w:eastAsia="en-US"/>
    </w:rPr>
  </w:style>
  <w:style w:type="paragraph" w:customStyle="1" w:styleId="TableParagraph">
    <w:name w:val="Table Paragraph"/>
    <w:basedOn w:val="Normal"/>
    <w:uiPriority w:val="1"/>
    <w:qFormat/>
    <w:rsid w:val="00E60E5C"/>
    <w:pPr>
      <w:widowControl w:val="0"/>
      <w:autoSpaceDE w:val="0"/>
      <w:autoSpaceDN w:val="0"/>
      <w:spacing w:before="35"/>
      <w:ind w:left="114"/>
      <w:jc w:val="left"/>
    </w:pPr>
    <w:rPr>
      <w:rFonts w:ascii="Arial Narrow" w:eastAsia="Arial Narrow" w:hAnsi="Arial Narrow" w:cs="Arial Narrow"/>
      <w:sz w:val="22"/>
      <w:szCs w:val="22"/>
      <w:lang w:bidi="en-AU"/>
    </w:rPr>
  </w:style>
  <w:style w:type="paragraph" w:customStyle="1" w:styleId="Tabletextcentre">
    <w:name w:val="Table text (centre)"/>
    <w:basedOn w:val="Normal"/>
    <w:qFormat/>
    <w:rsid w:val="00E60E5C"/>
    <w:pPr>
      <w:jc w:val="center"/>
    </w:pPr>
    <w:rPr>
      <w:rFonts w:ascii="Arial" w:eastAsia="SimSun" w:hAnsi="Arial" w:cs="Times New Roman"/>
      <w:sz w:val="18"/>
      <w:szCs w:val="18"/>
      <w:lang w:val="en-SG" w:eastAsia="en-US"/>
    </w:rPr>
  </w:style>
  <w:style w:type="paragraph" w:customStyle="1" w:styleId="ReferenceList">
    <w:name w:val="ReferenceList"/>
    <w:basedOn w:val="Normal"/>
    <w:link w:val="ReferenceListChar"/>
    <w:uiPriority w:val="8"/>
    <w:qFormat/>
    <w:rsid w:val="00B60F7C"/>
    <w:pPr>
      <w:tabs>
        <w:tab w:val="num" w:pos="567"/>
      </w:tabs>
      <w:spacing w:before="40" w:after="40"/>
      <w:ind w:left="567" w:hanging="567"/>
    </w:pPr>
    <w:rPr>
      <w:rFonts w:eastAsia="SimSun" w:cs="Calibri"/>
      <w:sz w:val="20"/>
      <w:szCs w:val="20"/>
      <w:lang w:eastAsia="zh-CN"/>
    </w:rPr>
  </w:style>
  <w:style w:type="character" w:customStyle="1" w:styleId="ReferenceListChar">
    <w:name w:val="ReferenceList Char"/>
    <w:basedOn w:val="DefaultParagraphFont"/>
    <w:link w:val="ReferenceList"/>
    <w:uiPriority w:val="8"/>
    <w:rsid w:val="00B60F7C"/>
    <w:rPr>
      <w:rFonts w:ascii="Calibri" w:eastAsia="SimSun" w:hAnsi="Calibri" w:cs="Calibri"/>
      <w:lang w:eastAsia="zh-CN"/>
    </w:rPr>
  </w:style>
  <w:style w:type="paragraph" w:customStyle="1" w:styleId="SubHeading">
    <w:name w:val="Sub Heading"/>
    <w:basedOn w:val="Normal"/>
    <w:next w:val="Normal"/>
    <w:uiPriority w:val="9"/>
    <w:qFormat/>
    <w:rsid w:val="00822DD6"/>
    <w:pPr>
      <w:spacing w:before="360" w:line="360" w:lineRule="auto"/>
      <w:jc w:val="left"/>
    </w:pPr>
    <w:rPr>
      <w:rFonts w:ascii="Arial" w:eastAsiaTheme="minorHAnsi" w:hAnsi="Arial" w:cstheme="minorBidi"/>
      <w:b/>
      <w:sz w:val="20"/>
      <w:szCs w:val="20"/>
      <w:lang w:eastAsia="en-US"/>
    </w:rPr>
  </w:style>
  <w:style w:type="table" w:customStyle="1" w:styleId="ActikerallTable">
    <w:name w:val="Actikerall Table"/>
    <w:basedOn w:val="TableNormal"/>
    <w:uiPriority w:val="99"/>
    <w:rsid w:val="00822DD6"/>
    <w:pPr>
      <w:spacing w:after="360" w:line="360" w:lineRule="exact"/>
      <w:contextualSpacing/>
    </w:pPr>
    <w:rPr>
      <w:rFonts w:ascii="Arial" w:hAnsi="Arial"/>
      <w:color w:val="000000"/>
      <w:lang w:val="en-CA" w:eastAsia="en-CA"/>
    </w:rPr>
    <w:tblPr>
      <w:tblBorders>
        <w:top w:val="double" w:sz="4" w:space="0" w:color="19468C"/>
        <w:bottom w:val="single" w:sz="18" w:space="0" w:color="19468C"/>
        <w:insideH w:val="single" w:sz="4" w:space="0" w:color="19468C"/>
      </w:tblBorders>
    </w:tblPr>
    <w:tcPr>
      <w:vAlign w:val="center"/>
    </w:tcPr>
    <w:tblStylePr w:type="firstRow">
      <w:pPr>
        <w:wordWrap/>
        <w:spacing w:beforeLines="0" w:before="0" w:beforeAutospacing="0" w:afterLines="0" w:after="0" w:afterAutospacing="0" w:line="240" w:lineRule="auto"/>
        <w:jc w:val="center"/>
      </w:pPr>
      <w:rPr>
        <w:rFonts w:ascii="Arial" w:hAnsi="Arial"/>
        <w:b/>
        <w:color w:val="FFFFFF"/>
        <w:sz w:val="20"/>
      </w:rPr>
      <w:tblPr/>
      <w:tcPr>
        <w:tcBorders>
          <w:top w:val="single" w:sz="18" w:space="0" w:color="19468C"/>
          <w:left w:val="nil"/>
          <w:bottom w:val="double" w:sz="4" w:space="0" w:color="19468C"/>
          <w:right w:val="nil"/>
          <w:insideH w:val="nil"/>
          <w:insideV w:val="nil"/>
          <w:tl2br w:val="nil"/>
          <w:tr2bl w:val="nil"/>
        </w:tcBorders>
        <w:shd w:val="clear" w:color="auto" w:fill="19468C"/>
      </w:tcPr>
    </w:tblStylePr>
  </w:style>
  <w:style w:type="table" w:styleId="ColourfulGridAccent6">
    <w:name w:val="Colorful Grid Accent 6"/>
    <w:basedOn w:val="TableNormal"/>
    <w:uiPriority w:val="73"/>
    <w:rsid w:val="00822DD6"/>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Text10">
    <w:name w:val="Table Text 1"/>
    <w:basedOn w:val="Normal"/>
    <w:qFormat/>
    <w:rsid w:val="00822DD6"/>
    <w:pPr>
      <w:spacing w:after="240"/>
      <w:jc w:val="left"/>
    </w:pPr>
    <w:rPr>
      <w:rFonts w:ascii="Arial Narrow" w:eastAsiaTheme="minorHAnsi" w:hAnsi="Arial Narrow" w:cstheme="minorBidi"/>
      <w:sz w:val="20"/>
      <w:szCs w:val="20"/>
      <w:lang w:eastAsia="en-US"/>
    </w:rPr>
  </w:style>
  <w:style w:type="table" w:customStyle="1" w:styleId="MSDAustralia">
    <w:name w:val="MSD Australia"/>
    <w:basedOn w:val="TableGrid"/>
    <w:uiPriority w:val="99"/>
    <w:rsid w:val="00822DD6"/>
    <w:pPr>
      <w:ind w:left="57" w:right="57"/>
    </w:pPr>
    <w:rPr>
      <w:rFonts w:ascii="Arial" w:eastAsiaTheme="minorHAnsi" w:hAnsi="Arial" w:cstheme="minorBidi"/>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character" w:customStyle="1" w:styleId="TableFooterCADTHChar">
    <w:name w:val="Table Footer (CADTH) Char"/>
    <w:basedOn w:val="DefaultParagraphFont"/>
    <w:link w:val="TableFooterCADTH"/>
    <w:locked/>
    <w:rsid w:val="00822DD6"/>
    <w:rPr>
      <w:rFonts w:eastAsia="MS Mincho" w:cs="Arial"/>
      <w:sz w:val="14"/>
      <w:szCs w:val="14"/>
      <w:shd w:val="clear" w:color="auto" w:fill="FFFFFF"/>
    </w:rPr>
  </w:style>
  <w:style w:type="paragraph" w:customStyle="1" w:styleId="TableFooterCADTH">
    <w:name w:val="Table Footer (CADTH)"/>
    <w:basedOn w:val="Normal"/>
    <w:link w:val="TableFooterCADTHChar"/>
    <w:qFormat/>
    <w:rsid w:val="00822DD6"/>
    <w:pPr>
      <w:shd w:val="clear" w:color="auto" w:fill="FFFFFF"/>
      <w:spacing w:before="60" w:after="60" w:line="276" w:lineRule="auto"/>
      <w:jc w:val="left"/>
    </w:pPr>
    <w:rPr>
      <w:rFonts w:ascii="Times New Roman" w:eastAsia="MS Mincho" w:hAnsi="Times New Roman"/>
      <w:sz w:val="14"/>
      <w:szCs w:val="14"/>
    </w:rPr>
  </w:style>
  <w:style w:type="character" w:customStyle="1" w:styleId="UnresolvedMention1">
    <w:name w:val="Unresolved Mention1"/>
    <w:basedOn w:val="DefaultParagraphFont"/>
    <w:uiPriority w:val="99"/>
    <w:semiHidden/>
    <w:unhideWhenUsed/>
    <w:rsid w:val="002A0BBB"/>
    <w:rPr>
      <w:color w:val="605E5C"/>
      <w:shd w:val="clear" w:color="auto" w:fill="E1DFDD"/>
    </w:rPr>
  </w:style>
  <w:style w:type="paragraph" w:customStyle="1" w:styleId="EndNoteBibliographyTitle">
    <w:name w:val="EndNote Bibliography Title"/>
    <w:basedOn w:val="Normal"/>
    <w:link w:val="EndNoteBibliographyTitleChar"/>
    <w:rsid w:val="002A0BBB"/>
    <w:pPr>
      <w:jc w:val="center"/>
    </w:pPr>
    <w:rPr>
      <w:rFonts w:cs="Calibri"/>
      <w:noProof/>
    </w:rPr>
  </w:style>
  <w:style w:type="character" w:customStyle="1" w:styleId="EndNoteBibliographyTitleChar">
    <w:name w:val="EndNote Bibliography Title Char"/>
    <w:basedOn w:val="DefaultParagraphFont"/>
    <w:link w:val="EndNoteBibliographyTitle"/>
    <w:rsid w:val="002A0BBB"/>
    <w:rPr>
      <w:rFonts w:ascii="Calibri" w:hAnsi="Calibri" w:cs="Calibri"/>
      <w:noProof/>
      <w:sz w:val="24"/>
      <w:szCs w:val="24"/>
    </w:rPr>
  </w:style>
  <w:style w:type="paragraph" w:customStyle="1" w:styleId="EndNoteBibliography">
    <w:name w:val="EndNote Bibliography"/>
    <w:basedOn w:val="Normal"/>
    <w:link w:val="EndNoteBibliographyChar"/>
    <w:rsid w:val="002A0BBB"/>
    <w:pPr>
      <w:numPr>
        <w:numId w:val="13"/>
      </w:numPr>
      <w:ind w:left="720"/>
    </w:pPr>
    <w:rPr>
      <w:rFonts w:cs="Calibri"/>
      <w:noProof/>
    </w:rPr>
  </w:style>
  <w:style w:type="character" w:customStyle="1" w:styleId="EndNoteBibliographyChar">
    <w:name w:val="EndNote Bibliography Char"/>
    <w:basedOn w:val="DefaultParagraphFont"/>
    <w:link w:val="EndNoteBibliography"/>
    <w:rsid w:val="002A0BBB"/>
    <w:rPr>
      <w:rFonts w:ascii="Calibri" w:hAnsi="Calibri" w:cs="Calibri"/>
      <w:noProof/>
      <w:sz w:val="24"/>
      <w:szCs w:val="24"/>
    </w:rPr>
  </w:style>
  <w:style w:type="character" w:customStyle="1" w:styleId="UnresolvedMention2">
    <w:name w:val="Unresolved Mention2"/>
    <w:basedOn w:val="DefaultParagraphFont"/>
    <w:uiPriority w:val="99"/>
    <w:semiHidden/>
    <w:unhideWhenUsed/>
    <w:rsid w:val="002A0BBB"/>
    <w:rPr>
      <w:color w:val="605E5C"/>
      <w:shd w:val="clear" w:color="auto" w:fill="E1DFDD"/>
    </w:rPr>
  </w:style>
  <w:style w:type="character" w:styleId="Emphasis">
    <w:name w:val="Emphasis"/>
    <w:basedOn w:val="DefaultParagraphFont"/>
    <w:uiPriority w:val="20"/>
    <w:qFormat/>
    <w:rsid w:val="002A0BBB"/>
    <w:rPr>
      <w:i/>
      <w:iCs/>
    </w:rPr>
  </w:style>
  <w:style w:type="character" w:customStyle="1" w:styleId="UnresolvedMention21">
    <w:name w:val="Unresolved Mention21"/>
    <w:basedOn w:val="DefaultParagraphFont"/>
    <w:uiPriority w:val="99"/>
    <w:semiHidden/>
    <w:unhideWhenUsed/>
    <w:rsid w:val="002A0BBB"/>
    <w:rPr>
      <w:color w:val="605E5C"/>
      <w:shd w:val="clear" w:color="auto" w:fill="E1DFDD"/>
    </w:rPr>
  </w:style>
  <w:style w:type="table" w:customStyle="1" w:styleId="PBACTableStyle3">
    <w:name w:val="PBAC Table Style3"/>
    <w:basedOn w:val="TableGrid1"/>
    <w:uiPriority w:val="99"/>
    <w:rsid w:val="000D78CF"/>
    <w:pPr>
      <w:widowControl w:val="0"/>
      <w:spacing w:before="120"/>
      <w:contextualSpacing/>
      <w:jc w:val="center"/>
    </w:pPr>
    <w:rPr>
      <w:rFonts w:ascii="Arial Narrow" w:eastAsiaTheme="minorHAnsi" w:hAnsi="Arial Narrow" w:cstheme="minorBidi"/>
      <w:color w:val="000000" w:themeColor="text1"/>
      <w:lang w:val="en-US"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emibold" w:hAnsi="Segoe UI Semibol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emibold" w:hAnsi="Segoe UI Semibol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emibold" w:hAnsi="Segoe UI Semibol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11">
    <w:name w:val="PBAC Table Style11"/>
    <w:basedOn w:val="TableGrid1"/>
    <w:uiPriority w:val="99"/>
    <w:rsid w:val="000D78CF"/>
    <w:pPr>
      <w:widowControl w:val="0"/>
      <w:spacing w:before="120"/>
      <w:contextualSpacing/>
      <w:jc w:val="center"/>
    </w:pPr>
    <w:rPr>
      <w:rFonts w:ascii="Arial Narrow" w:eastAsia="Calibri" w:hAnsi="Arial Narrow"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ScalaLancetPro" w:hAnsi="ScalaLancetPro"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ScalaLancetPro" w:hAnsi="ScalaLancetPro"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ScalaLancetPro" w:hAnsi="ScalaLancetPro"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1">
    <w:name w:val="PBAC Table Style21"/>
    <w:basedOn w:val="TableGrid1"/>
    <w:uiPriority w:val="99"/>
    <w:rsid w:val="000D78CF"/>
    <w:pPr>
      <w:widowControl w:val="0"/>
      <w:spacing w:before="120"/>
      <w:contextualSpacing/>
      <w:jc w:val="center"/>
    </w:pPr>
    <w:rPr>
      <w:rFonts w:ascii="Arial Narrow" w:eastAsia="Calibri" w:hAnsi="Arial Narrow"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ScalaLancetPro" w:hAnsi="ScalaLancetPro"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ScalaLancetPro" w:hAnsi="ScalaLancetPro"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ScalaLancetPro" w:hAnsi="ScalaLancetPro"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COMBody">
    <w:name w:val="COM Body"/>
    <w:basedOn w:val="Normal"/>
    <w:link w:val="COMBodyChar"/>
    <w:qFormat/>
    <w:rsid w:val="004154DB"/>
  </w:style>
  <w:style w:type="character" w:customStyle="1" w:styleId="COMBodyChar">
    <w:name w:val="COM Body Char"/>
    <w:basedOn w:val="DefaultParagraphFont"/>
    <w:link w:val="COMBody"/>
    <w:rsid w:val="004154DB"/>
    <w:rPr>
      <w:rFonts w:ascii="Calibri" w:hAnsi="Calibri" w:cs="Arial"/>
      <w:sz w:val="24"/>
      <w:szCs w:val="24"/>
    </w:rPr>
  </w:style>
  <w:style w:type="table" w:customStyle="1" w:styleId="TableGrid4">
    <w:name w:val="Table Grid4"/>
    <w:basedOn w:val="TableNormal"/>
    <w:uiPriority w:val="39"/>
    <w:rsid w:val="004154DB"/>
    <w:rPr>
      <w:rFonts w:asciiTheme="minorHAnsi" w:eastAsiaTheme="minorHAnsi" w:hAnsiTheme="minorHAnsi" w:cstheme="minorBidi"/>
      <w:kern w:val="2"/>
      <w:sz w:val="24"/>
      <w:szCs w:val="24"/>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4154DB"/>
    <w:rPr>
      <w:rFonts w:cs="ScalaLancetPro"/>
      <w:color w:val="211D1E"/>
      <w:sz w:val="9"/>
      <w:szCs w:val="9"/>
    </w:rPr>
  </w:style>
  <w:style w:type="paragraph" w:customStyle="1" w:styleId="COMexecsummheadings">
    <w:name w:val="COM exec summ headings"/>
    <w:next w:val="Normal"/>
    <w:link w:val="COMexecsummheadingsChar"/>
    <w:qFormat/>
    <w:rsid w:val="004B69AE"/>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B69AE"/>
    <w:rPr>
      <w:rFonts w:asciiTheme="minorHAnsi" w:eastAsiaTheme="majorEastAsia" w:hAnsiTheme="minorHAnsi" w:cstheme="majorBidi"/>
      <w:b/>
      <w:spacing w:val="5"/>
      <w:kern w:val="28"/>
      <w:sz w:val="36"/>
      <w:szCs w:val="36"/>
    </w:rPr>
  </w:style>
  <w:style w:type="paragraph" w:customStyle="1" w:styleId="COMH1-numbered">
    <w:name w:val="COM H1 - numbered"/>
    <w:next w:val="Normal"/>
    <w:qFormat/>
    <w:rsid w:val="00CC0A1B"/>
    <w:pPr>
      <w:keepNext/>
      <w:numPr>
        <w:numId w:val="4"/>
      </w:numPr>
      <w:spacing w:before="240" w:after="120"/>
      <w:ind w:hanging="720"/>
      <w:outlineLvl w:val="0"/>
    </w:pPr>
    <w:rPr>
      <w:rFonts w:asciiTheme="minorHAnsi" w:hAnsiTheme="minorHAnsi" w:cs="Arial"/>
      <w:b/>
      <w:snapToGrid w:val="0"/>
      <w:sz w:val="32"/>
      <w:szCs w:val="32"/>
    </w:rPr>
  </w:style>
  <w:style w:type="character" w:customStyle="1" w:styleId="cf01">
    <w:name w:val="cf01"/>
    <w:basedOn w:val="DefaultParagraphFont"/>
    <w:rsid w:val="00C4293F"/>
    <w:rPr>
      <w:rFonts w:ascii="Segoe UI" w:hAnsi="Segoe UI" w:cs="Segoe UI" w:hint="default"/>
      <w:i/>
      <w:iCs/>
      <w:sz w:val="18"/>
      <w:szCs w:val="18"/>
    </w:rPr>
  </w:style>
  <w:style w:type="paragraph" w:customStyle="1" w:styleId="3-SubsectionHeading">
    <w:name w:val="3-Subsection Heading"/>
    <w:basedOn w:val="Heading2"/>
    <w:next w:val="Normal"/>
    <w:link w:val="3-SubsectionHeadingChar"/>
    <w:qFormat/>
    <w:rsid w:val="000912C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912C4"/>
    <w:rPr>
      <w:rFonts w:asciiTheme="minorHAnsi" w:eastAsiaTheme="majorEastAsia" w:hAnsiTheme="minorHAnsi" w:cstheme="majorBidi"/>
      <w:b/>
      <w:i/>
      <w:snapToGrid/>
      <w:spacing w:val="5"/>
      <w:kern w:val="28"/>
      <w:sz w:val="28"/>
      <w:szCs w:val="36"/>
      <w:lang w:eastAsia="en-US"/>
    </w:rPr>
  </w:style>
  <w:style w:type="paragraph" w:customStyle="1" w:styleId="COMTabletext">
    <w:name w:val="COM Table text"/>
    <w:link w:val="COMTabletextChar"/>
    <w:qFormat/>
    <w:rsid w:val="00CC6405"/>
    <w:pPr>
      <w:keepNext/>
    </w:pPr>
    <w:rPr>
      <w:rFonts w:ascii="Arial Narrow" w:eastAsiaTheme="majorEastAsia" w:hAnsi="Arial Narrow" w:cstheme="majorBidi"/>
      <w:bCs/>
      <w:szCs w:val="24"/>
      <w14:ligatures w14:val="standardContextual"/>
    </w:rPr>
  </w:style>
  <w:style w:type="character" w:customStyle="1" w:styleId="COMTabletextChar">
    <w:name w:val="COM Table text Char"/>
    <w:basedOn w:val="DefaultParagraphFont"/>
    <w:link w:val="COMTabletext"/>
    <w:rsid w:val="00CC6405"/>
    <w:rPr>
      <w:rFonts w:ascii="Arial Narrow" w:eastAsiaTheme="majorEastAsia" w:hAnsi="Arial Narrow" w:cstheme="majorBidi"/>
      <w:bCs/>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985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6992064">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6308523">
      <w:bodyDiv w:val="1"/>
      <w:marLeft w:val="0"/>
      <w:marRight w:val="0"/>
      <w:marTop w:val="0"/>
      <w:marBottom w:val="0"/>
      <w:divBdr>
        <w:top w:val="none" w:sz="0" w:space="0" w:color="auto"/>
        <w:left w:val="none" w:sz="0" w:space="0" w:color="auto"/>
        <w:bottom w:val="none" w:sz="0" w:space="0" w:color="auto"/>
        <w:right w:val="none" w:sz="0" w:space="0" w:color="auto"/>
      </w:divBdr>
    </w:div>
    <w:div w:id="262345147">
      <w:bodyDiv w:val="1"/>
      <w:marLeft w:val="0"/>
      <w:marRight w:val="0"/>
      <w:marTop w:val="0"/>
      <w:marBottom w:val="0"/>
      <w:divBdr>
        <w:top w:val="none" w:sz="0" w:space="0" w:color="auto"/>
        <w:left w:val="none" w:sz="0" w:space="0" w:color="auto"/>
        <w:bottom w:val="none" w:sz="0" w:space="0" w:color="auto"/>
        <w:right w:val="none" w:sz="0" w:space="0" w:color="auto"/>
      </w:divBdr>
    </w:div>
    <w:div w:id="28208236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8727639">
      <w:bodyDiv w:val="1"/>
      <w:marLeft w:val="0"/>
      <w:marRight w:val="0"/>
      <w:marTop w:val="0"/>
      <w:marBottom w:val="0"/>
      <w:divBdr>
        <w:top w:val="none" w:sz="0" w:space="0" w:color="auto"/>
        <w:left w:val="none" w:sz="0" w:space="0" w:color="auto"/>
        <w:bottom w:val="none" w:sz="0" w:space="0" w:color="auto"/>
        <w:right w:val="none" w:sz="0" w:space="0" w:color="auto"/>
      </w:divBdr>
    </w:div>
    <w:div w:id="333535405">
      <w:bodyDiv w:val="1"/>
      <w:marLeft w:val="0"/>
      <w:marRight w:val="0"/>
      <w:marTop w:val="0"/>
      <w:marBottom w:val="0"/>
      <w:divBdr>
        <w:top w:val="none" w:sz="0" w:space="0" w:color="auto"/>
        <w:left w:val="none" w:sz="0" w:space="0" w:color="auto"/>
        <w:bottom w:val="none" w:sz="0" w:space="0" w:color="auto"/>
        <w:right w:val="none" w:sz="0" w:space="0" w:color="auto"/>
      </w:divBdr>
    </w:div>
    <w:div w:id="396830335">
      <w:bodyDiv w:val="1"/>
      <w:marLeft w:val="0"/>
      <w:marRight w:val="0"/>
      <w:marTop w:val="0"/>
      <w:marBottom w:val="0"/>
      <w:divBdr>
        <w:top w:val="none" w:sz="0" w:space="0" w:color="auto"/>
        <w:left w:val="none" w:sz="0" w:space="0" w:color="auto"/>
        <w:bottom w:val="none" w:sz="0" w:space="0" w:color="auto"/>
        <w:right w:val="none" w:sz="0" w:space="0" w:color="auto"/>
      </w:divBdr>
    </w:div>
    <w:div w:id="397871022">
      <w:bodyDiv w:val="1"/>
      <w:marLeft w:val="0"/>
      <w:marRight w:val="0"/>
      <w:marTop w:val="0"/>
      <w:marBottom w:val="0"/>
      <w:divBdr>
        <w:top w:val="none" w:sz="0" w:space="0" w:color="auto"/>
        <w:left w:val="none" w:sz="0" w:space="0" w:color="auto"/>
        <w:bottom w:val="none" w:sz="0" w:space="0" w:color="auto"/>
        <w:right w:val="none" w:sz="0" w:space="0" w:color="auto"/>
      </w:divBdr>
    </w:div>
    <w:div w:id="442119320">
      <w:bodyDiv w:val="1"/>
      <w:marLeft w:val="0"/>
      <w:marRight w:val="0"/>
      <w:marTop w:val="0"/>
      <w:marBottom w:val="0"/>
      <w:divBdr>
        <w:top w:val="none" w:sz="0" w:space="0" w:color="auto"/>
        <w:left w:val="none" w:sz="0" w:space="0" w:color="auto"/>
        <w:bottom w:val="none" w:sz="0" w:space="0" w:color="auto"/>
        <w:right w:val="none" w:sz="0" w:space="0" w:color="auto"/>
      </w:divBdr>
    </w:div>
    <w:div w:id="536161122">
      <w:bodyDiv w:val="1"/>
      <w:marLeft w:val="0"/>
      <w:marRight w:val="0"/>
      <w:marTop w:val="0"/>
      <w:marBottom w:val="0"/>
      <w:divBdr>
        <w:top w:val="none" w:sz="0" w:space="0" w:color="auto"/>
        <w:left w:val="none" w:sz="0" w:space="0" w:color="auto"/>
        <w:bottom w:val="none" w:sz="0" w:space="0" w:color="auto"/>
        <w:right w:val="none" w:sz="0" w:space="0" w:color="auto"/>
      </w:divBdr>
    </w:div>
    <w:div w:id="566771915">
      <w:bodyDiv w:val="1"/>
      <w:marLeft w:val="0"/>
      <w:marRight w:val="0"/>
      <w:marTop w:val="0"/>
      <w:marBottom w:val="0"/>
      <w:divBdr>
        <w:top w:val="none" w:sz="0" w:space="0" w:color="auto"/>
        <w:left w:val="none" w:sz="0" w:space="0" w:color="auto"/>
        <w:bottom w:val="none" w:sz="0" w:space="0" w:color="auto"/>
        <w:right w:val="none" w:sz="0" w:space="0" w:color="auto"/>
      </w:divBdr>
    </w:div>
    <w:div w:id="589243264">
      <w:bodyDiv w:val="1"/>
      <w:marLeft w:val="0"/>
      <w:marRight w:val="0"/>
      <w:marTop w:val="0"/>
      <w:marBottom w:val="0"/>
      <w:divBdr>
        <w:top w:val="none" w:sz="0" w:space="0" w:color="auto"/>
        <w:left w:val="none" w:sz="0" w:space="0" w:color="auto"/>
        <w:bottom w:val="none" w:sz="0" w:space="0" w:color="auto"/>
        <w:right w:val="none" w:sz="0" w:space="0" w:color="auto"/>
      </w:divBdr>
    </w:div>
    <w:div w:id="755131796">
      <w:bodyDiv w:val="1"/>
      <w:marLeft w:val="0"/>
      <w:marRight w:val="0"/>
      <w:marTop w:val="0"/>
      <w:marBottom w:val="0"/>
      <w:divBdr>
        <w:top w:val="none" w:sz="0" w:space="0" w:color="auto"/>
        <w:left w:val="none" w:sz="0" w:space="0" w:color="auto"/>
        <w:bottom w:val="none" w:sz="0" w:space="0" w:color="auto"/>
        <w:right w:val="none" w:sz="0" w:space="0" w:color="auto"/>
      </w:divBdr>
    </w:div>
    <w:div w:id="75690792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00824898">
      <w:bodyDiv w:val="1"/>
      <w:marLeft w:val="0"/>
      <w:marRight w:val="0"/>
      <w:marTop w:val="0"/>
      <w:marBottom w:val="0"/>
      <w:divBdr>
        <w:top w:val="none" w:sz="0" w:space="0" w:color="auto"/>
        <w:left w:val="none" w:sz="0" w:space="0" w:color="auto"/>
        <w:bottom w:val="none" w:sz="0" w:space="0" w:color="auto"/>
        <w:right w:val="none" w:sz="0" w:space="0" w:color="auto"/>
      </w:divBdr>
    </w:div>
    <w:div w:id="1036807535">
      <w:bodyDiv w:val="1"/>
      <w:marLeft w:val="0"/>
      <w:marRight w:val="0"/>
      <w:marTop w:val="0"/>
      <w:marBottom w:val="0"/>
      <w:divBdr>
        <w:top w:val="none" w:sz="0" w:space="0" w:color="auto"/>
        <w:left w:val="none" w:sz="0" w:space="0" w:color="auto"/>
        <w:bottom w:val="none" w:sz="0" w:space="0" w:color="auto"/>
        <w:right w:val="none" w:sz="0" w:space="0" w:color="auto"/>
      </w:divBdr>
    </w:div>
    <w:div w:id="1102919687">
      <w:bodyDiv w:val="1"/>
      <w:marLeft w:val="0"/>
      <w:marRight w:val="0"/>
      <w:marTop w:val="0"/>
      <w:marBottom w:val="0"/>
      <w:divBdr>
        <w:top w:val="none" w:sz="0" w:space="0" w:color="auto"/>
        <w:left w:val="none" w:sz="0" w:space="0" w:color="auto"/>
        <w:bottom w:val="none" w:sz="0" w:space="0" w:color="auto"/>
        <w:right w:val="none" w:sz="0" w:space="0" w:color="auto"/>
      </w:divBdr>
    </w:div>
    <w:div w:id="1152332801">
      <w:bodyDiv w:val="1"/>
      <w:marLeft w:val="0"/>
      <w:marRight w:val="0"/>
      <w:marTop w:val="0"/>
      <w:marBottom w:val="0"/>
      <w:divBdr>
        <w:top w:val="none" w:sz="0" w:space="0" w:color="auto"/>
        <w:left w:val="none" w:sz="0" w:space="0" w:color="auto"/>
        <w:bottom w:val="none" w:sz="0" w:space="0" w:color="auto"/>
        <w:right w:val="none" w:sz="0" w:space="0" w:color="auto"/>
      </w:divBdr>
    </w:div>
    <w:div w:id="116405360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2277940">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71757268">
      <w:bodyDiv w:val="1"/>
      <w:marLeft w:val="0"/>
      <w:marRight w:val="0"/>
      <w:marTop w:val="0"/>
      <w:marBottom w:val="0"/>
      <w:divBdr>
        <w:top w:val="none" w:sz="0" w:space="0" w:color="auto"/>
        <w:left w:val="none" w:sz="0" w:space="0" w:color="auto"/>
        <w:bottom w:val="none" w:sz="0" w:space="0" w:color="auto"/>
        <w:right w:val="none" w:sz="0" w:space="0" w:color="auto"/>
      </w:divBdr>
    </w:div>
    <w:div w:id="1386298045">
      <w:bodyDiv w:val="1"/>
      <w:marLeft w:val="0"/>
      <w:marRight w:val="0"/>
      <w:marTop w:val="0"/>
      <w:marBottom w:val="0"/>
      <w:divBdr>
        <w:top w:val="none" w:sz="0" w:space="0" w:color="auto"/>
        <w:left w:val="none" w:sz="0" w:space="0" w:color="auto"/>
        <w:bottom w:val="none" w:sz="0" w:space="0" w:color="auto"/>
        <w:right w:val="none" w:sz="0" w:space="0" w:color="auto"/>
      </w:divBdr>
    </w:div>
    <w:div w:id="1470126224">
      <w:bodyDiv w:val="1"/>
      <w:marLeft w:val="0"/>
      <w:marRight w:val="0"/>
      <w:marTop w:val="0"/>
      <w:marBottom w:val="0"/>
      <w:divBdr>
        <w:top w:val="none" w:sz="0" w:space="0" w:color="auto"/>
        <w:left w:val="none" w:sz="0" w:space="0" w:color="auto"/>
        <w:bottom w:val="none" w:sz="0" w:space="0" w:color="auto"/>
        <w:right w:val="none" w:sz="0" w:space="0" w:color="auto"/>
      </w:divBdr>
    </w:div>
    <w:div w:id="1573850122">
      <w:bodyDiv w:val="1"/>
      <w:marLeft w:val="0"/>
      <w:marRight w:val="0"/>
      <w:marTop w:val="0"/>
      <w:marBottom w:val="0"/>
      <w:divBdr>
        <w:top w:val="none" w:sz="0" w:space="0" w:color="auto"/>
        <w:left w:val="none" w:sz="0" w:space="0" w:color="auto"/>
        <w:bottom w:val="none" w:sz="0" w:space="0" w:color="auto"/>
        <w:right w:val="none" w:sz="0" w:space="0" w:color="auto"/>
      </w:divBdr>
    </w:div>
    <w:div w:id="1661886664">
      <w:bodyDiv w:val="1"/>
      <w:marLeft w:val="0"/>
      <w:marRight w:val="0"/>
      <w:marTop w:val="0"/>
      <w:marBottom w:val="0"/>
      <w:divBdr>
        <w:top w:val="none" w:sz="0" w:space="0" w:color="auto"/>
        <w:left w:val="none" w:sz="0" w:space="0" w:color="auto"/>
        <w:bottom w:val="none" w:sz="0" w:space="0" w:color="auto"/>
        <w:right w:val="none" w:sz="0" w:space="0" w:color="auto"/>
      </w:divBdr>
    </w:div>
    <w:div w:id="1670130997">
      <w:bodyDiv w:val="1"/>
      <w:marLeft w:val="0"/>
      <w:marRight w:val="0"/>
      <w:marTop w:val="0"/>
      <w:marBottom w:val="0"/>
      <w:divBdr>
        <w:top w:val="none" w:sz="0" w:space="0" w:color="auto"/>
        <w:left w:val="none" w:sz="0" w:space="0" w:color="auto"/>
        <w:bottom w:val="none" w:sz="0" w:space="0" w:color="auto"/>
        <w:right w:val="none" w:sz="0" w:space="0" w:color="auto"/>
      </w:divBdr>
    </w:div>
    <w:div w:id="1741560503">
      <w:bodyDiv w:val="1"/>
      <w:marLeft w:val="0"/>
      <w:marRight w:val="0"/>
      <w:marTop w:val="0"/>
      <w:marBottom w:val="0"/>
      <w:divBdr>
        <w:top w:val="none" w:sz="0" w:space="0" w:color="auto"/>
        <w:left w:val="none" w:sz="0" w:space="0" w:color="auto"/>
        <w:bottom w:val="none" w:sz="0" w:space="0" w:color="auto"/>
        <w:right w:val="none" w:sz="0" w:space="0" w:color="auto"/>
      </w:divBdr>
    </w:div>
    <w:div w:id="1774201860">
      <w:bodyDiv w:val="1"/>
      <w:marLeft w:val="0"/>
      <w:marRight w:val="0"/>
      <w:marTop w:val="0"/>
      <w:marBottom w:val="0"/>
      <w:divBdr>
        <w:top w:val="none" w:sz="0" w:space="0" w:color="auto"/>
        <w:left w:val="none" w:sz="0" w:space="0" w:color="auto"/>
        <w:bottom w:val="none" w:sz="0" w:space="0" w:color="auto"/>
        <w:right w:val="none" w:sz="0" w:space="0" w:color="auto"/>
      </w:divBdr>
    </w:div>
    <w:div w:id="1872380463">
      <w:bodyDiv w:val="1"/>
      <w:marLeft w:val="0"/>
      <w:marRight w:val="0"/>
      <w:marTop w:val="0"/>
      <w:marBottom w:val="0"/>
      <w:divBdr>
        <w:top w:val="none" w:sz="0" w:space="0" w:color="auto"/>
        <w:left w:val="none" w:sz="0" w:space="0" w:color="auto"/>
        <w:bottom w:val="none" w:sz="0" w:space="0" w:color="auto"/>
        <w:right w:val="none" w:sz="0" w:space="0" w:color="auto"/>
      </w:divBdr>
    </w:div>
    <w:div w:id="187862110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5717447">
      <w:bodyDiv w:val="1"/>
      <w:marLeft w:val="0"/>
      <w:marRight w:val="0"/>
      <w:marTop w:val="0"/>
      <w:marBottom w:val="0"/>
      <w:divBdr>
        <w:top w:val="none" w:sz="0" w:space="0" w:color="auto"/>
        <w:left w:val="none" w:sz="0" w:space="0" w:color="auto"/>
        <w:bottom w:val="none" w:sz="0" w:space="0" w:color="auto"/>
        <w:right w:val="none" w:sz="0" w:space="0" w:color="auto"/>
      </w:divBdr>
    </w:div>
    <w:div w:id="1996490756">
      <w:bodyDiv w:val="1"/>
      <w:marLeft w:val="0"/>
      <w:marRight w:val="0"/>
      <w:marTop w:val="0"/>
      <w:marBottom w:val="0"/>
      <w:divBdr>
        <w:top w:val="none" w:sz="0" w:space="0" w:color="auto"/>
        <w:left w:val="none" w:sz="0" w:space="0" w:color="auto"/>
        <w:bottom w:val="none" w:sz="0" w:space="0" w:color="auto"/>
        <w:right w:val="none" w:sz="0" w:space="0" w:color="auto"/>
      </w:divBdr>
    </w:div>
    <w:div w:id="2024479215">
      <w:bodyDiv w:val="1"/>
      <w:marLeft w:val="0"/>
      <w:marRight w:val="0"/>
      <w:marTop w:val="0"/>
      <w:marBottom w:val="0"/>
      <w:divBdr>
        <w:top w:val="none" w:sz="0" w:space="0" w:color="auto"/>
        <w:left w:val="none" w:sz="0" w:space="0" w:color="auto"/>
        <w:bottom w:val="none" w:sz="0" w:space="0" w:color="auto"/>
        <w:right w:val="none" w:sz="0" w:space="0" w:color="auto"/>
      </w:divBdr>
    </w:div>
    <w:div w:id="2057780202">
      <w:bodyDiv w:val="1"/>
      <w:marLeft w:val="0"/>
      <w:marRight w:val="0"/>
      <w:marTop w:val="0"/>
      <w:marBottom w:val="0"/>
      <w:divBdr>
        <w:top w:val="none" w:sz="0" w:space="0" w:color="auto"/>
        <w:left w:val="none" w:sz="0" w:space="0" w:color="auto"/>
        <w:bottom w:val="none" w:sz="0" w:space="0" w:color="auto"/>
        <w:right w:val="none" w:sz="0" w:space="0" w:color="auto"/>
      </w:divBdr>
    </w:div>
    <w:div w:id="2110733919">
      <w:bodyDiv w:val="1"/>
      <w:marLeft w:val="0"/>
      <w:marRight w:val="0"/>
      <w:marTop w:val="0"/>
      <w:marBottom w:val="0"/>
      <w:divBdr>
        <w:top w:val="none" w:sz="0" w:space="0" w:color="auto"/>
        <w:left w:val="none" w:sz="0" w:space="0" w:color="auto"/>
        <w:bottom w:val="none" w:sz="0" w:space="0" w:color="auto"/>
        <w:right w:val="none" w:sz="0" w:space="0" w:color="auto"/>
      </w:divBdr>
    </w:div>
    <w:div w:id="214383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hdphoto" Target="media/hdphoto3.wdp"/><Relationship Id="rId25" Type="http://schemas.openxmlformats.org/officeDocument/2006/relationships/image" Target="media/image11.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microsoft.com/office/2007/relationships/hdphoto" Target="media/hdphoto2.wdp"/><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eader" Target="header3.xml"/><Relationship Id="rId10" Type="http://schemas.openxmlformats.org/officeDocument/2006/relationships/endnotes" Target="endnotes.xml"/><Relationship Id="rId19" Type="http://schemas.microsoft.com/office/2007/relationships/hdphoto" Target="media/hdphoto4.wdp"/><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aihw.gov.au/getmedia/af7ec578-8d8f-4b53-bb8a-da736d38a9dd/cdia-2024-book-1e-long-term-cancer-incidence-projections.xlsx" TargetMode="External"/><Relationship Id="rId2" Type="http://schemas.openxmlformats.org/officeDocument/2006/relationships/hyperlink" Target="https://euroqol.org/wp-content/uploads/2017/02/EQ-5D-5L_Crosswalk_model_and__methodology.pdf" TargetMode="External"/><Relationship Id="rId1" Type="http://schemas.openxmlformats.org/officeDocument/2006/relationships/hyperlink" Target="https://www.aihw.gov.au/reports/cancer/cancer-data-in-australia/contents/survival" TargetMode="External"/><Relationship Id="rId5" Type="http://schemas.openxmlformats.org/officeDocument/2006/relationships/hyperlink" Target="https://www.lymphoma.org.au/lymphoma/treatments/chimeric-antigen-receptor-car-t-cell-therapy/" TargetMode="External"/><Relationship Id="rId4" Type="http://schemas.openxmlformats.org/officeDocument/2006/relationships/hyperlink" Target="https://www.aihw.gov.au/reports/cancer/cancer-data-in-australia/contents/blood-cancer-incidence-and-survival-by-histology-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C946F-E1BB-43B2-B921-DF3DBBFCA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940AC8-E2D3-486A-81E7-39DF7CB8566D}">
  <ds:schemaRefs>
    <ds:schemaRef ds:uri="http://schemas.microsoft.com/office/2006/metadata/properties"/>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72f95629-adac-4ec1-8738-e1cec852b92b"/>
    <ds:schemaRef ds:uri="7f856f8d-13b3-495a-9a4b-41f8182eda4c"/>
    <ds:schemaRef ds:uri="http://www.w3.org/XML/1998/namespace"/>
    <ds:schemaRef ds:uri="http://purl.org/dc/dcmitype/"/>
  </ds:schemaRefs>
</ds:datastoreItem>
</file>

<file path=customXml/itemProps3.xml><?xml version="1.0" encoding="utf-8"?>
<ds:datastoreItem xmlns:ds="http://schemas.openxmlformats.org/officeDocument/2006/customXml" ds:itemID="{1AA34D8B-A113-4BDE-BB73-CA8092A888A8}">
  <ds:schemaRefs>
    <ds:schemaRef ds:uri="http://schemas.microsoft.com/sharepoint/v3/contenttype/forms"/>
  </ds:schemaRefs>
</ds:datastoreItem>
</file>

<file path=customXml/itemProps4.xml><?xml version="1.0" encoding="utf-8"?>
<ds:datastoreItem xmlns:ds="http://schemas.openxmlformats.org/officeDocument/2006/customXml" ds:itemID="{F4004EEA-69E7-4651-A284-7535E0D86B50}">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59</Pages>
  <Words>23302</Words>
  <Characters>132823</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2025-09-26T05:20:00Z</dcterms:created>
  <dcterms:modified xsi:type="dcterms:W3CDTF">2025-10-30T02:55:00Z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MSIP_Label_7cd3e8b9-ffed-43a8-b7f4-cc2fa0382d36_Enabled">
    <vt:lpwstr>True</vt:lpwstr>
  </property>
  <property fmtid="{D5CDD505-2E9C-101B-9397-08002B2CF9AE}" pid="5" name="MSIP_Label_7cd3e8b9-ffed-43a8-b7f4-cc2fa0382d36_SiteId">
    <vt:lpwstr>34a3929c-73cf-4954-abfe-147dc3517892</vt:lpwstr>
  </property>
  <property fmtid="{D5CDD505-2E9C-101B-9397-08002B2CF9AE}" pid="6" name="MSIP_Label_7cd3e8b9-ffed-43a8-b7f4-cc2fa0382d36_SetDate">
    <vt:lpwstr>2025-09-08T23:27:45Z</vt:lpwstr>
  </property>
  <property fmtid="{D5CDD505-2E9C-101B-9397-08002B2CF9AE}" pid="7" name="MSIP_Label_7cd3e8b9-ffed-43a8-b7f4-cc2fa0382d36_Name">
    <vt:lpwstr>OFFICIAL</vt:lpwstr>
  </property>
  <property fmtid="{D5CDD505-2E9C-101B-9397-08002B2CF9AE}" pid="8" name="MSIP_Label_7cd3e8b9-ffed-43a8-b7f4-cc2fa0382d36_ActionId">
    <vt:lpwstr>73a08d2f-d648-43be-9d7a-50fe23ca9a6a</vt:lpwstr>
  </property>
  <property fmtid="{D5CDD505-2E9C-101B-9397-08002B2CF9AE}" pid="9" name="MSIP_Label_7cd3e8b9-ffed-43a8-b7f4-cc2fa0382d36_Removed">
    <vt:lpwstr>False</vt:lpwstr>
  </property>
  <property fmtid="{D5CDD505-2E9C-101B-9397-08002B2CF9AE}" pid="10" name="MSIP_Label_7cd3e8b9-ffed-43a8-b7f4-cc2fa0382d36_Extended_MSFT_Method">
    <vt:lpwstr>Standard</vt:lpwstr>
  </property>
  <property fmtid="{D5CDD505-2E9C-101B-9397-08002B2CF9AE}" pid="11" name="Sensitivity">
    <vt:lpwstr>OFFICIAL</vt:lpwstr>
  </property>
  <property fmtid="{D5CDD505-2E9C-101B-9397-08002B2CF9AE}" pid="12" name="docLang">
    <vt:lpwstr>en</vt:lpwstr>
  </property>
</Properties>
</file>