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94A23" w14:textId="42E7F08E" w:rsidR="00084F23" w:rsidRPr="00497554" w:rsidRDefault="00084F23" w:rsidP="0074381E">
      <w:pPr>
        <w:rPr>
          <w:rFonts w:ascii="Calibri" w:hAnsi="Calibri" w:cs="Calibri"/>
          <w:szCs w:val="24"/>
        </w:rPr>
      </w:pPr>
      <w:bookmarkStart w:id="0" w:name="_Ref190675663"/>
      <w:bookmarkStart w:id="1" w:name="_Ref191041666"/>
      <w:bookmarkStart w:id="2" w:name="_Hlk201330409"/>
      <w:bookmarkStart w:id="3" w:name="_Toc198735656"/>
      <w:bookmarkStart w:id="4" w:name="_Toc413139271"/>
    </w:p>
    <w:p w14:paraId="67C68CBC" w14:textId="255DCA5D" w:rsidR="00C10EF7" w:rsidRPr="00CB6F18" w:rsidRDefault="00C10EF7" w:rsidP="00C10EF7">
      <w:pPr>
        <w:pStyle w:val="1-MainHeading"/>
      </w:pPr>
      <w:r>
        <w:t>5.03</w:t>
      </w:r>
      <w:r>
        <w:tab/>
        <w:t>DONANEMAB</w:t>
      </w:r>
      <w:r>
        <w:br/>
        <w:t>Solution concentrate for I.V. infusion 350 mg in 20 mL</w:t>
      </w:r>
      <w:r>
        <w:br/>
      </w:r>
      <w:r w:rsidR="008D7343">
        <w:t>Kisunl</w:t>
      </w:r>
      <w:r w:rsidR="00CB6F18">
        <w:t>a</w:t>
      </w:r>
      <w:r w:rsidR="00CB6F18" w:rsidRPr="00EE0EEB">
        <w:rPr>
          <w:smallCaps/>
        </w:rPr>
        <w:t>®</w:t>
      </w:r>
      <w:r w:rsidR="00CB6F18">
        <w:rPr>
          <w:smallCaps/>
        </w:rPr>
        <w:br/>
      </w:r>
      <w:r w:rsidR="00CB6F18" w:rsidRPr="00CB6F18">
        <w:t>Eli Lilly Australia Pty Ltd</w:t>
      </w:r>
    </w:p>
    <w:bookmarkEnd w:id="0"/>
    <w:bookmarkEnd w:id="1"/>
    <w:p w14:paraId="31E132F3" w14:textId="77777777" w:rsidR="0008002E" w:rsidRPr="00FD70DE" w:rsidRDefault="0008002E" w:rsidP="00DD02B1">
      <w:pPr>
        <w:pStyle w:val="PBACESHeading1"/>
        <w:numPr>
          <w:ilvl w:val="0"/>
          <w:numId w:val="23"/>
        </w:numPr>
        <w:ind w:left="709" w:hanging="709"/>
      </w:pPr>
      <w:r w:rsidRPr="00FD70DE">
        <w:t>Purpose of submission</w:t>
      </w:r>
    </w:p>
    <w:p w14:paraId="462DF2F3" w14:textId="7F6B77E8" w:rsidR="00A730DA" w:rsidRDefault="0008002E" w:rsidP="00DD02B1">
      <w:pPr>
        <w:pStyle w:val="3-BodyText"/>
        <w:numPr>
          <w:ilvl w:val="1"/>
          <w:numId w:val="23"/>
        </w:numPr>
        <w:spacing w:before="60" w:after="60"/>
        <w:ind w:left="709" w:hanging="709"/>
      </w:pPr>
      <w:r w:rsidRPr="00EE0EEB">
        <w:t>Th</w:t>
      </w:r>
      <w:r w:rsidR="00B148B5">
        <w:t>e</w:t>
      </w:r>
      <w:r w:rsidRPr="00EE0EEB">
        <w:t xml:space="preserve"> integrated codependent submission request</w:t>
      </w:r>
      <w:r w:rsidR="00B148B5">
        <w:t>ed</w:t>
      </w:r>
      <w:r w:rsidRPr="00EE0EEB">
        <w:t xml:space="preserve"> </w:t>
      </w:r>
      <w:r w:rsidR="00A730DA">
        <w:t xml:space="preserve">a </w:t>
      </w:r>
      <w:r w:rsidR="00A730DA" w:rsidRPr="00EE0EEB">
        <w:t xml:space="preserve">Pharmaceutical Benefits Scheme (PBS) Section 100 (Highly Specialised Drugs Program) Authority Required (Telephone) listing of donanemab for the treatment of patients with early symptomatic </w:t>
      </w:r>
      <w:r w:rsidR="00C81B21">
        <w:t>Alzheimer’s disease (</w:t>
      </w:r>
      <w:r w:rsidR="00A730DA" w:rsidRPr="00EE0EEB">
        <w:t>AD</w:t>
      </w:r>
      <w:r w:rsidR="00C81B21">
        <w:t>)</w:t>
      </w:r>
      <w:r w:rsidR="00A730DA" w:rsidRPr="00EE0EEB">
        <w:t>, defined as mild cognitive impairment (MCI) due to AD or Mild Alzheimer</w:t>
      </w:r>
      <w:r w:rsidR="001E1407">
        <w:t>’s</w:t>
      </w:r>
      <w:r w:rsidR="00A730DA" w:rsidRPr="00EE0EEB">
        <w:t xml:space="preserve"> dementia.</w:t>
      </w:r>
    </w:p>
    <w:p w14:paraId="276C5F22" w14:textId="30418864" w:rsidR="0008002E" w:rsidRPr="00EE0EEB" w:rsidRDefault="00A730DA" w:rsidP="00DD02B1">
      <w:pPr>
        <w:pStyle w:val="3-BodyText"/>
        <w:numPr>
          <w:ilvl w:val="1"/>
          <w:numId w:val="23"/>
        </w:numPr>
        <w:spacing w:before="60" w:after="60"/>
        <w:ind w:left="709" w:hanging="709"/>
      </w:pPr>
      <w:r>
        <w:t>T</w:t>
      </w:r>
      <w:r w:rsidR="0008002E" w:rsidRPr="00EE0EEB">
        <w:t>he following</w:t>
      </w:r>
      <w:r>
        <w:t xml:space="preserve"> requests have been made to MSAC</w:t>
      </w:r>
      <w:r w:rsidR="0008002E" w:rsidRPr="00EE0EEB">
        <w:t>:</w:t>
      </w:r>
    </w:p>
    <w:p w14:paraId="038A6071" w14:textId="77777777" w:rsidR="0008002E" w:rsidRPr="00EE0EEB" w:rsidRDefault="0008002E" w:rsidP="00DD02B1">
      <w:pPr>
        <w:pStyle w:val="ListParagraph"/>
        <w:numPr>
          <w:ilvl w:val="0"/>
          <w:numId w:val="18"/>
        </w:numPr>
        <w:ind w:left="1080"/>
        <w:rPr>
          <w:color w:val="auto"/>
        </w:rPr>
      </w:pPr>
      <w:r w:rsidRPr="00EE0EEB">
        <w:rPr>
          <w:color w:val="auto"/>
        </w:rPr>
        <w:t>Medicare Benefits Schedule (MBS) funding for apolipoprotein E (</w:t>
      </w:r>
      <w:r w:rsidRPr="00EE0EEB">
        <w:rPr>
          <w:i/>
          <w:iCs/>
          <w:color w:val="auto"/>
        </w:rPr>
        <w:t>APOE</w:t>
      </w:r>
      <w:r w:rsidRPr="00EE0EEB">
        <w:rPr>
          <w:color w:val="auto"/>
        </w:rPr>
        <w:t xml:space="preserve">) genotyping prior to amyloid-beta (Aβ) pathology testing </w:t>
      </w:r>
      <w:r>
        <w:rPr>
          <w:color w:val="auto"/>
        </w:rPr>
        <w:t>and</w:t>
      </w:r>
      <w:r w:rsidRPr="00EE0EEB">
        <w:rPr>
          <w:color w:val="auto"/>
        </w:rPr>
        <w:t xml:space="preserve"> treatment with donanemab; and</w:t>
      </w:r>
    </w:p>
    <w:p w14:paraId="6EA26E4B" w14:textId="23560144" w:rsidR="0008002E" w:rsidRPr="00EE0EEB" w:rsidRDefault="0008002E" w:rsidP="00DD02B1">
      <w:pPr>
        <w:pStyle w:val="ListParagraph"/>
        <w:numPr>
          <w:ilvl w:val="0"/>
          <w:numId w:val="18"/>
        </w:numPr>
        <w:ind w:left="1080"/>
        <w:rPr>
          <w:color w:val="auto"/>
        </w:rPr>
      </w:pPr>
      <w:r w:rsidRPr="00EE0EEB">
        <w:rPr>
          <w:color w:val="auto"/>
        </w:rPr>
        <w:t>MBS listing of two tests that can be used to detect the presence of Aβ pathology in patients with a clinical diagnosis of early symptomatic Alzheimer</w:t>
      </w:r>
      <w:r w:rsidR="001E1407">
        <w:rPr>
          <w:color w:val="auto"/>
        </w:rPr>
        <w:t>’s</w:t>
      </w:r>
      <w:r w:rsidRPr="00EE0EEB">
        <w:rPr>
          <w:color w:val="auto"/>
        </w:rPr>
        <w:t xml:space="preserve"> Disease (AD), defined as mild cognitive impairment (MCI) due to AD or mild AD, to determine eligibility for PBS-subsidised treatment with donanemab:</w:t>
      </w:r>
    </w:p>
    <w:p w14:paraId="686E29A1" w14:textId="77777777" w:rsidR="0008002E" w:rsidRPr="00EE0EEB" w:rsidRDefault="0008002E" w:rsidP="00DD02B1">
      <w:pPr>
        <w:pStyle w:val="ListParagraph"/>
        <w:numPr>
          <w:ilvl w:val="1"/>
          <w:numId w:val="18"/>
        </w:numPr>
        <w:ind w:left="1440"/>
        <w:rPr>
          <w:color w:val="auto"/>
        </w:rPr>
      </w:pPr>
      <w:r w:rsidRPr="00EE0EEB">
        <w:rPr>
          <w:color w:val="auto"/>
        </w:rPr>
        <w:t>Amyloid-beta Positron Emission Tomography (Aβ-PET)</w:t>
      </w:r>
    </w:p>
    <w:p w14:paraId="65400564" w14:textId="77777777" w:rsidR="0008002E" w:rsidRPr="00EE0EEB" w:rsidRDefault="0008002E" w:rsidP="00DD02B1">
      <w:pPr>
        <w:pStyle w:val="ListParagraph"/>
        <w:numPr>
          <w:ilvl w:val="1"/>
          <w:numId w:val="18"/>
        </w:numPr>
        <w:ind w:left="1440"/>
        <w:rPr>
          <w:color w:val="auto"/>
        </w:rPr>
      </w:pPr>
      <w:r w:rsidRPr="00EE0EEB">
        <w:rPr>
          <w:color w:val="auto"/>
        </w:rPr>
        <w:t>Cerebrospinal Fluid (CSF) AD biomarker testing</w:t>
      </w:r>
      <w:r>
        <w:rPr>
          <w:color w:val="auto"/>
        </w:rPr>
        <w:t xml:space="preserve">, </w:t>
      </w:r>
      <w:r w:rsidRPr="2A08687D">
        <w:rPr>
          <w:color w:val="auto"/>
        </w:rPr>
        <w:t>which requires</w:t>
      </w:r>
      <w:r>
        <w:rPr>
          <w:color w:val="auto"/>
        </w:rPr>
        <w:t xml:space="preserve"> lumbar puncture</w:t>
      </w:r>
    </w:p>
    <w:p w14:paraId="14420A49" w14:textId="7BF663C9" w:rsidR="0008002E" w:rsidRPr="00630A71" w:rsidRDefault="0008002E" w:rsidP="00DD02B1">
      <w:pPr>
        <w:pStyle w:val="3-BodyText"/>
        <w:numPr>
          <w:ilvl w:val="1"/>
          <w:numId w:val="23"/>
        </w:numPr>
        <w:spacing w:before="60" w:after="60"/>
        <w:ind w:left="709" w:hanging="709"/>
      </w:pPr>
      <w:r w:rsidRPr="00630A71">
        <w:t xml:space="preserve">The submission has requested that Aβ testing for eligibility for treatment with donanemab be available for patients with early AD (MCI due to AD and mild AD) who have been confirmed as being </w:t>
      </w:r>
      <w:r w:rsidRPr="009D70A1">
        <w:rPr>
          <w:i/>
          <w:iCs/>
        </w:rPr>
        <w:t>APOE4</w:t>
      </w:r>
      <w:r w:rsidRPr="00630A71">
        <w:t xml:space="preserve"> heterozygous or non-carriers (i.e., excludes </w:t>
      </w:r>
      <w:r w:rsidRPr="009D70A1">
        <w:rPr>
          <w:i/>
          <w:iCs/>
        </w:rPr>
        <w:t>APOE4</w:t>
      </w:r>
      <w:r w:rsidRPr="00630A71">
        <w:t xml:space="preserve"> homozygotes) and Aβ-positive. This population </w:t>
      </w:r>
      <w:r>
        <w:t>aligns with the TGA indication and</w:t>
      </w:r>
      <w:r w:rsidRPr="00630A71">
        <w:t xml:space="preserve"> is appropriate due to the high</w:t>
      </w:r>
      <w:r w:rsidR="00192308">
        <w:t>er</w:t>
      </w:r>
      <w:r w:rsidRPr="00630A71">
        <w:t xml:space="preserve"> likelihood of having an amyloid related imaging abnormalities (ARIA) event in patients who are homozygous for the </w:t>
      </w:r>
      <w:r w:rsidRPr="009D70A1">
        <w:rPr>
          <w:i/>
          <w:iCs/>
        </w:rPr>
        <w:t>APOE4</w:t>
      </w:r>
      <w:r w:rsidRPr="00630A71">
        <w:t xml:space="preserve"> allele.</w:t>
      </w:r>
    </w:p>
    <w:p w14:paraId="44915F3F" w14:textId="6D5A231A" w:rsidR="0008002E" w:rsidRPr="008C2A0E" w:rsidRDefault="0008002E" w:rsidP="00DD02B1">
      <w:pPr>
        <w:pStyle w:val="3-BodyText"/>
        <w:numPr>
          <w:ilvl w:val="1"/>
          <w:numId w:val="23"/>
        </w:numPr>
        <w:spacing w:before="60" w:after="60"/>
        <w:ind w:left="709" w:hanging="709"/>
      </w:pPr>
      <w:r w:rsidRPr="008C2A0E">
        <w:t>The submission noted that Magnetic Resonance Imaging (MRI) criteria to assess radiological severity of ARIA events and timing of MRI scans are provided in the Product Information (PI) for donanemab</w:t>
      </w:r>
      <w:r w:rsidR="004E1956">
        <w:t>. MRIs are required</w:t>
      </w:r>
      <w:r w:rsidRPr="008C2A0E">
        <w:t xml:space="preserve"> to exclude patients not eligible for donanemab, to monitor for asymptomatic ARIA during treatment, and to minimise the risk of advancing to symptomatic or severe ARIA. </w:t>
      </w:r>
    </w:p>
    <w:p w14:paraId="17FFCDBA" w14:textId="77777777" w:rsidR="0008002E" w:rsidRPr="00630A71" w:rsidRDefault="0008002E" w:rsidP="00DD02B1">
      <w:pPr>
        <w:pStyle w:val="3-BodyText"/>
        <w:numPr>
          <w:ilvl w:val="1"/>
          <w:numId w:val="23"/>
        </w:numPr>
        <w:spacing w:before="60" w:after="60"/>
        <w:ind w:left="709" w:hanging="709"/>
      </w:pPr>
      <w:r w:rsidRPr="008C2A0E">
        <w:t>Listing was requested on the basis of a cost-utility analysis comparing Aβ testing followed by treatment with donanemab plus standard of care (SoC) to no testing</w:t>
      </w:r>
      <w:r w:rsidRPr="00630A71">
        <w:t xml:space="preserve"> plus SoC in patients with early symptomatic AD.</w:t>
      </w:r>
    </w:p>
    <w:p w14:paraId="4B842A3E" w14:textId="4FC5ACC3" w:rsidR="0008002E" w:rsidRPr="00630A71" w:rsidRDefault="0008002E" w:rsidP="00DD02B1">
      <w:pPr>
        <w:pStyle w:val="3-BodyText"/>
        <w:numPr>
          <w:ilvl w:val="1"/>
          <w:numId w:val="23"/>
        </w:numPr>
        <w:spacing w:before="60" w:after="60"/>
        <w:ind w:left="709" w:hanging="709"/>
      </w:pPr>
      <w:r w:rsidRPr="00630A71">
        <w:t xml:space="preserve">SoC encompasses non-pharmaceutical interventions (observation/monitoring and brain health optimisation which includes supplemental nutrition, exercise, mentally challenging activities, and social engagement) and may also include symptomatic </w:t>
      </w:r>
      <w:r w:rsidRPr="00630A71">
        <w:lastRenderedPageBreak/>
        <w:t xml:space="preserve">treatments such as acetylcholinesterase inhibitors (AChEIs). The key components of the clinical issue addressed by the submission are summarised in </w:t>
      </w:r>
      <w:r w:rsidR="004610B5">
        <w:fldChar w:fldCharType="begin"/>
      </w:r>
      <w:r w:rsidR="004610B5">
        <w:instrText xml:space="preserve"> REF _Ref204779691 \h </w:instrText>
      </w:r>
      <w:r w:rsidR="004610B5">
        <w:fldChar w:fldCharType="separate"/>
      </w:r>
      <w:r w:rsidR="00392423">
        <w:t xml:space="preserve">Table </w:t>
      </w:r>
      <w:r w:rsidR="00392423">
        <w:rPr>
          <w:noProof/>
        </w:rPr>
        <w:t>1</w:t>
      </w:r>
      <w:r w:rsidR="004610B5">
        <w:fldChar w:fldCharType="end"/>
      </w:r>
      <w:r w:rsidRPr="00630A71">
        <w:t>.</w:t>
      </w:r>
    </w:p>
    <w:p w14:paraId="6F33903B" w14:textId="624EDCCC" w:rsidR="0008002E" w:rsidRPr="00EE0EEB" w:rsidRDefault="004610B5" w:rsidP="000A0F04">
      <w:pPr>
        <w:pStyle w:val="Caption"/>
      </w:pPr>
      <w:bookmarkStart w:id="5" w:name="_Ref204779691"/>
      <w:r>
        <w:t xml:space="preserve">Table </w:t>
      </w:r>
      <w:r>
        <w:fldChar w:fldCharType="begin"/>
      </w:r>
      <w:r>
        <w:instrText xml:space="preserve"> SEQ Table \* ARABIC </w:instrText>
      </w:r>
      <w:r>
        <w:fldChar w:fldCharType="separate"/>
      </w:r>
      <w:r w:rsidR="00392423">
        <w:rPr>
          <w:noProof/>
        </w:rPr>
        <w:t>1</w:t>
      </w:r>
      <w:r>
        <w:fldChar w:fldCharType="end"/>
      </w:r>
      <w:bookmarkEnd w:id="5"/>
      <w:r>
        <w:t xml:space="preserve">: </w:t>
      </w:r>
      <w:r w:rsidR="000A0F04">
        <w:t xml:space="preserve"> </w:t>
      </w:r>
      <w:r w:rsidR="0008002E" w:rsidRPr="00EE0EEB">
        <w:t>Key components of the clinical issue addressed by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96"/>
        <w:gridCol w:w="7820"/>
      </w:tblGrid>
      <w:tr w:rsidR="00E503EB" w:rsidRPr="00EE0EEB" w14:paraId="749A1F47" w14:textId="77777777" w:rsidTr="004610B5">
        <w:trPr>
          <w:cnfStyle w:val="100000000000" w:firstRow="1" w:lastRow="0" w:firstColumn="0" w:lastColumn="0" w:oddVBand="0" w:evenVBand="0" w:oddHBand="0" w:evenHBand="0" w:firstRowFirstColumn="0" w:firstRowLastColumn="0" w:lastRowFirstColumn="0" w:lastRowLastColumn="0"/>
          <w:cantSplit/>
          <w:tblHeader/>
        </w:trPr>
        <w:tc>
          <w:tcPr>
            <w:tcW w:w="663" w:type="pct"/>
          </w:tcPr>
          <w:p w14:paraId="2831198D" w14:textId="77777777" w:rsidR="0008002E" w:rsidRPr="00EE0EEB" w:rsidRDefault="0008002E" w:rsidP="00E81465">
            <w:pPr>
              <w:pStyle w:val="TableText"/>
              <w:keepNext/>
              <w:rPr>
                <w:lang w:val="en-AU"/>
              </w:rPr>
            </w:pPr>
            <w:r w:rsidRPr="00EE0EEB">
              <w:rPr>
                <w:lang w:val="en-AU"/>
              </w:rPr>
              <w:t>Component</w:t>
            </w:r>
          </w:p>
        </w:tc>
        <w:tc>
          <w:tcPr>
            <w:tcW w:w="4337" w:type="pct"/>
          </w:tcPr>
          <w:p w14:paraId="7EAE0245" w14:textId="77777777" w:rsidR="0008002E" w:rsidRPr="00EE0EEB" w:rsidRDefault="0008002E" w:rsidP="00E81465">
            <w:pPr>
              <w:pStyle w:val="TableText"/>
              <w:keepNext/>
              <w:rPr>
                <w:lang w:val="en-AU"/>
              </w:rPr>
            </w:pPr>
            <w:r w:rsidRPr="00EE0EEB">
              <w:rPr>
                <w:lang w:val="en-AU"/>
              </w:rPr>
              <w:t>Description</w:t>
            </w:r>
          </w:p>
        </w:tc>
      </w:tr>
      <w:tr w:rsidR="0008002E" w:rsidRPr="00EE0EEB" w14:paraId="5E8B8754" w14:textId="77777777" w:rsidTr="00084F23">
        <w:trPr>
          <w:cantSplit/>
        </w:trPr>
        <w:tc>
          <w:tcPr>
            <w:tcW w:w="663" w:type="pct"/>
            <w:vAlign w:val="center"/>
          </w:tcPr>
          <w:p w14:paraId="57AEDDB4" w14:textId="77777777" w:rsidR="0008002E" w:rsidRPr="00EE0EEB" w:rsidRDefault="0008002E" w:rsidP="00E81465">
            <w:pPr>
              <w:pStyle w:val="TableText"/>
              <w:keepNext/>
              <w:rPr>
                <w:lang w:val="en-AU"/>
              </w:rPr>
            </w:pPr>
            <w:r w:rsidRPr="00EE0EEB">
              <w:rPr>
                <w:lang w:val="en-AU"/>
              </w:rPr>
              <w:t>Population</w:t>
            </w:r>
          </w:p>
        </w:tc>
        <w:tc>
          <w:tcPr>
            <w:tcW w:w="4337" w:type="pct"/>
            <w:vAlign w:val="center"/>
          </w:tcPr>
          <w:p w14:paraId="6A7C266B" w14:textId="77777777" w:rsidR="0008002E" w:rsidRPr="00EE0EEB" w:rsidRDefault="0008002E" w:rsidP="00E81465">
            <w:pPr>
              <w:pStyle w:val="TableText"/>
              <w:keepNext/>
              <w:rPr>
                <w:lang w:val="en-AU"/>
              </w:rPr>
            </w:pPr>
            <w:r w:rsidRPr="00EE0EEB">
              <w:rPr>
                <w:b/>
                <w:lang w:val="en-AU"/>
              </w:rPr>
              <w:t>Test:</w:t>
            </w:r>
            <w:r w:rsidRPr="00EE0EEB">
              <w:rPr>
                <w:lang w:val="en-AU"/>
              </w:rPr>
              <w:t xml:space="preserve"> Patients with a clinical diagnosis of early symptomatic AD (comprising MCI due to AD and mild AD)</w:t>
            </w:r>
            <w:r>
              <w:t xml:space="preserve"> </w:t>
            </w:r>
            <w:r w:rsidRPr="00156C1D">
              <w:rPr>
                <w:lang w:val="en-AU"/>
              </w:rPr>
              <w:t xml:space="preserve">will receive </w:t>
            </w:r>
            <w:r w:rsidRPr="00156C1D">
              <w:rPr>
                <w:i/>
                <w:iCs/>
                <w:lang w:val="en-AU"/>
              </w:rPr>
              <w:t>APOE</w:t>
            </w:r>
            <w:r w:rsidRPr="00156C1D">
              <w:rPr>
                <w:lang w:val="en-AU"/>
              </w:rPr>
              <w:t xml:space="preserve"> genotyping, those who do not have, or are heterozygous for, the </w:t>
            </w:r>
            <w:r w:rsidRPr="005F0FC0">
              <w:rPr>
                <w:i/>
                <w:iCs/>
                <w:lang w:val="en-AU"/>
              </w:rPr>
              <w:t>APOE4</w:t>
            </w:r>
            <w:r w:rsidRPr="00156C1D">
              <w:rPr>
                <w:lang w:val="en-AU"/>
              </w:rPr>
              <w:t xml:space="preserve"> allele will then be eligible for Aβ pathology testing</w:t>
            </w:r>
            <w:r w:rsidRPr="00EE0EEB">
              <w:rPr>
                <w:lang w:val="en-AU"/>
              </w:rPr>
              <w:t>.</w:t>
            </w:r>
          </w:p>
          <w:p w14:paraId="37DAC385" w14:textId="77777777" w:rsidR="0008002E" w:rsidRPr="00EE0EEB" w:rsidRDefault="0008002E" w:rsidP="00E81465">
            <w:pPr>
              <w:pStyle w:val="TableText"/>
              <w:keepNext/>
              <w:rPr>
                <w:lang w:val="en-AU"/>
              </w:rPr>
            </w:pPr>
            <w:r w:rsidRPr="00EE0EEB">
              <w:rPr>
                <w:b/>
                <w:lang w:val="en-AU"/>
              </w:rPr>
              <w:t>Drug:</w:t>
            </w:r>
            <w:r w:rsidRPr="00EE0EEB">
              <w:rPr>
                <w:lang w:val="en-AU"/>
              </w:rPr>
              <w:t xml:space="preserve"> Patients (aged 60 years or older) with early symptomatic AD </w:t>
            </w:r>
            <w:r w:rsidRPr="00156C1D">
              <w:rPr>
                <w:lang w:val="en-AU"/>
              </w:rPr>
              <w:t xml:space="preserve">who are not homozygous for the </w:t>
            </w:r>
            <w:r w:rsidRPr="00156C1D">
              <w:rPr>
                <w:i/>
                <w:iCs/>
                <w:lang w:val="en-AU"/>
              </w:rPr>
              <w:t>APOE4</w:t>
            </w:r>
            <w:r w:rsidRPr="00156C1D">
              <w:rPr>
                <w:lang w:val="en-AU"/>
              </w:rPr>
              <w:t xml:space="preserve"> allele and </w:t>
            </w:r>
            <w:r w:rsidRPr="00EE0EEB">
              <w:rPr>
                <w:lang w:val="en-AU"/>
              </w:rPr>
              <w:t>with evidence of Aβ pathology as confirmed by either Aβ-PET or CSF AD protein biomarker testing.</w:t>
            </w:r>
          </w:p>
        </w:tc>
      </w:tr>
      <w:tr w:rsidR="0008002E" w:rsidRPr="00EE0EEB" w14:paraId="53A890C9" w14:textId="77777777" w:rsidTr="00084F23">
        <w:trPr>
          <w:cantSplit/>
        </w:trPr>
        <w:tc>
          <w:tcPr>
            <w:tcW w:w="663" w:type="pct"/>
            <w:vAlign w:val="center"/>
          </w:tcPr>
          <w:p w14:paraId="29D37C55" w14:textId="77777777" w:rsidR="0008002E" w:rsidRPr="00EE0EEB" w:rsidRDefault="0008002E" w:rsidP="00E81465">
            <w:pPr>
              <w:pStyle w:val="TableText"/>
              <w:keepNext/>
              <w:rPr>
                <w:lang w:val="en-AU"/>
              </w:rPr>
            </w:pPr>
            <w:r w:rsidRPr="00EE0EEB">
              <w:rPr>
                <w:lang w:val="en-AU"/>
              </w:rPr>
              <w:t>Intervention</w:t>
            </w:r>
          </w:p>
        </w:tc>
        <w:tc>
          <w:tcPr>
            <w:tcW w:w="4337" w:type="pct"/>
            <w:vAlign w:val="center"/>
          </w:tcPr>
          <w:p w14:paraId="3155820D" w14:textId="77777777" w:rsidR="0008002E" w:rsidRPr="00EE0EEB" w:rsidRDefault="0008002E" w:rsidP="00E81465">
            <w:pPr>
              <w:pStyle w:val="TableText"/>
              <w:keepNext/>
              <w:rPr>
                <w:lang w:val="en-AU"/>
              </w:rPr>
            </w:pPr>
            <w:r w:rsidRPr="00EE0EEB">
              <w:rPr>
                <w:b/>
                <w:lang w:val="en-AU"/>
              </w:rPr>
              <w:t>Test:</w:t>
            </w:r>
            <w:r w:rsidRPr="00EE0EEB">
              <w:rPr>
                <w:lang w:val="en-AU"/>
              </w:rPr>
              <w:t xml:space="preserve"> </w:t>
            </w:r>
            <w:r w:rsidRPr="00EE0EEB">
              <w:rPr>
                <w:i/>
                <w:iCs/>
                <w:lang w:val="en-AU"/>
              </w:rPr>
              <w:t>APOE</w:t>
            </w:r>
            <w:r w:rsidRPr="00EE0EEB">
              <w:rPr>
                <w:lang w:val="en-AU"/>
              </w:rPr>
              <w:t xml:space="preserve"> genotyping, AND</w:t>
            </w:r>
          </w:p>
          <w:p w14:paraId="386AF6E7" w14:textId="77777777" w:rsidR="0008002E" w:rsidRPr="00EE0EEB" w:rsidRDefault="0008002E" w:rsidP="00E81465">
            <w:pPr>
              <w:pStyle w:val="TableText"/>
              <w:keepNext/>
              <w:rPr>
                <w:lang w:val="en-AU"/>
              </w:rPr>
            </w:pPr>
            <w:r w:rsidRPr="00EE0EEB">
              <w:rPr>
                <w:lang w:val="en-AU"/>
              </w:rPr>
              <w:t>Test 1: Brain Aβ-PET scan OR Test 2: CSF AD protein biomarker testing</w:t>
            </w:r>
          </w:p>
          <w:p w14:paraId="7A8ECF03" w14:textId="77777777" w:rsidR="0008002E" w:rsidRPr="00EE0EEB" w:rsidRDefault="0008002E" w:rsidP="00E81465">
            <w:pPr>
              <w:pStyle w:val="TableText"/>
              <w:keepNext/>
              <w:rPr>
                <w:lang w:val="en-AU"/>
              </w:rPr>
            </w:pPr>
            <w:r w:rsidRPr="00EE0EEB">
              <w:rPr>
                <w:b/>
                <w:lang w:val="en-AU"/>
              </w:rPr>
              <w:t>Drug:</w:t>
            </w:r>
            <w:r w:rsidRPr="00EE0EEB">
              <w:rPr>
                <w:lang w:val="en-AU"/>
              </w:rPr>
              <w:t xml:space="preserve"> Donanemab + SOC until Aβ plaque clearance has been achieved, up to a maximum of 18 months</w:t>
            </w:r>
          </w:p>
        </w:tc>
      </w:tr>
      <w:tr w:rsidR="0008002E" w:rsidRPr="00EE0EEB" w14:paraId="507ACC1A" w14:textId="77777777" w:rsidTr="00084F23">
        <w:trPr>
          <w:cantSplit/>
        </w:trPr>
        <w:tc>
          <w:tcPr>
            <w:tcW w:w="663" w:type="pct"/>
            <w:vAlign w:val="center"/>
          </w:tcPr>
          <w:p w14:paraId="04C7620A" w14:textId="77777777" w:rsidR="0008002E" w:rsidRPr="00EE0EEB" w:rsidRDefault="0008002E" w:rsidP="00E81465">
            <w:pPr>
              <w:pStyle w:val="TableText"/>
              <w:keepNext/>
              <w:rPr>
                <w:lang w:val="en-AU"/>
              </w:rPr>
            </w:pPr>
            <w:r w:rsidRPr="00EE0EEB">
              <w:rPr>
                <w:lang w:val="en-AU"/>
              </w:rPr>
              <w:t>Comparator</w:t>
            </w:r>
          </w:p>
        </w:tc>
        <w:tc>
          <w:tcPr>
            <w:tcW w:w="4337" w:type="pct"/>
            <w:vAlign w:val="center"/>
          </w:tcPr>
          <w:p w14:paraId="7008C623" w14:textId="6DF305E7" w:rsidR="0008002E" w:rsidRPr="00EE0EEB" w:rsidRDefault="0008002E" w:rsidP="00E81465">
            <w:pPr>
              <w:pStyle w:val="TableText"/>
              <w:keepNext/>
              <w:rPr>
                <w:lang w:val="en-AU"/>
              </w:rPr>
            </w:pPr>
            <w:r w:rsidRPr="00EE0EEB">
              <w:rPr>
                <w:b/>
                <w:lang w:val="en-AU"/>
              </w:rPr>
              <w:t>Test:</w:t>
            </w:r>
            <w:r w:rsidRPr="00EE0EEB">
              <w:rPr>
                <w:lang w:val="en-AU"/>
              </w:rPr>
              <w:t xml:space="preserve"> No testing </w:t>
            </w:r>
            <w:r w:rsidRPr="00156C1D">
              <w:rPr>
                <w:lang w:val="en-AU"/>
              </w:rPr>
              <w:t xml:space="preserve">for </w:t>
            </w:r>
            <w:r w:rsidRPr="00156C1D">
              <w:rPr>
                <w:i/>
                <w:iCs/>
                <w:lang w:val="en-AU"/>
              </w:rPr>
              <w:t>AP</w:t>
            </w:r>
            <w:r>
              <w:rPr>
                <w:i/>
                <w:iCs/>
                <w:lang w:val="en-AU"/>
              </w:rPr>
              <w:t>O</w:t>
            </w:r>
            <w:r w:rsidRPr="00156C1D">
              <w:rPr>
                <w:i/>
                <w:iCs/>
                <w:lang w:val="en-AU"/>
              </w:rPr>
              <w:t>E</w:t>
            </w:r>
            <w:r w:rsidRPr="00156C1D">
              <w:rPr>
                <w:lang w:val="en-AU"/>
              </w:rPr>
              <w:t xml:space="preserve"> genotype and </w:t>
            </w:r>
            <w:r>
              <w:rPr>
                <w:lang w:val="en-AU"/>
              </w:rPr>
              <w:t xml:space="preserve">no testing </w:t>
            </w:r>
            <w:r w:rsidRPr="00156C1D">
              <w:rPr>
                <w:lang w:val="en-AU"/>
              </w:rPr>
              <w:t xml:space="preserve">for </w:t>
            </w:r>
            <w:r w:rsidRPr="00EE0EEB">
              <w:rPr>
                <w:lang w:val="en-AU"/>
              </w:rPr>
              <w:t xml:space="preserve">Aβ pathology </w:t>
            </w:r>
          </w:p>
          <w:p w14:paraId="1BA628E0" w14:textId="77777777" w:rsidR="0008002E" w:rsidRPr="00EE0EEB" w:rsidRDefault="0008002E" w:rsidP="00E81465">
            <w:pPr>
              <w:pStyle w:val="TableText"/>
              <w:keepNext/>
              <w:rPr>
                <w:lang w:val="en-AU"/>
              </w:rPr>
            </w:pPr>
            <w:r w:rsidRPr="00EE0EEB">
              <w:rPr>
                <w:b/>
                <w:lang w:val="en-AU"/>
              </w:rPr>
              <w:t>Drug:</w:t>
            </w:r>
            <w:r w:rsidRPr="00EE0EEB">
              <w:rPr>
                <w:lang w:val="en-AU"/>
              </w:rPr>
              <w:t xml:space="preserve"> SOC (current practice)</w:t>
            </w:r>
          </w:p>
        </w:tc>
      </w:tr>
      <w:tr w:rsidR="0008002E" w:rsidRPr="00EE0EEB" w14:paraId="6EC7008C" w14:textId="77777777" w:rsidTr="00084F23">
        <w:trPr>
          <w:cantSplit/>
        </w:trPr>
        <w:tc>
          <w:tcPr>
            <w:tcW w:w="663" w:type="pct"/>
            <w:vAlign w:val="center"/>
          </w:tcPr>
          <w:p w14:paraId="11F4DA2A" w14:textId="77777777" w:rsidR="0008002E" w:rsidRPr="00EE0EEB" w:rsidRDefault="0008002E" w:rsidP="00E81465">
            <w:pPr>
              <w:pStyle w:val="TableText"/>
              <w:keepNext/>
              <w:rPr>
                <w:lang w:val="en-AU"/>
              </w:rPr>
            </w:pPr>
            <w:r w:rsidRPr="00EE0EEB">
              <w:rPr>
                <w:lang w:val="en-AU"/>
              </w:rPr>
              <w:t>Outcomes</w:t>
            </w:r>
          </w:p>
        </w:tc>
        <w:tc>
          <w:tcPr>
            <w:tcW w:w="4337" w:type="pct"/>
            <w:vAlign w:val="center"/>
          </w:tcPr>
          <w:p w14:paraId="79623321" w14:textId="77777777" w:rsidR="0008002E" w:rsidRPr="00EE0EEB" w:rsidRDefault="0008002E" w:rsidP="00E81465">
            <w:pPr>
              <w:pStyle w:val="TableText"/>
              <w:keepNext/>
              <w:rPr>
                <w:lang w:val="en-AU"/>
              </w:rPr>
            </w:pPr>
            <w:r w:rsidRPr="00EE0EEB">
              <w:rPr>
                <w:b/>
                <w:lang w:val="en-AU"/>
              </w:rPr>
              <w:t>Tests:</w:t>
            </w:r>
            <w:r w:rsidRPr="00EE0EEB">
              <w:rPr>
                <w:lang w:val="en-AU"/>
              </w:rPr>
              <w:tab/>
              <w:t>Concordance between Aβ-PET and the evidentiary standard</w:t>
            </w:r>
          </w:p>
          <w:p w14:paraId="475069D5" w14:textId="77777777" w:rsidR="0008002E" w:rsidRPr="00EE0EEB" w:rsidRDefault="0008002E" w:rsidP="00E81465">
            <w:pPr>
              <w:pStyle w:val="TableText"/>
              <w:keepNext/>
              <w:rPr>
                <w:lang w:val="en-AU"/>
              </w:rPr>
            </w:pPr>
            <w:r w:rsidRPr="00EE0EEB">
              <w:rPr>
                <w:lang w:val="en-AU"/>
              </w:rPr>
              <w:tab/>
              <w:t>Concordance between CSF AD biomarker testing and the evidentiary standard</w:t>
            </w:r>
          </w:p>
          <w:p w14:paraId="72F8D922" w14:textId="77777777" w:rsidR="0008002E" w:rsidRPr="00EE0EEB" w:rsidRDefault="0008002E" w:rsidP="00E81465">
            <w:pPr>
              <w:pStyle w:val="TableText"/>
              <w:keepNext/>
              <w:rPr>
                <w:lang w:val="en-AU"/>
              </w:rPr>
            </w:pPr>
            <w:r w:rsidRPr="00EE0EEB">
              <w:rPr>
                <w:lang w:val="en-AU"/>
              </w:rPr>
              <w:tab/>
              <w:t>Concordance between CSF AD biomarker testing and Aβ-PET</w:t>
            </w:r>
          </w:p>
          <w:p w14:paraId="4FAED580" w14:textId="77777777" w:rsidR="0008002E" w:rsidRPr="00EE0EEB" w:rsidRDefault="0008002E" w:rsidP="00E81465">
            <w:pPr>
              <w:pStyle w:val="TableText"/>
              <w:keepNext/>
              <w:rPr>
                <w:lang w:val="en-AU"/>
              </w:rPr>
            </w:pPr>
            <w:r w:rsidRPr="00EE0EEB">
              <w:rPr>
                <w:lang w:val="en-AU"/>
              </w:rPr>
              <w:tab/>
              <w:t>Safety associated with testing</w:t>
            </w:r>
          </w:p>
          <w:p w14:paraId="01417BED" w14:textId="77777777" w:rsidR="0008002E" w:rsidRPr="00EE0EEB" w:rsidRDefault="0008002E" w:rsidP="00DD02B1">
            <w:pPr>
              <w:pStyle w:val="TableText"/>
              <w:keepNext/>
              <w:numPr>
                <w:ilvl w:val="0"/>
                <w:numId w:val="20"/>
              </w:numPr>
              <w:ind w:left="1174"/>
              <w:rPr>
                <w:lang w:val="en-AU"/>
              </w:rPr>
            </w:pPr>
            <w:r w:rsidRPr="00EE0EEB">
              <w:rPr>
                <w:lang w:val="en-AU"/>
              </w:rPr>
              <w:t>safety of exposure to radiation during Aβ-PET</w:t>
            </w:r>
          </w:p>
          <w:p w14:paraId="483BE034" w14:textId="77777777" w:rsidR="0008002E" w:rsidRPr="00EE0EEB" w:rsidRDefault="0008002E" w:rsidP="00DD02B1">
            <w:pPr>
              <w:pStyle w:val="TableText"/>
              <w:keepNext/>
              <w:numPr>
                <w:ilvl w:val="0"/>
                <w:numId w:val="20"/>
              </w:numPr>
              <w:ind w:left="1174"/>
              <w:rPr>
                <w:lang w:val="en-AU"/>
              </w:rPr>
            </w:pPr>
            <w:r w:rsidRPr="00EE0EEB">
              <w:rPr>
                <w:lang w:val="en-AU"/>
              </w:rPr>
              <w:t>AEs related to lumbar puncture for CSF testing</w:t>
            </w:r>
          </w:p>
          <w:p w14:paraId="3C151212" w14:textId="77777777" w:rsidR="0008002E" w:rsidRPr="00EE0EEB" w:rsidRDefault="0008002E" w:rsidP="00E81465">
            <w:pPr>
              <w:pStyle w:val="TableText"/>
              <w:keepNext/>
              <w:rPr>
                <w:lang w:val="en-AU"/>
              </w:rPr>
            </w:pPr>
            <w:r w:rsidRPr="00EE0EEB">
              <w:rPr>
                <w:lang w:val="en-AU"/>
              </w:rPr>
              <w:tab/>
              <w:t>Change in management</w:t>
            </w:r>
          </w:p>
          <w:p w14:paraId="0F63000E" w14:textId="77777777" w:rsidR="0008002E" w:rsidRPr="00EE0EEB" w:rsidRDefault="0008002E" w:rsidP="00E81465">
            <w:pPr>
              <w:pStyle w:val="TableText"/>
              <w:keepNext/>
              <w:rPr>
                <w:b/>
                <w:bCs/>
                <w:lang w:val="en-AU"/>
              </w:rPr>
            </w:pPr>
            <w:r w:rsidRPr="00EE0EEB">
              <w:rPr>
                <w:b/>
                <w:lang w:val="en-AU"/>
              </w:rPr>
              <w:t>Clinical effectiveness of the intervention</w:t>
            </w:r>
          </w:p>
          <w:p w14:paraId="6405BF73" w14:textId="77777777" w:rsidR="0008002E" w:rsidRPr="00EE0EEB" w:rsidRDefault="0008002E" w:rsidP="00E81465">
            <w:pPr>
              <w:pStyle w:val="TableText"/>
              <w:keepNext/>
              <w:rPr>
                <w:lang w:val="en-AU"/>
              </w:rPr>
            </w:pPr>
            <w:r w:rsidRPr="00EE0EEB">
              <w:rPr>
                <w:lang w:val="en-AU"/>
              </w:rPr>
              <w:tab/>
              <w:t>Cognitive and functional evaluation, assessed using the following scales:</w:t>
            </w:r>
          </w:p>
          <w:p w14:paraId="4B8E789E" w14:textId="77777777" w:rsidR="0008002E" w:rsidRPr="00EE0EEB" w:rsidRDefault="0008002E" w:rsidP="00DD02B1">
            <w:pPr>
              <w:pStyle w:val="TableText"/>
              <w:keepNext/>
              <w:numPr>
                <w:ilvl w:val="0"/>
                <w:numId w:val="20"/>
              </w:numPr>
              <w:ind w:left="1174"/>
              <w:rPr>
                <w:lang w:val="en-AU"/>
              </w:rPr>
            </w:pPr>
            <w:r w:rsidRPr="00EE0EEB">
              <w:rPr>
                <w:lang w:val="en-AU"/>
              </w:rPr>
              <w:t>iADRS, CDR-SB, ADAS-Cog13, CDR-G, ADCS-iADL, MMSE</w:t>
            </w:r>
          </w:p>
          <w:p w14:paraId="33B61712" w14:textId="77777777" w:rsidR="0008002E" w:rsidRPr="00EE0EEB" w:rsidRDefault="0008002E" w:rsidP="00E81465">
            <w:pPr>
              <w:pStyle w:val="TableText"/>
              <w:keepNext/>
              <w:rPr>
                <w:lang w:val="en-AU"/>
              </w:rPr>
            </w:pPr>
            <w:r w:rsidRPr="00EE0EEB">
              <w:rPr>
                <w:lang w:val="en-AU"/>
              </w:rPr>
              <w:tab/>
              <w:t xml:space="preserve">Amyloid Clearance </w:t>
            </w:r>
          </w:p>
          <w:p w14:paraId="6B9FE6ED" w14:textId="77777777" w:rsidR="0008002E" w:rsidRPr="00EE0EEB" w:rsidRDefault="0008002E" w:rsidP="00E81465">
            <w:pPr>
              <w:pStyle w:val="TableText"/>
              <w:keepNext/>
              <w:rPr>
                <w:b/>
                <w:bCs/>
                <w:lang w:val="en-AU"/>
              </w:rPr>
            </w:pPr>
            <w:r w:rsidRPr="00EE0EEB">
              <w:rPr>
                <w:b/>
                <w:lang w:val="en-AU"/>
              </w:rPr>
              <w:t>Safety of the intervention:</w:t>
            </w:r>
          </w:p>
          <w:p w14:paraId="706B06AF" w14:textId="77777777" w:rsidR="0008002E" w:rsidRPr="00EE0EEB" w:rsidRDefault="0008002E" w:rsidP="00E81465">
            <w:pPr>
              <w:pStyle w:val="TableText"/>
              <w:keepNext/>
              <w:rPr>
                <w:lang w:val="en-AU"/>
              </w:rPr>
            </w:pPr>
            <w:r w:rsidRPr="00EE0EEB">
              <w:rPr>
                <w:lang w:val="en-AU"/>
              </w:rPr>
              <w:tab/>
              <w:t>Treatment emergent adverse events:</w:t>
            </w:r>
          </w:p>
          <w:p w14:paraId="54EC59B0" w14:textId="77777777" w:rsidR="0008002E" w:rsidRPr="00EE0EEB" w:rsidRDefault="0008002E" w:rsidP="00E81465">
            <w:pPr>
              <w:pStyle w:val="TableText"/>
              <w:keepNext/>
              <w:rPr>
                <w:lang w:val="en-AU"/>
              </w:rPr>
            </w:pPr>
            <w:r w:rsidRPr="00EE0EEB">
              <w:rPr>
                <w:lang w:val="en-AU"/>
              </w:rPr>
              <w:tab/>
              <w:t>Treatment-related ARIA-E and ARIA-H events.</w:t>
            </w:r>
          </w:p>
          <w:p w14:paraId="0A39A75B" w14:textId="77777777" w:rsidR="0008002E" w:rsidRPr="00EE0EEB" w:rsidRDefault="0008002E" w:rsidP="00E81465">
            <w:pPr>
              <w:pStyle w:val="TableText"/>
              <w:keepNext/>
              <w:rPr>
                <w:b/>
                <w:bCs/>
                <w:lang w:val="en-AU"/>
              </w:rPr>
            </w:pPr>
            <w:r w:rsidRPr="00EE0EEB">
              <w:rPr>
                <w:b/>
                <w:lang w:val="en-AU"/>
              </w:rPr>
              <w:t>Healthcare system:</w:t>
            </w:r>
          </w:p>
          <w:p w14:paraId="60D60F8B" w14:textId="77777777" w:rsidR="0008002E" w:rsidRPr="00EE0EEB" w:rsidRDefault="0008002E" w:rsidP="00E81465">
            <w:pPr>
              <w:pStyle w:val="TableText"/>
              <w:keepNext/>
              <w:rPr>
                <w:lang w:val="en-AU"/>
              </w:rPr>
            </w:pPr>
            <w:r w:rsidRPr="00EE0EEB">
              <w:rPr>
                <w:lang w:val="en-AU"/>
              </w:rPr>
              <w:tab/>
              <w:t>Utilisation</w:t>
            </w:r>
          </w:p>
          <w:p w14:paraId="0F1F3E43" w14:textId="77777777" w:rsidR="0008002E" w:rsidRPr="00EE0EEB" w:rsidRDefault="0008002E" w:rsidP="00E81465">
            <w:pPr>
              <w:pStyle w:val="TableText"/>
              <w:keepNext/>
              <w:rPr>
                <w:lang w:val="en-AU"/>
              </w:rPr>
            </w:pPr>
            <w:r w:rsidRPr="00EE0EEB">
              <w:rPr>
                <w:lang w:val="en-AU"/>
              </w:rPr>
              <w:tab/>
              <w:t>Healthcare costs</w:t>
            </w:r>
          </w:p>
          <w:p w14:paraId="3CA43FFF" w14:textId="77777777" w:rsidR="0008002E" w:rsidRPr="00EE0EEB" w:rsidRDefault="0008002E" w:rsidP="00E81465">
            <w:pPr>
              <w:pStyle w:val="TableText"/>
              <w:keepNext/>
              <w:rPr>
                <w:lang w:val="en-AU"/>
              </w:rPr>
            </w:pPr>
            <w:r w:rsidRPr="00EE0EEB">
              <w:rPr>
                <w:lang w:val="en-AU"/>
              </w:rPr>
              <w:tab/>
              <w:t>Cost effectiveness analysis between Aβ-PET and CSF AD biomarker immunoassay</w:t>
            </w:r>
          </w:p>
          <w:p w14:paraId="0437E132" w14:textId="77777777" w:rsidR="0008002E" w:rsidRPr="00EE0EEB" w:rsidRDefault="0008002E" w:rsidP="00E81465">
            <w:pPr>
              <w:pStyle w:val="TableText"/>
              <w:keepNext/>
              <w:rPr>
                <w:lang w:val="en-AU"/>
              </w:rPr>
            </w:pPr>
            <w:r w:rsidRPr="00EE0EEB">
              <w:rPr>
                <w:lang w:val="en-AU"/>
              </w:rPr>
              <w:tab/>
              <w:t>Total cost to MBS and PBS</w:t>
            </w:r>
          </w:p>
        </w:tc>
      </w:tr>
      <w:tr w:rsidR="0008002E" w:rsidRPr="00EE0EEB" w14:paraId="5FEDC522" w14:textId="77777777" w:rsidTr="00084F23">
        <w:trPr>
          <w:cantSplit/>
        </w:trPr>
        <w:tc>
          <w:tcPr>
            <w:tcW w:w="663" w:type="pct"/>
            <w:vAlign w:val="center"/>
          </w:tcPr>
          <w:p w14:paraId="636CDC57" w14:textId="77777777" w:rsidR="0008002E" w:rsidRPr="00EE0EEB" w:rsidRDefault="0008002E" w:rsidP="00E81465">
            <w:pPr>
              <w:pStyle w:val="TableText"/>
              <w:keepNext/>
              <w:rPr>
                <w:lang w:val="en-AU"/>
              </w:rPr>
            </w:pPr>
            <w:r w:rsidRPr="00EE0EEB">
              <w:rPr>
                <w:lang w:val="en-AU"/>
              </w:rPr>
              <w:t>Clinical claim</w:t>
            </w:r>
          </w:p>
        </w:tc>
        <w:tc>
          <w:tcPr>
            <w:tcW w:w="4337" w:type="pct"/>
            <w:vAlign w:val="center"/>
          </w:tcPr>
          <w:p w14:paraId="624DDB95" w14:textId="77777777" w:rsidR="0008002E" w:rsidRPr="00EE0EEB" w:rsidRDefault="0008002E" w:rsidP="00E81465">
            <w:pPr>
              <w:pStyle w:val="TableText"/>
              <w:keepNext/>
              <w:rPr>
                <w:lang w:val="en-AU"/>
              </w:rPr>
            </w:pPr>
            <w:r w:rsidRPr="00EE0EEB">
              <w:rPr>
                <w:lang w:val="en-AU"/>
              </w:rPr>
              <w:t>In patients with early symptomatic AD, amyloid testing (Aβ-PET or CSF AD protein biomarker testing) followed by treatment with donanemab + SOC in patients with evidence of Aβ pathology is superior to no amyloid testing and treatment with SOC in terms of effectiveness and has an inferior but manageable safety profile.</w:t>
            </w:r>
          </w:p>
        </w:tc>
      </w:tr>
    </w:tbl>
    <w:p w14:paraId="3FB099AB" w14:textId="77777777" w:rsidR="0008002E" w:rsidRPr="00EE0EEB" w:rsidRDefault="0008002E" w:rsidP="0008002E">
      <w:pPr>
        <w:pStyle w:val="TableFigureFooter"/>
        <w:keepNext/>
      </w:pPr>
      <w:r w:rsidRPr="00EE0EEB">
        <w:t>Source: Table 1-1, p16 of the submission.</w:t>
      </w:r>
    </w:p>
    <w:p w14:paraId="750419AC" w14:textId="3B74DBD5" w:rsidR="0008002E" w:rsidRPr="00EE0EEB" w:rsidRDefault="0008002E" w:rsidP="0008002E">
      <w:pPr>
        <w:pStyle w:val="TableFooter"/>
      </w:pPr>
      <w:r w:rsidRPr="00EE0EEB">
        <w:t>Aβ=amyloid beta; Aβ-PET=amyloid beta positron emission tomography; AD=Alzheimer</w:t>
      </w:r>
      <w:r w:rsidR="00690736">
        <w:t>’s</w:t>
      </w:r>
      <w:r w:rsidRPr="00EE0EEB">
        <w:t xml:space="preserve"> disease; ADCS-iADL=Alzheimer</w:t>
      </w:r>
      <w:r w:rsidR="00EC6F4D">
        <w:t>’s</w:t>
      </w:r>
      <w:r w:rsidRPr="00EE0EEB">
        <w:t xml:space="preserve"> Disease Cooperative Study - Activities of Daily Living for Mild Cognitive Impairment; ADAS-Cog13=Alzheimer</w:t>
      </w:r>
      <w:r w:rsidR="00EC6F4D">
        <w:t>’s</w:t>
      </w:r>
      <w:r w:rsidRPr="00EE0EEB">
        <w:t xml:space="preserve"> Disease Assessment – Cognitive subscale; AE=adverse events; ARIA-E=amyloid-related imaging abnormality-(o) edema; ARIA-H=amyloid-related imaging abnormality haemorrhage; CDR-SB=Clinical Dementia Ratings Scale – Sum of Boxes; CDR-G=Clinical Dementia Ratings Scale – Global Score; CSF=cerebrospinal fluid; iADRS=Integrated Alzheimer</w:t>
      </w:r>
      <w:r w:rsidR="00EC6F4D">
        <w:t>’s</w:t>
      </w:r>
      <w:r w:rsidRPr="00EE0EEB">
        <w:t xml:space="preserve"> Disease Rating Scale; MBS=Medicare Benefits Schedule; MCI=mild cognitive impairment; MMSE=Mini-Mental State Examination; PBS=Pharmaceutical Benefits Scheme; SOC=standard of care (encompasses non-pharmaceutical interventions (including encouragement of physical activity, social engagement, maintenance of cognitive stimulation and good nutrition) for MCI due to AD and mild AD patients, and for patients with mild AD may also include treatment with symptomatic treatments including acetylcholinesterase inhibitors (AChEIs).</w:t>
      </w:r>
    </w:p>
    <w:p w14:paraId="45EF1076" w14:textId="77777777" w:rsidR="0008002E" w:rsidRPr="00EE0EEB" w:rsidRDefault="0008002E" w:rsidP="00DD02B1">
      <w:pPr>
        <w:pStyle w:val="PBACESHeading1"/>
        <w:numPr>
          <w:ilvl w:val="0"/>
          <w:numId w:val="23"/>
        </w:numPr>
        <w:ind w:left="709" w:hanging="709"/>
      </w:pPr>
      <w:r w:rsidRPr="00EE0EEB">
        <w:t>Background</w:t>
      </w:r>
    </w:p>
    <w:p w14:paraId="7F576344" w14:textId="77777777" w:rsidR="0008002E" w:rsidRPr="00EE0EEB" w:rsidRDefault="0008002E" w:rsidP="0008002E">
      <w:pPr>
        <w:pStyle w:val="4-SubsectionHeading"/>
      </w:pPr>
      <w:r w:rsidRPr="00EE0EEB">
        <w:t>Registration status</w:t>
      </w:r>
    </w:p>
    <w:p w14:paraId="56883731" w14:textId="77777777" w:rsidR="0008002E" w:rsidRPr="00630A71" w:rsidRDefault="0008002E" w:rsidP="00DD02B1">
      <w:pPr>
        <w:pStyle w:val="3-BodyText"/>
        <w:numPr>
          <w:ilvl w:val="1"/>
          <w:numId w:val="23"/>
        </w:numPr>
        <w:spacing w:before="60" w:after="60"/>
        <w:ind w:left="709" w:hanging="709"/>
      </w:pPr>
      <w:r w:rsidRPr="00630A71">
        <w:t>The submission was made under the TGA/PBAC Parallel Process. The Delegate’s Overview and Advisory Committee on Medicines (ACM) outcome were provided during evaluation</w:t>
      </w:r>
      <w:r>
        <w:t xml:space="preserve"> and donanemab was registered on the ARTG on 21 May 2025 for: </w:t>
      </w:r>
    </w:p>
    <w:p w14:paraId="42BA26A5" w14:textId="5CAA9273" w:rsidR="0008002E" w:rsidRDefault="0008002E" w:rsidP="0008002E">
      <w:pPr>
        <w:pStyle w:val="ListParagraph"/>
        <w:numPr>
          <w:ilvl w:val="0"/>
          <w:numId w:val="0"/>
        </w:numPr>
        <w:ind w:left="720"/>
      </w:pPr>
      <w:r>
        <w:lastRenderedPageBreak/>
        <w:t>“T</w:t>
      </w:r>
      <w:r w:rsidRPr="00630A71">
        <w:t>he treatment of patients with MCI due to AD and mild Alzheimer</w:t>
      </w:r>
      <w:r w:rsidR="00DB015A">
        <w:t>’s</w:t>
      </w:r>
      <w:r w:rsidRPr="00630A71">
        <w:t xml:space="preserve"> dementia (early symptomatic AD) that are apolipoprotein E ԑ4 (</w:t>
      </w:r>
      <w:r w:rsidRPr="00D04CCD">
        <w:rPr>
          <w:i/>
          <w:iCs/>
        </w:rPr>
        <w:t>APOE4</w:t>
      </w:r>
      <w:r w:rsidRPr="00630A71">
        <w:t>)</w:t>
      </w:r>
      <w:r w:rsidRPr="00630A71">
        <w:rPr>
          <w:rStyle w:val="FootnoteReference"/>
        </w:rPr>
        <w:footnoteReference w:id="2"/>
      </w:r>
      <w:r w:rsidRPr="00630A71">
        <w:t xml:space="preserve"> heterozygotes or non-carriers.</w:t>
      </w:r>
      <w:r>
        <w:t xml:space="preserve"> Beta amyloid evidence consistent with AD should be confirmed using a validated test prior to initiating treatment.”</w:t>
      </w:r>
      <w:r w:rsidRPr="00630A71">
        <w:t xml:space="preserve"> </w:t>
      </w:r>
    </w:p>
    <w:p w14:paraId="654B7210" w14:textId="4D3CDC01" w:rsidR="00901AE8" w:rsidRPr="00510EAC" w:rsidRDefault="00510EAC" w:rsidP="00901AE8">
      <w:pPr>
        <w:pStyle w:val="3-BodyText"/>
        <w:numPr>
          <w:ilvl w:val="1"/>
          <w:numId w:val="23"/>
        </w:numPr>
        <w:spacing w:before="60" w:after="60"/>
        <w:ind w:left="709" w:hanging="709"/>
      </w:pPr>
      <w:r>
        <w:t>The PBAC noted that</w:t>
      </w:r>
      <w:r w:rsidR="003640EE">
        <w:t xml:space="preserve"> the</w:t>
      </w:r>
      <w:r>
        <w:t xml:space="preserve"> </w:t>
      </w:r>
      <w:r w:rsidR="007416E1" w:rsidRPr="007416E1">
        <w:t>ACM advised that donanemab was associated with a negative risk-benefit balance, but the TGA Delegate concluded that benefit-risk balance is favourable in a small, tightly circumscribed population</w:t>
      </w:r>
      <w:r w:rsidR="00EC0589">
        <w:t>.</w:t>
      </w:r>
      <w:r w:rsidR="00156E71">
        <w:rPr>
          <w:rStyle w:val="FootnoteReference"/>
        </w:rPr>
        <w:footnoteReference w:id="3"/>
      </w:r>
      <w:r w:rsidR="007416E1">
        <w:t xml:space="preserve"> </w:t>
      </w:r>
    </w:p>
    <w:p w14:paraId="7A696B98" w14:textId="2ADBEC21" w:rsidR="0008002E" w:rsidRPr="00630A71" w:rsidRDefault="0008002E" w:rsidP="00DD02B1">
      <w:pPr>
        <w:pStyle w:val="3-BodyText"/>
        <w:numPr>
          <w:ilvl w:val="1"/>
          <w:numId w:val="23"/>
        </w:numPr>
        <w:spacing w:before="60" w:after="60"/>
        <w:ind w:left="709" w:hanging="709"/>
      </w:pPr>
      <w:r w:rsidRPr="00F30F48">
        <w:rPr>
          <w:i/>
          <w:iCs/>
        </w:rPr>
        <w:t>APOE4</w:t>
      </w:r>
      <w:r w:rsidRPr="00630A71">
        <w:t xml:space="preserve"> homozygotes are excluded from the proposed TGA indication and testing for </w:t>
      </w:r>
      <w:r w:rsidRPr="00D04CCD">
        <w:rPr>
          <w:i/>
          <w:iCs/>
        </w:rPr>
        <w:t>APOE4</w:t>
      </w:r>
      <w:r w:rsidRPr="00630A71">
        <w:t xml:space="preserve"> carrier status is required prior to initiation of treatment. </w:t>
      </w:r>
    </w:p>
    <w:p w14:paraId="39519663" w14:textId="688CB735" w:rsidR="0008002E" w:rsidRPr="00630A71" w:rsidRDefault="0008002E" w:rsidP="00DD02B1">
      <w:pPr>
        <w:pStyle w:val="3-BodyText"/>
        <w:numPr>
          <w:ilvl w:val="1"/>
          <w:numId w:val="23"/>
        </w:numPr>
        <w:spacing w:before="60" w:after="60"/>
        <w:ind w:left="709" w:hanging="709"/>
      </w:pPr>
      <w:r w:rsidRPr="00630A71">
        <w:t>Additional contraindications to donanemab in</w:t>
      </w:r>
      <w:r>
        <w:t xml:space="preserve">cluded </w:t>
      </w:r>
      <w:r w:rsidRPr="00630A71">
        <w:t xml:space="preserve">in the PI include </w:t>
      </w:r>
      <w:r>
        <w:t>baseline</w:t>
      </w:r>
      <w:r w:rsidRPr="00630A71">
        <w:t xml:space="preserve"> </w:t>
      </w:r>
      <w:r>
        <w:t xml:space="preserve">MRI </w:t>
      </w:r>
      <w:r w:rsidRPr="00630A71">
        <w:t>findings of intracerebral haemorrhage greater than 1 cm, more than 2 microhaemorrhages, superficial siderosis or vasogenic oedema (amyloid related imaging abnormalities - oedema [ARIA-E]) suggestive of cerebral amyloid angiopathy (CAA)</w:t>
      </w:r>
      <w:r>
        <w:t>, severe white matter disease and any finding that could prevent a satisfactory MRI evaluation for safety monitoring</w:t>
      </w:r>
      <w:r w:rsidRPr="00630A71">
        <w:t>.</w:t>
      </w:r>
    </w:p>
    <w:p w14:paraId="0A032AA9" w14:textId="77777777" w:rsidR="0008002E" w:rsidRPr="00630A71" w:rsidRDefault="0008002E" w:rsidP="00DD02B1">
      <w:pPr>
        <w:pStyle w:val="3-BodyText"/>
        <w:numPr>
          <w:ilvl w:val="1"/>
          <w:numId w:val="23"/>
        </w:numPr>
        <w:spacing w:before="60" w:after="60"/>
        <w:ind w:left="709" w:hanging="709"/>
      </w:pPr>
      <w:r w:rsidRPr="00630A71">
        <w:t>Treatment with donanemab should be initiated by a physician experienced in the diagnosis and treatment of AD and treatment should be administered in specialised centres under the supervision of a multidisciplinary team trained in the detection, monitoring and management of ARIAs and experienced in detecting and managing infusion related reactions.</w:t>
      </w:r>
    </w:p>
    <w:p w14:paraId="26493A36" w14:textId="77777777" w:rsidR="0008002E" w:rsidRPr="00084F23" w:rsidRDefault="0008002E" w:rsidP="00DD02B1">
      <w:pPr>
        <w:pStyle w:val="3-BodyText"/>
        <w:numPr>
          <w:ilvl w:val="1"/>
          <w:numId w:val="23"/>
        </w:numPr>
        <w:spacing w:before="60" w:after="60"/>
        <w:ind w:left="709" w:hanging="709"/>
      </w:pPr>
      <w:r w:rsidRPr="00084F23">
        <w:t>Donanemab has been approved overseas by five regulatory bodies including the United States (US) Food and Drugs Administration (FDA) and the United Kingdom (UK) Medicines and Healthcare products Regulatory Agency (MHRA).</w:t>
      </w:r>
    </w:p>
    <w:p w14:paraId="624AE81B" w14:textId="2D209057" w:rsidR="0008002E" w:rsidRPr="00084F23" w:rsidRDefault="0008002E" w:rsidP="00DD02B1">
      <w:pPr>
        <w:pStyle w:val="3-BodyText"/>
        <w:numPr>
          <w:ilvl w:val="1"/>
          <w:numId w:val="23"/>
        </w:numPr>
        <w:spacing w:before="60" w:after="60"/>
        <w:ind w:left="709" w:hanging="709"/>
      </w:pPr>
      <w:r w:rsidRPr="00084F23">
        <w:rPr>
          <w:rFonts w:cstheme="minorHAnsi"/>
        </w:rPr>
        <w:t xml:space="preserve">On 28 March 2025, the </w:t>
      </w:r>
      <w:r w:rsidR="00E85E98" w:rsidRPr="00084F23">
        <w:rPr>
          <w:rFonts w:cstheme="minorHAnsi"/>
        </w:rPr>
        <w:t>European Medicines Agency (</w:t>
      </w:r>
      <w:r w:rsidRPr="00084F23">
        <w:rPr>
          <w:rFonts w:cstheme="minorHAnsi"/>
        </w:rPr>
        <w:t>EMA</w:t>
      </w:r>
      <w:r w:rsidR="00E85E98" w:rsidRPr="00084F23">
        <w:rPr>
          <w:rFonts w:cstheme="minorHAnsi"/>
        </w:rPr>
        <w:t>)</w:t>
      </w:r>
      <w:r w:rsidRPr="00084F23">
        <w:rPr>
          <w:rFonts w:cstheme="minorHAnsi"/>
        </w:rPr>
        <w:t xml:space="preserve"> refused marketing authorisation for donanemab</w:t>
      </w:r>
      <w:r w:rsidRPr="00084F23">
        <w:rPr>
          <w:rStyle w:val="FootnoteReference"/>
          <w:rFonts w:cstheme="minorHAnsi"/>
        </w:rPr>
        <w:footnoteReference w:id="4"/>
      </w:r>
      <w:r w:rsidRPr="00084F23">
        <w:rPr>
          <w:rFonts w:cstheme="minorHAnsi"/>
        </w:rPr>
        <w:t xml:space="preserve">. The </w:t>
      </w:r>
      <w:r w:rsidR="00E85E98" w:rsidRPr="00084F23">
        <w:rPr>
          <w:rFonts w:cstheme="minorHAnsi"/>
        </w:rPr>
        <w:t xml:space="preserve">EMA </w:t>
      </w:r>
      <w:r w:rsidRPr="00084F23">
        <w:rPr>
          <w:rFonts w:cstheme="minorHAnsi"/>
        </w:rPr>
        <w:t xml:space="preserve">noted that the benefits of donanemab were not large enough to outweigh the risks of potentially fatal events due to ARIA, even in the small group of people who do not carry copies of </w:t>
      </w:r>
      <w:r w:rsidRPr="00084F23">
        <w:rPr>
          <w:rFonts w:cstheme="minorHAnsi"/>
          <w:i/>
          <w:iCs/>
        </w:rPr>
        <w:t>APOE4</w:t>
      </w:r>
      <w:r w:rsidRPr="00084F23">
        <w:rPr>
          <w:rFonts w:cstheme="minorHAnsi"/>
        </w:rPr>
        <w:t xml:space="preserve"> (non-carriers). The sponsor has requested a re-examination of this decision</w:t>
      </w:r>
      <w:r w:rsidR="00BB7993" w:rsidRPr="00084F23">
        <w:rPr>
          <w:rFonts w:cstheme="minorHAnsi"/>
        </w:rPr>
        <w:t>, which was underway</w:t>
      </w:r>
      <w:r w:rsidR="00737D0F" w:rsidRPr="00084F23">
        <w:rPr>
          <w:rFonts w:cstheme="minorHAnsi"/>
        </w:rPr>
        <w:t xml:space="preserve"> at the time of PBAC consideration</w:t>
      </w:r>
      <w:r w:rsidRPr="00084F23">
        <w:rPr>
          <w:rFonts w:cstheme="minorHAnsi"/>
        </w:rPr>
        <w:t xml:space="preserve">. </w:t>
      </w:r>
    </w:p>
    <w:p w14:paraId="7B0F8DD4" w14:textId="7839E37F" w:rsidR="009E51BB" w:rsidRPr="00084F23" w:rsidRDefault="009E51BB" w:rsidP="009E51BB">
      <w:pPr>
        <w:pStyle w:val="3-BodyText"/>
        <w:numPr>
          <w:ilvl w:val="0"/>
          <w:numId w:val="0"/>
        </w:numPr>
        <w:spacing w:before="60" w:after="60"/>
        <w:ind w:left="709"/>
        <w:rPr>
          <w:i/>
          <w:iCs/>
        </w:rPr>
      </w:pPr>
      <w:r w:rsidRPr="00084F23">
        <w:rPr>
          <w:rFonts w:cstheme="minorHAnsi"/>
          <w:i/>
          <w:iCs/>
        </w:rPr>
        <w:t>For more detail on PBAC’s view, see section 7 PBAC outcome.</w:t>
      </w:r>
    </w:p>
    <w:p w14:paraId="6EB74061" w14:textId="77777777" w:rsidR="0008002E" w:rsidRPr="00084F23" w:rsidRDefault="0008002E" w:rsidP="00DD02B1">
      <w:pPr>
        <w:pStyle w:val="PBACESHeading1"/>
        <w:numPr>
          <w:ilvl w:val="0"/>
          <w:numId w:val="23"/>
        </w:numPr>
        <w:ind w:left="709" w:hanging="709"/>
      </w:pPr>
      <w:r w:rsidRPr="00084F23">
        <w:t xml:space="preserve">Requested listing </w:t>
      </w:r>
    </w:p>
    <w:tbl>
      <w:tblPr>
        <w:tblStyle w:val="HTATableshaded"/>
        <w:tblW w:w="5000" w:type="pct"/>
        <w:tblLook w:val="04A0" w:firstRow="1" w:lastRow="0" w:firstColumn="1" w:lastColumn="0" w:noHBand="0" w:noVBand="1"/>
        <w:tblCaption w:val="Requested listing"/>
      </w:tblPr>
      <w:tblGrid>
        <w:gridCol w:w="2159"/>
        <w:gridCol w:w="2040"/>
        <w:gridCol w:w="957"/>
        <w:gridCol w:w="959"/>
        <w:gridCol w:w="719"/>
        <w:gridCol w:w="959"/>
        <w:gridCol w:w="1223"/>
      </w:tblGrid>
      <w:tr w:rsidR="0008002E" w:rsidRPr="00EE0EEB" w14:paraId="6E72A204" w14:textId="77777777" w:rsidTr="008C5EB3">
        <w:trPr>
          <w:cnfStyle w:val="100000000000" w:firstRow="1" w:lastRow="0" w:firstColumn="0" w:lastColumn="0" w:oddVBand="0" w:evenVBand="0" w:oddHBand="0" w:evenHBand="0" w:firstRowFirstColumn="0" w:firstRowLastColumn="0" w:lastRowFirstColumn="0" w:lastRowLastColumn="0"/>
        </w:trPr>
        <w:tc>
          <w:tcPr>
            <w:tcW w:w="1197" w:type="pct"/>
            <w:tcMar>
              <w:left w:w="20" w:type="dxa"/>
              <w:right w:w="20" w:type="dxa"/>
            </w:tcMar>
          </w:tcPr>
          <w:p w14:paraId="072DAAA6" w14:textId="77777777" w:rsidR="0008002E" w:rsidRPr="00EE0EEB" w:rsidRDefault="0008002E" w:rsidP="00E81465">
            <w:pPr>
              <w:pStyle w:val="TableText"/>
              <w:rPr>
                <w:b/>
                <w:bCs/>
              </w:rPr>
            </w:pPr>
            <w:r w:rsidRPr="00EE0EEB">
              <w:rPr>
                <w:b/>
              </w:rPr>
              <w:t>Name, restriction, manner of administration, form</w:t>
            </w:r>
          </w:p>
        </w:tc>
        <w:tc>
          <w:tcPr>
            <w:tcW w:w="1131" w:type="pct"/>
            <w:tcMar>
              <w:left w:w="20" w:type="dxa"/>
              <w:right w:w="20" w:type="dxa"/>
            </w:tcMar>
          </w:tcPr>
          <w:p w14:paraId="7DF85ADF" w14:textId="77777777" w:rsidR="0008002E" w:rsidRPr="00EE0EEB" w:rsidRDefault="0008002E" w:rsidP="00E81465">
            <w:pPr>
              <w:pStyle w:val="TableText"/>
              <w:rPr>
                <w:b/>
                <w:bCs/>
              </w:rPr>
            </w:pPr>
            <w:r w:rsidRPr="00EE0EEB">
              <w:rPr>
                <w:b/>
              </w:rPr>
              <w:t>Treatment phase</w:t>
            </w:r>
          </w:p>
        </w:tc>
        <w:tc>
          <w:tcPr>
            <w:tcW w:w="531" w:type="pct"/>
            <w:tcMar>
              <w:left w:w="20" w:type="dxa"/>
              <w:right w:w="20" w:type="dxa"/>
            </w:tcMar>
          </w:tcPr>
          <w:p w14:paraId="3BC32289" w14:textId="77777777" w:rsidR="0008002E" w:rsidRPr="00EE0EEB" w:rsidRDefault="0008002E" w:rsidP="00E81465">
            <w:pPr>
              <w:pStyle w:val="TableText"/>
              <w:rPr>
                <w:b/>
                <w:bCs/>
              </w:rPr>
            </w:pPr>
            <w:r w:rsidRPr="00EE0EEB">
              <w:rPr>
                <w:b/>
              </w:rPr>
              <w:t>Maximum quantity (packs)</w:t>
            </w:r>
          </w:p>
        </w:tc>
        <w:tc>
          <w:tcPr>
            <w:tcW w:w="532" w:type="pct"/>
            <w:tcMar>
              <w:left w:w="20" w:type="dxa"/>
              <w:right w:w="20" w:type="dxa"/>
            </w:tcMar>
          </w:tcPr>
          <w:p w14:paraId="4810AF9F" w14:textId="77777777" w:rsidR="0008002E" w:rsidRPr="00EE0EEB" w:rsidRDefault="0008002E" w:rsidP="00E81465">
            <w:pPr>
              <w:pStyle w:val="TableText"/>
              <w:rPr>
                <w:b/>
                <w:bCs/>
              </w:rPr>
            </w:pPr>
            <w:r w:rsidRPr="00EE0EEB">
              <w:rPr>
                <w:b/>
              </w:rPr>
              <w:t>Maximum quantity (units)</w:t>
            </w:r>
          </w:p>
        </w:tc>
        <w:tc>
          <w:tcPr>
            <w:tcW w:w="399" w:type="pct"/>
            <w:tcMar>
              <w:left w:w="20" w:type="dxa"/>
              <w:right w:w="20" w:type="dxa"/>
            </w:tcMar>
          </w:tcPr>
          <w:p w14:paraId="432E3609" w14:textId="77777777" w:rsidR="0008002E" w:rsidRPr="00A546A2" w:rsidRDefault="0008002E" w:rsidP="00E81465">
            <w:pPr>
              <w:pStyle w:val="TableText"/>
              <w:rPr>
                <w:b/>
                <w:bCs/>
              </w:rPr>
            </w:pPr>
            <w:r w:rsidRPr="00A546A2">
              <w:rPr>
                <w:b/>
              </w:rPr>
              <w:t>No. of repeats</w:t>
            </w:r>
          </w:p>
        </w:tc>
        <w:tc>
          <w:tcPr>
            <w:tcW w:w="532" w:type="pct"/>
            <w:tcMar>
              <w:left w:w="20" w:type="dxa"/>
              <w:right w:w="20" w:type="dxa"/>
            </w:tcMar>
          </w:tcPr>
          <w:p w14:paraId="5EDBD7DA" w14:textId="77777777" w:rsidR="0008002E" w:rsidRPr="00A546A2" w:rsidRDefault="0008002E" w:rsidP="00E81465">
            <w:pPr>
              <w:pStyle w:val="TableText"/>
              <w:rPr>
                <w:b/>
                <w:bCs/>
                <w:vertAlign w:val="superscript"/>
              </w:rPr>
            </w:pPr>
            <w:r w:rsidRPr="00A546A2">
              <w:rPr>
                <w:b/>
              </w:rPr>
              <w:t>DPMQ</w:t>
            </w:r>
          </w:p>
        </w:tc>
        <w:tc>
          <w:tcPr>
            <w:tcW w:w="678" w:type="pct"/>
            <w:tcMar>
              <w:left w:w="20" w:type="dxa"/>
              <w:right w:w="20" w:type="dxa"/>
            </w:tcMar>
          </w:tcPr>
          <w:p w14:paraId="32F4A535" w14:textId="77777777" w:rsidR="0008002E" w:rsidRPr="00EE0EEB" w:rsidRDefault="0008002E" w:rsidP="00E81465">
            <w:pPr>
              <w:pStyle w:val="TableText"/>
              <w:ind w:right="-185"/>
              <w:rPr>
                <w:b/>
                <w:bCs/>
              </w:rPr>
            </w:pPr>
            <w:r w:rsidRPr="00EE0EEB">
              <w:rPr>
                <w:b/>
              </w:rPr>
              <w:t xml:space="preserve">Proprietary </w:t>
            </w:r>
            <w:r>
              <w:rPr>
                <w:b/>
              </w:rPr>
              <w:br/>
            </w:r>
            <w:r w:rsidRPr="00EE0EEB">
              <w:rPr>
                <w:b/>
              </w:rPr>
              <w:t>name and manufacturer</w:t>
            </w:r>
          </w:p>
        </w:tc>
      </w:tr>
      <w:tr w:rsidR="0008002E" w:rsidRPr="00EE0EEB" w14:paraId="52B65657" w14:textId="77777777" w:rsidTr="008C5EB3">
        <w:trPr>
          <w:trHeight w:val="110"/>
        </w:trPr>
        <w:tc>
          <w:tcPr>
            <w:tcW w:w="1197" w:type="pct"/>
            <w:vMerge w:val="restart"/>
            <w:tcMar>
              <w:left w:w="20" w:type="dxa"/>
              <w:right w:w="20" w:type="dxa"/>
            </w:tcMar>
          </w:tcPr>
          <w:p w14:paraId="3EBE6365" w14:textId="77777777" w:rsidR="0008002E" w:rsidRPr="00EE0EEB" w:rsidRDefault="0008002E" w:rsidP="00E81465">
            <w:pPr>
              <w:pStyle w:val="TableText"/>
            </w:pPr>
            <w:r w:rsidRPr="00EE0EEB">
              <w:t>DONANEMAB, 350 mg / 20 mL (17.5 mg / mL), vial for intravenous infusion</w:t>
            </w:r>
          </w:p>
        </w:tc>
        <w:tc>
          <w:tcPr>
            <w:tcW w:w="1131" w:type="pct"/>
            <w:tcBorders>
              <w:left w:val="single" w:sz="4" w:space="0" w:color="auto"/>
              <w:bottom w:val="single" w:sz="4" w:space="0" w:color="auto"/>
              <w:right w:val="single" w:sz="4" w:space="0" w:color="auto"/>
            </w:tcBorders>
            <w:tcMar>
              <w:left w:w="20" w:type="dxa"/>
              <w:right w:w="20" w:type="dxa"/>
            </w:tcMar>
            <w:vAlign w:val="center"/>
          </w:tcPr>
          <w:p w14:paraId="28F801EB" w14:textId="77777777" w:rsidR="0008002E" w:rsidRPr="00EE0EEB" w:rsidRDefault="0008002E" w:rsidP="00E81465">
            <w:pPr>
              <w:pStyle w:val="TableText"/>
            </w:pPr>
            <w:r w:rsidRPr="00EE0EEB">
              <w:t>Initial</w:t>
            </w:r>
          </w:p>
        </w:tc>
        <w:tc>
          <w:tcPr>
            <w:tcW w:w="531" w:type="pct"/>
            <w:tcMar>
              <w:left w:w="20" w:type="dxa"/>
              <w:right w:w="20" w:type="dxa"/>
            </w:tcMar>
          </w:tcPr>
          <w:p w14:paraId="4D6E613F" w14:textId="77777777" w:rsidR="0008002E" w:rsidRPr="00EE0EEB" w:rsidRDefault="0008002E" w:rsidP="00E81465">
            <w:pPr>
              <w:pStyle w:val="TableText"/>
            </w:pPr>
            <w:r w:rsidRPr="00EE0EEB">
              <w:t>4</w:t>
            </w:r>
          </w:p>
        </w:tc>
        <w:tc>
          <w:tcPr>
            <w:tcW w:w="532" w:type="pct"/>
            <w:tcMar>
              <w:left w:w="20" w:type="dxa"/>
              <w:right w:w="20" w:type="dxa"/>
            </w:tcMar>
          </w:tcPr>
          <w:p w14:paraId="1E9595AA" w14:textId="77777777" w:rsidR="0008002E" w:rsidRPr="00EE0EEB" w:rsidRDefault="0008002E" w:rsidP="00E81465">
            <w:pPr>
              <w:pStyle w:val="TableText"/>
            </w:pPr>
            <w:r w:rsidRPr="00EE0EEB">
              <w:t>4</w:t>
            </w:r>
          </w:p>
        </w:tc>
        <w:tc>
          <w:tcPr>
            <w:tcW w:w="399" w:type="pct"/>
            <w:tcMar>
              <w:left w:w="20" w:type="dxa"/>
              <w:right w:w="20" w:type="dxa"/>
            </w:tcMar>
          </w:tcPr>
          <w:p w14:paraId="6B9B642F" w14:textId="77777777" w:rsidR="0008002E" w:rsidRPr="00EE0EEB" w:rsidRDefault="0008002E" w:rsidP="00E81465">
            <w:pPr>
              <w:pStyle w:val="TableText"/>
            </w:pPr>
            <w:r w:rsidRPr="00EE0EEB">
              <w:t>5</w:t>
            </w:r>
          </w:p>
        </w:tc>
        <w:tc>
          <w:tcPr>
            <w:tcW w:w="532" w:type="pct"/>
            <w:vMerge w:val="restart"/>
            <w:tcMar>
              <w:left w:w="20" w:type="dxa"/>
              <w:right w:w="20" w:type="dxa"/>
            </w:tcMar>
          </w:tcPr>
          <w:p w14:paraId="435F5F94" w14:textId="224A4FF6" w:rsidR="0008002E" w:rsidRPr="00EE0EEB" w:rsidRDefault="0008002E" w:rsidP="00E81465">
            <w:pPr>
              <w:pStyle w:val="TableText"/>
              <w:rPr>
                <w:vertAlign w:val="superscript"/>
              </w:rPr>
            </w:pPr>
            <w:r w:rsidRPr="00EE0EEB">
              <w:t xml:space="preserve">Public: </w:t>
            </w:r>
            <w:r w:rsidRPr="00A546A2">
              <w:t>$</w:t>
            </w:r>
            <w:r w:rsidR="00CD4EA9" w:rsidRPr="00CD4EA9">
              <w:rPr>
                <w:color w:val="000000"/>
                <w:spacing w:val="53"/>
                <w:shd w:val="solid" w:color="000000" w:fill="000000"/>
                <w:fitText w:val="330" w:id="-632121344"/>
                <w14:textFill>
                  <w14:solidFill>
                    <w14:srgbClr w14:val="000000">
                      <w14:alpha w14:val="100000"/>
                    </w14:srgbClr>
                  </w14:solidFill>
                </w14:textFill>
              </w:rPr>
              <w:t>|||</w:t>
            </w:r>
            <w:r w:rsidR="00CD4EA9" w:rsidRPr="00CD4EA9">
              <w:rPr>
                <w:color w:val="000000"/>
                <w:spacing w:val="1"/>
                <w:shd w:val="solid" w:color="000000" w:fill="000000"/>
                <w:fitText w:val="330" w:id="-632121344"/>
                <w14:textFill>
                  <w14:solidFill>
                    <w14:srgbClr w14:val="000000">
                      <w14:alpha w14:val="100000"/>
                    </w14:srgbClr>
                  </w14:solidFill>
                </w14:textFill>
              </w:rPr>
              <w:t>|</w:t>
            </w:r>
          </w:p>
          <w:p w14:paraId="3CE27806" w14:textId="772A51E6" w:rsidR="0008002E" w:rsidRPr="00EE0EEB" w:rsidRDefault="0008002E" w:rsidP="00E81465">
            <w:pPr>
              <w:pStyle w:val="TableText"/>
            </w:pPr>
            <w:r w:rsidRPr="00EE0EEB">
              <w:t>Private: $</w:t>
            </w:r>
            <w:r w:rsidR="00CD4EA9" w:rsidRPr="00CD4EA9">
              <w:rPr>
                <w:color w:val="000000"/>
                <w:spacing w:val="53"/>
                <w:shd w:val="solid" w:color="000000" w:fill="000000"/>
                <w:fitText w:val="330" w:id="-632121343"/>
                <w14:textFill>
                  <w14:solidFill>
                    <w14:srgbClr w14:val="000000">
                      <w14:alpha w14:val="100000"/>
                    </w14:srgbClr>
                  </w14:solidFill>
                </w14:textFill>
              </w:rPr>
              <w:t>|||</w:t>
            </w:r>
            <w:r w:rsidR="00CD4EA9" w:rsidRPr="00CD4EA9">
              <w:rPr>
                <w:color w:val="000000"/>
                <w:spacing w:val="1"/>
                <w:shd w:val="solid" w:color="000000" w:fill="000000"/>
                <w:fitText w:val="330" w:id="-632121343"/>
                <w14:textFill>
                  <w14:solidFill>
                    <w14:srgbClr w14:val="000000">
                      <w14:alpha w14:val="100000"/>
                    </w14:srgbClr>
                  </w14:solidFill>
                </w14:textFill>
              </w:rPr>
              <w:t>|</w:t>
            </w:r>
          </w:p>
        </w:tc>
        <w:tc>
          <w:tcPr>
            <w:tcW w:w="678" w:type="pct"/>
            <w:vMerge w:val="restart"/>
            <w:tcMar>
              <w:left w:w="20" w:type="dxa"/>
              <w:right w:w="20" w:type="dxa"/>
            </w:tcMar>
          </w:tcPr>
          <w:p w14:paraId="57234E0D" w14:textId="77777777" w:rsidR="0008002E" w:rsidRPr="00EE0EEB" w:rsidRDefault="0008002E" w:rsidP="00E81465">
            <w:pPr>
              <w:pStyle w:val="TableText"/>
            </w:pPr>
            <w:r w:rsidRPr="00EE0EEB">
              <w:t>KISUNLA</w:t>
            </w:r>
          </w:p>
          <w:p w14:paraId="00763AB1" w14:textId="77777777" w:rsidR="0008002E" w:rsidRPr="00EE0EEB" w:rsidRDefault="0008002E" w:rsidP="00E81465">
            <w:pPr>
              <w:pStyle w:val="TableText"/>
            </w:pPr>
            <w:r w:rsidRPr="00EE0EEB">
              <w:t>Eli Lilly Australia Pty Ltd</w:t>
            </w:r>
          </w:p>
        </w:tc>
      </w:tr>
      <w:tr w:rsidR="0008002E" w:rsidRPr="00EE0EEB" w14:paraId="31AD0DE8" w14:textId="77777777" w:rsidTr="008C5EB3">
        <w:trPr>
          <w:trHeight w:val="122"/>
        </w:trPr>
        <w:tc>
          <w:tcPr>
            <w:tcW w:w="1197" w:type="pct"/>
            <w:vMerge/>
            <w:tcMar>
              <w:left w:w="20" w:type="dxa"/>
              <w:right w:w="20" w:type="dxa"/>
            </w:tcMar>
          </w:tcPr>
          <w:p w14:paraId="381B30BB" w14:textId="77777777" w:rsidR="0008002E" w:rsidRPr="00EE0EEB" w:rsidRDefault="0008002E" w:rsidP="00E81465">
            <w:pPr>
              <w:pStyle w:val="TableText"/>
            </w:pPr>
          </w:p>
        </w:tc>
        <w:tc>
          <w:tcPr>
            <w:tcW w:w="1131" w:type="pct"/>
            <w:tcBorders>
              <w:left w:val="single" w:sz="4" w:space="0" w:color="auto"/>
              <w:right w:val="single" w:sz="4" w:space="0" w:color="auto"/>
            </w:tcBorders>
            <w:tcMar>
              <w:left w:w="20" w:type="dxa"/>
              <w:right w:w="20" w:type="dxa"/>
            </w:tcMar>
            <w:vAlign w:val="center"/>
          </w:tcPr>
          <w:p w14:paraId="0629552C" w14:textId="77777777" w:rsidR="0008002E" w:rsidRPr="00EE0EEB" w:rsidRDefault="0008002E" w:rsidP="00E81465">
            <w:pPr>
              <w:pStyle w:val="TableText"/>
            </w:pPr>
            <w:r w:rsidRPr="00EE0EEB">
              <w:t>First continuation</w:t>
            </w:r>
          </w:p>
        </w:tc>
        <w:tc>
          <w:tcPr>
            <w:tcW w:w="531" w:type="pct"/>
            <w:tcMar>
              <w:left w:w="20" w:type="dxa"/>
              <w:right w:w="20" w:type="dxa"/>
            </w:tcMar>
          </w:tcPr>
          <w:p w14:paraId="7AB52749" w14:textId="77777777" w:rsidR="0008002E" w:rsidRPr="00EE0EEB" w:rsidRDefault="0008002E" w:rsidP="00E81465">
            <w:pPr>
              <w:pStyle w:val="TableText"/>
            </w:pPr>
            <w:r w:rsidRPr="00EE0EEB">
              <w:t>4</w:t>
            </w:r>
          </w:p>
        </w:tc>
        <w:tc>
          <w:tcPr>
            <w:tcW w:w="532" w:type="pct"/>
            <w:tcMar>
              <w:left w:w="20" w:type="dxa"/>
              <w:right w:w="20" w:type="dxa"/>
            </w:tcMar>
          </w:tcPr>
          <w:p w14:paraId="12B12577" w14:textId="77777777" w:rsidR="0008002E" w:rsidRPr="00EE0EEB" w:rsidRDefault="0008002E" w:rsidP="00E81465">
            <w:pPr>
              <w:pStyle w:val="TableText"/>
            </w:pPr>
            <w:r w:rsidRPr="00EE0EEB">
              <w:t>4</w:t>
            </w:r>
          </w:p>
        </w:tc>
        <w:tc>
          <w:tcPr>
            <w:tcW w:w="399" w:type="pct"/>
            <w:tcMar>
              <w:left w:w="20" w:type="dxa"/>
              <w:right w:w="20" w:type="dxa"/>
            </w:tcMar>
          </w:tcPr>
          <w:p w14:paraId="30F70925" w14:textId="77777777" w:rsidR="0008002E" w:rsidRPr="00EE0EEB" w:rsidRDefault="0008002E" w:rsidP="00E81465">
            <w:pPr>
              <w:pStyle w:val="TableText"/>
            </w:pPr>
            <w:r w:rsidRPr="00EE0EEB">
              <w:t>6</w:t>
            </w:r>
          </w:p>
        </w:tc>
        <w:tc>
          <w:tcPr>
            <w:tcW w:w="532" w:type="pct"/>
            <w:vMerge/>
            <w:tcMar>
              <w:left w:w="20" w:type="dxa"/>
              <w:right w:w="20" w:type="dxa"/>
            </w:tcMar>
          </w:tcPr>
          <w:p w14:paraId="10268BCA" w14:textId="77777777" w:rsidR="0008002E" w:rsidRPr="00EE0EEB" w:rsidRDefault="0008002E" w:rsidP="00E81465">
            <w:pPr>
              <w:pStyle w:val="TableText"/>
            </w:pPr>
          </w:p>
        </w:tc>
        <w:tc>
          <w:tcPr>
            <w:tcW w:w="678" w:type="pct"/>
            <w:vMerge/>
            <w:tcMar>
              <w:left w:w="20" w:type="dxa"/>
              <w:right w:w="20" w:type="dxa"/>
            </w:tcMar>
          </w:tcPr>
          <w:p w14:paraId="31CD7277" w14:textId="77777777" w:rsidR="0008002E" w:rsidRPr="00EE0EEB" w:rsidRDefault="0008002E" w:rsidP="00E81465">
            <w:pPr>
              <w:pStyle w:val="TableText"/>
            </w:pPr>
          </w:p>
        </w:tc>
      </w:tr>
      <w:tr w:rsidR="0008002E" w:rsidRPr="00EE0EEB" w14:paraId="64C606FC" w14:textId="77777777" w:rsidTr="008C5EB3">
        <w:trPr>
          <w:trHeight w:val="53"/>
        </w:trPr>
        <w:tc>
          <w:tcPr>
            <w:tcW w:w="1197" w:type="pct"/>
            <w:vMerge/>
            <w:tcMar>
              <w:left w:w="20" w:type="dxa"/>
              <w:right w:w="20" w:type="dxa"/>
            </w:tcMar>
          </w:tcPr>
          <w:p w14:paraId="56FB4C7B" w14:textId="77777777" w:rsidR="0008002E" w:rsidRPr="00EE0EEB" w:rsidRDefault="0008002E" w:rsidP="00E81465">
            <w:pPr>
              <w:pStyle w:val="TableText"/>
            </w:pPr>
          </w:p>
        </w:tc>
        <w:tc>
          <w:tcPr>
            <w:tcW w:w="1131" w:type="pct"/>
            <w:tcBorders>
              <w:left w:val="single" w:sz="4" w:space="0" w:color="auto"/>
              <w:right w:val="single" w:sz="4" w:space="0" w:color="auto"/>
            </w:tcBorders>
            <w:tcMar>
              <w:left w:w="20" w:type="dxa"/>
              <w:right w:w="20" w:type="dxa"/>
            </w:tcMar>
            <w:vAlign w:val="center"/>
          </w:tcPr>
          <w:p w14:paraId="01B1E44D" w14:textId="77777777" w:rsidR="0008002E" w:rsidRPr="00EE0EEB" w:rsidRDefault="0008002E" w:rsidP="00E81465">
            <w:pPr>
              <w:pStyle w:val="TableText"/>
            </w:pPr>
            <w:r w:rsidRPr="00EE0EEB">
              <w:t>Second continuation</w:t>
            </w:r>
          </w:p>
        </w:tc>
        <w:tc>
          <w:tcPr>
            <w:tcW w:w="531" w:type="pct"/>
            <w:tcMar>
              <w:left w:w="20" w:type="dxa"/>
              <w:right w:w="20" w:type="dxa"/>
            </w:tcMar>
          </w:tcPr>
          <w:p w14:paraId="20901ABE" w14:textId="77777777" w:rsidR="0008002E" w:rsidRPr="00EE0EEB" w:rsidRDefault="0008002E" w:rsidP="00E81465">
            <w:pPr>
              <w:pStyle w:val="TableText"/>
            </w:pPr>
            <w:r w:rsidRPr="00EE0EEB">
              <w:t>4</w:t>
            </w:r>
          </w:p>
        </w:tc>
        <w:tc>
          <w:tcPr>
            <w:tcW w:w="532" w:type="pct"/>
            <w:tcMar>
              <w:left w:w="20" w:type="dxa"/>
              <w:right w:w="20" w:type="dxa"/>
            </w:tcMar>
          </w:tcPr>
          <w:p w14:paraId="535EAA6A" w14:textId="77777777" w:rsidR="0008002E" w:rsidRPr="00EE0EEB" w:rsidRDefault="0008002E" w:rsidP="00E81465">
            <w:pPr>
              <w:pStyle w:val="TableText"/>
            </w:pPr>
            <w:r w:rsidRPr="00EE0EEB">
              <w:t>4</w:t>
            </w:r>
          </w:p>
        </w:tc>
        <w:tc>
          <w:tcPr>
            <w:tcW w:w="399" w:type="pct"/>
            <w:tcMar>
              <w:left w:w="20" w:type="dxa"/>
              <w:right w:w="20" w:type="dxa"/>
            </w:tcMar>
          </w:tcPr>
          <w:p w14:paraId="71BC889C" w14:textId="77777777" w:rsidR="0008002E" w:rsidRPr="00EE0EEB" w:rsidRDefault="0008002E" w:rsidP="00E81465">
            <w:pPr>
              <w:pStyle w:val="TableText"/>
            </w:pPr>
            <w:r w:rsidRPr="00EE0EEB">
              <w:t>5</w:t>
            </w:r>
          </w:p>
        </w:tc>
        <w:tc>
          <w:tcPr>
            <w:tcW w:w="532" w:type="pct"/>
            <w:vMerge/>
            <w:tcMar>
              <w:left w:w="20" w:type="dxa"/>
              <w:right w:w="20" w:type="dxa"/>
            </w:tcMar>
          </w:tcPr>
          <w:p w14:paraId="68D1BC49" w14:textId="77777777" w:rsidR="0008002E" w:rsidRPr="00EE0EEB" w:rsidRDefault="0008002E" w:rsidP="00E81465">
            <w:pPr>
              <w:pStyle w:val="TableText"/>
            </w:pPr>
          </w:p>
        </w:tc>
        <w:tc>
          <w:tcPr>
            <w:tcW w:w="678" w:type="pct"/>
            <w:vMerge/>
            <w:tcMar>
              <w:left w:w="20" w:type="dxa"/>
              <w:right w:w="20" w:type="dxa"/>
            </w:tcMar>
          </w:tcPr>
          <w:p w14:paraId="513120D9" w14:textId="77777777" w:rsidR="0008002E" w:rsidRPr="00EE0EEB" w:rsidRDefault="0008002E" w:rsidP="00E81465">
            <w:pPr>
              <w:pStyle w:val="TableText"/>
            </w:pPr>
          </w:p>
        </w:tc>
      </w:tr>
      <w:tr w:rsidR="0008002E" w:rsidRPr="00EE0EEB" w14:paraId="4B84B228" w14:textId="77777777" w:rsidTr="008C5EB3">
        <w:trPr>
          <w:trHeight w:val="53"/>
        </w:trPr>
        <w:tc>
          <w:tcPr>
            <w:tcW w:w="1197" w:type="pct"/>
            <w:vMerge/>
            <w:tcMar>
              <w:left w:w="20" w:type="dxa"/>
              <w:right w:w="20" w:type="dxa"/>
            </w:tcMar>
          </w:tcPr>
          <w:p w14:paraId="1C06EFCE" w14:textId="77777777" w:rsidR="0008002E" w:rsidRPr="00EE0EEB" w:rsidRDefault="0008002E" w:rsidP="00E81465">
            <w:pPr>
              <w:pStyle w:val="TableText"/>
            </w:pPr>
          </w:p>
        </w:tc>
        <w:tc>
          <w:tcPr>
            <w:tcW w:w="1131" w:type="pct"/>
            <w:tcBorders>
              <w:left w:val="single" w:sz="4" w:space="0" w:color="auto"/>
              <w:right w:val="single" w:sz="4" w:space="0" w:color="auto"/>
            </w:tcBorders>
            <w:tcMar>
              <w:left w:w="20" w:type="dxa"/>
              <w:right w:w="20" w:type="dxa"/>
            </w:tcMar>
            <w:vAlign w:val="center"/>
          </w:tcPr>
          <w:p w14:paraId="512A67C9" w14:textId="77777777" w:rsidR="0008002E" w:rsidRPr="00EE0EEB" w:rsidRDefault="0008002E" w:rsidP="00E81465">
            <w:pPr>
              <w:pStyle w:val="TableText"/>
            </w:pPr>
            <w:r w:rsidRPr="00EE0EEB">
              <w:t>Grandfather arrangements</w:t>
            </w:r>
          </w:p>
        </w:tc>
        <w:tc>
          <w:tcPr>
            <w:tcW w:w="531" w:type="pct"/>
            <w:tcMar>
              <w:left w:w="20" w:type="dxa"/>
              <w:right w:w="20" w:type="dxa"/>
            </w:tcMar>
          </w:tcPr>
          <w:p w14:paraId="62DC5B77" w14:textId="77777777" w:rsidR="0008002E" w:rsidRPr="00EE0EEB" w:rsidRDefault="0008002E" w:rsidP="00E81465">
            <w:pPr>
              <w:pStyle w:val="TableText"/>
            </w:pPr>
            <w:r w:rsidRPr="00EE0EEB">
              <w:t>4</w:t>
            </w:r>
          </w:p>
        </w:tc>
        <w:tc>
          <w:tcPr>
            <w:tcW w:w="532" w:type="pct"/>
            <w:tcMar>
              <w:left w:w="20" w:type="dxa"/>
              <w:right w:w="20" w:type="dxa"/>
            </w:tcMar>
          </w:tcPr>
          <w:p w14:paraId="3AADCF14" w14:textId="77777777" w:rsidR="0008002E" w:rsidRPr="00EE0EEB" w:rsidRDefault="0008002E" w:rsidP="00E81465">
            <w:pPr>
              <w:pStyle w:val="TableText"/>
            </w:pPr>
            <w:r w:rsidRPr="00EE0EEB">
              <w:t>4</w:t>
            </w:r>
          </w:p>
        </w:tc>
        <w:tc>
          <w:tcPr>
            <w:tcW w:w="399" w:type="pct"/>
            <w:tcMar>
              <w:left w:w="20" w:type="dxa"/>
              <w:right w:w="20" w:type="dxa"/>
            </w:tcMar>
          </w:tcPr>
          <w:p w14:paraId="38EE0CDB" w14:textId="77777777" w:rsidR="0008002E" w:rsidRPr="00EE0EEB" w:rsidRDefault="0008002E" w:rsidP="00E81465">
            <w:pPr>
              <w:pStyle w:val="TableText"/>
            </w:pPr>
            <w:r w:rsidRPr="00EE0EEB">
              <w:t>6</w:t>
            </w:r>
          </w:p>
        </w:tc>
        <w:tc>
          <w:tcPr>
            <w:tcW w:w="532" w:type="pct"/>
            <w:vMerge/>
            <w:tcMar>
              <w:left w:w="20" w:type="dxa"/>
              <w:right w:w="20" w:type="dxa"/>
            </w:tcMar>
          </w:tcPr>
          <w:p w14:paraId="1F6FF831" w14:textId="77777777" w:rsidR="0008002E" w:rsidRPr="00EE0EEB" w:rsidRDefault="0008002E" w:rsidP="00E81465">
            <w:pPr>
              <w:pStyle w:val="TableText"/>
            </w:pPr>
          </w:p>
        </w:tc>
        <w:tc>
          <w:tcPr>
            <w:tcW w:w="678" w:type="pct"/>
            <w:vMerge/>
            <w:tcMar>
              <w:left w:w="20" w:type="dxa"/>
              <w:right w:w="20" w:type="dxa"/>
            </w:tcMar>
          </w:tcPr>
          <w:p w14:paraId="25911FFB" w14:textId="77777777" w:rsidR="0008002E" w:rsidRPr="00EE0EEB" w:rsidRDefault="0008002E" w:rsidP="00E81465">
            <w:pPr>
              <w:pStyle w:val="TableText"/>
            </w:pPr>
          </w:p>
        </w:tc>
      </w:tr>
      <w:tr w:rsidR="0008002E" w:rsidRPr="00EE0EEB" w14:paraId="41BEA86D" w14:textId="77777777" w:rsidTr="00E81465">
        <w:tc>
          <w:tcPr>
            <w:tcW w:w="5000" w:type="pct"/>
            <w:gridSpan w:val="7"/>
            <w:tcMar>
              <w:left w:w="20" w:type="dxa"/>
              <w:right w:w="20" w:type="dxa"/>
            </w:tcMar>
            <w:hideMark/>
          </w:tcPr>
          <w:p w14:paraId="3CB3776E" w14:textId="77777777" w:rsidR="0008002E" w:rsidRPr="00EE0EEB" w:rsidRDefault="0008002E" w:rsidP="00E81465">
            <w:pPr>
              <w:pStyle w:val="TableText"/>
            </w:pPr>
            <w:r w:rsidRPr="00EE0EEB">
              <w:rPr>
                <w:b/>
              </w:rPr>
              <w:lastRenderedPageBreak/>
              <w:t>Category / Program</w:t>
            </w:r>
            <w:r w:rsidRPr="00EE0EEB">
              <w:t>:</w:t>
            </w:r>
          </w:p>
          <w:p w14:paraId="4BF99B11" w14:textId="77777777" w:rsidR="0008002E" w:rsidRPr="00EE0EEB" w:rsidRDefault="0008002E" w:rsidP="00E81465">
            <w:pPr>
              <w:pStyle w:val="TableText"/>
            </w:pPr>
            <w:r w:rsidRPr="00EE0EEB">
              <w:t xml:space="preserve">Section 100 – Highly Specialised Drugs Program  </w:t>
            </w:r>
          </w:p>
        </w:tc>
      </w:tr>
      <w:tr w:rsidR="0008002E" w:rsidRPr="00EE0EEB" w14:paraId="03FB2363" w14:textId="77777777" w:rsidTr="00E81465">
        <w:trPr>
          <w:trHeight w:val="240"/>
        </w:trPr>
        <w:tc>
          <w:tcPr>
            <w:tcW w:w="5000" w:type="pct"/>
            <w:gridSpan w:val="7"/>
            <w:tcMar>
              <w:left w:w="20" w:type="dxa"/>
              <w:right w:w="20" w:type="dxa"/>
            </w:tcMar>
            <w:hideMark/>
          </w:tcPr>
          <w:p w14:paraId="4A5041DA" w14:textId="77777777" w:rsidR="0008002E" w:rsidRPr="00EE0EEB" w:rsidRDefault="0008002E" w:rsidP="00E81465">
            <w:pPr>
              <w:pStyle w:val="TableText"/>
            </w:pPr>
            <w:r w:rsidRPr="00EE0EEB">
              <w:rPr>
                <w:b/>
              </w:rPr>
              <w:t>Prescriber type</w:t>
            </w:r>
            <w:r w:rsidRPr="00EE0EEB">
              <w:t xml:space="preserve">: </w:t>
            </w:r>
            <w:r w:rsidRPr="00EE0EEB">
              <w:fldChar w:fldCharType="begin">
                <w:ffData>
                  <w:name w:val="Check1"/>
                  <w:enabled/>
                  <w:calcOnExit w:val="0"/>
                  <w:checkBox>
                    <w:sizeAuto/>
                    <w:default w:val="0"/>
                  </w:checkBox>
                </w:ffData>
              </w:fldChar>
            </w:r>
            <w:r w:rsidRPr="00EE0EEB">
              <w:instrText xml:space="preserve"> FORMCHECKBOX </w:instrText>
            </w:r>
            <w:r w:rsidRPr="00EE0EEB">
              <w:fldChar w:fldCharType="separate"/>
            </w:r>
            <w:r w:rsidRPr="00EE0EEB">
              <w:fldChar w:fldCharType="end"/>
            </w:r>
            <w:r w:rsidRPr="00EE0EEB">
              <w:t xml:space="preserve">Dental  </w:t>
            </w:r>
            <w:r w:rsidRPr="00EE0EEB">
              <w:fldChar w:fldCharType="begin">
                <w:ffData>
                  <w:name w:val=""/>
                  <w:enabled/>
                  <w:calcOnExit w:val="0"/>
                  <w:checkBox>
                    <w:sizeAuto/>
                    <w:default w:val="1"/>
                  </w:checkBox>
                </w:ffData>
              </w:fldChar>
            </w:r>
            <w:r w:rsidRPr="00EE0EEB">
              <w:instrText xml:space="preserve"> FORMCHECKBOX </w:instrText>
            </w:r>
            <w:r w:rsidRPr="00EE0EEB">
              <w:fldChar w:fldCharType="separate"/>
            </w:r>
            <w:r w:rsidRPr="00EE0EEB">
              <w:fldChar w:fldCharType="end"/>
            </w:r>
            <w:r w:rsidRPr="00EE0EEB">
              <w:t xml:space="preserve">Medical Practitioners </w:t>
            </w:r>
            <w:r w:rsidRPr="00EE0EEB">
              <w:fldChar w:fldCharType="begin">
                <w:ffData>
                  <w:name w:val="Check3"/>
                  <w:enabled/>
                  <w:calcOnExit w:val="0"/>
                  <w:checkBox>
                    <w:sizeAuto/>
                    <w:default w:val="0"/>
                  </w:checkBox>
                </w:ffData>
              </w:fldChar>
            </w:r>
            <w:r w:rsidRPr="00EE0EEB">
              <w:instrText xml:space="preserve"> FORMCHECKBOX </w:instrText>
            </w:r>
            <w:r w:rsidRPr="00EE0EEB">
              <w:fldChar w:fldCharType="separate"/>
            </w:r>
            <w:r w:rsidRPr="00EE0EEB">
              <w:fldChar w:fldCharType="end"/>
            </w:r>
            <w:r w:rsidRPr="00EE0EEB">
              <w:t xml:space="preserve">Nurse practitioners  </w:t>
            </w:r>
            <w:r w:rsidRPr="00EE0EEB">
              <w:fldChar w:fldCharType="begin">
                <w:ffData>
                  <w:name w:val=""/>
                  <w:enabled/>
                  <w:calcOnExit w:val="0"/>
                  <w:checkBox>
                    <w:sizeAuto/>
                    <w:default w:val="0"/>
                  </w:checkBox>
                </w:ffData>
              </w:fldChar>
            </w:r>
            <w:r w:rsidRPr="00EE0EEB">
              <w:instrText xml:space="preserve"> FORMCHECKBOX </w:instrText>
            </w:r>
            <w:r w:rsidRPr="00EE0EEB">
              <w:fldChar w:fldCharType="separate"/>
            </w:r>
            <w:r w:rsidRPr="00EE0EEB">
              <w:fldChar w:fldCharType="end"/>
            </w:r>
            <w:r w:rsidRPr="00EE0EEB">
              <w:t xml:space="preserve">Optometrists  </w:t>
            </w:r>
            <w:r w:rsidRPr="00EE0EEB">
              <w:fldChar w:fldCharType="begin">
                <w:ffData>
                  <w:name w:val="Check5"/>
                  <w:enabled/>
                  <w:calcOnExit w:val="0"/>
                  <w:checkBox>
                    <w:sizeAuto/>
                    <w:default w:val="0"/>
                  </w:checkBox>
                </w:ffData>
              </w:fldChar>
            </w:r>
            <w:r w:rsidRPr="00EE0EEB">
              <w:instrText xml:space="preserve"> FORMCHECKBOX </w:instrText>
            </w:r>
            <w:r w:rsidRPr="00EE0EEB">
              <w:fldChar w:fldCharType="separate"/>
            </w:r>
            <w:r w:rsidRPr="00EE0EEB">
              <w:fldChar w:fldCharType="end"/>
            </w:r>
            <w:r w:rsidRPr="00EE0EEB">
              <w:t>Midwives</w:t>
            </w:r>
          </w:p>
        </w:tc>
      </w:tr>
      <w:tr w:rsidR="0008002E" w:rsidRPr="00EE0EEB" w14:paraId="5174916D" w14:textId="77777777" w:rsidTr="00E81465">
        <w:tc>
          <w:tcPr>
            <w:tcW w:w="5000" w:type="pct"/>
            <w:gridSpan w:val="7"/>
            <w:tcMar>
              <w:left w:w="20" w:type="dxa"/>
              <w:right w:w="20" w:type="dxa"/>
            </w:tcMar>
            <w:hideMark/>
          </w:tcPr>
          <w:p w14:paraId="5489429D" w14:textId="77777777" w:rsidR="0008002E" w:rsidRPr="00EE0EEB" w:rsidRDefault="0008002E" w:rsidP="00E81465">
            <w:pPr>
              <w:pStyle w:val="TableText"/>
            </w:pPr>
            <w:r w:rsidRPr="00EE0EEB">
              <w:rPr>
                <w:b/>
              </w:rPr>
              <w:t>Restriction Type</w:t>
            </w:r>
            <w:r w:rsidRPr="00EE0EEB">
              <w:t xml:space="preserve"> – assessment time by Services Australia – Method of obtaining authority approval (if Authority Required)</w:t>
            </w:r>
          </w:p>
          <w:p w14:paraId="30CD5CF9" w14:textId="77777777" w:rsidR="0008002E" w:rsidRPr="00EE0EEB" w:rsidRDefault="0008002E" w:rsidP="00E81465">
            <w:pPr>
              <w:pStyle w:val="TableText"/>
            </w:pPr>
            <w:r w:rsidRPr="00EE0EEB">
              <w:fldChar w:fldCharType="begin">
                <w:ffData>
                  <w:name w:val=""/>
                  <w:enabled/>
                  <w:calcOnExit w:val="0"/>
                  <w:checkBox>
                    <w:sizeAuto/>
                    <w:default w:val="1"/>
                  </w:checkBox>
                </w:ffData>
              </w:fldChar>
            </w:r>
            <w:r w:rsidRPr="00EE0EEB">
              <w:instrText xml:space="preserve"> FORMCHECKBOX </w:instrText>
            </w:r>
            <w:r w:rsidRPr="00EE0EEB">
              <w:fldChar w:fldCharType="separate"/>
            </w:r>
            <w:r w:rsidRPr="00EE0EEB">
              <w:fldChar w:fldCharType="end"/>
            </w:r>
            <w:r w:rsidRPr="00EE0EEB">
              <w:t>Authority Required – immediate/real time assessment by Services Australia (telephone/online application avenues)</w:t>
            </w:r>
          </w:p>
        </w:tc>
      </w:tr>
      <w:tr w:rsidR="0008002E" w:rsidRPr="00EE0EEB" w14:paraId="7C27C7A6" w14:textId="77777777" w:rsidTr="00E81465">
        <w:tc>
          <w:tcPr>
            <w:tcW w:w="5000" w:type="pct"/>
            <w:gridSpan w:val="7"/>
            <w:tcMar>
              <w:left w:w="20" w:type="dxa"/>
              <w:right w:w="20" w:type="dxa"/>
            </w:tcMar>
            <w:hideMark/>
          </w:tcPr>
          <w:p w14:paraId="7FFBDBAF" w14:textId="6867CF4C" w:rsidR="0008002E" w:rsidRPr="00EE0EEB" w:rsidRDefault="0008002E" w:rsidP="00E81465">
            <w:pPr>
              <w:pStyle w:val="TableText"/>
            </w:pPr>
            <w:r w:rsidRPr="00EE0EEB">
              <w:rPr>
                <w:b/>
              </w:rPr>
              <w:t>Condition</w:t>
            </w:r>
            <w:r w:rsidRPr="00EE0EEB">
              <w:t>: Mild Cognitive Impairment due to Alzheimer</w:t>
            </w:r>
            <w:r w:rsidR="0026298F">
              <w:t>’s</w:t>
            </w:r>
            <w:r w:rsidRPr="00EE0EEB">
              <w:t xml:space="preserve"> disease and mild Alzheimer</w:t>
            </w:r>
            <w:r w:rsidR="0026298F">
              <w:t>’s</w:t>
            </w:r>
            <w:r w:rsidRPr="00EE0EEB">
              <w:t xml:space="preserve"> disease</w:t>
            </w:r>
          </w:p>
        </w:tc>
      </w:tr>
      <w:tr w:rsidR="0008002E" w:rsidRPr="00EE0EEB" w14:paraId="69A4E7D5" w14:textId="77777777" w:rsidTr="00E81465">
        <w:tc>
          <w:tcPr>
            <w:tcW w:w="5000" w:type="pct"/>
            <w:gridSpan w:val="7"/>
            <w:tcMar>
              <w:left w:w="20" w:type="dxa"/>
              <w:right w:w="20" w:type="dxa"/>
            </w:tcMar>
            <w:hideMark/>
          </w:tcPr>
          <w:p w14:paraId="1D232DE8" w14:textId="77777777" w:rsidR="0008002E" w:rsidRPr="00EE0EEB" w:rsidRDefault="0008002E" w:rsidP="00E81465">
            <w:pPr>
              <w:pStyle w:val="TableText"/>
            </w:pPr>
            <w:r w:rsidRPr="00EE0EEB">
              <w:rPr>
                <w:b/>
              </w:rPr>
              <w:t>Treatment Phase</w:t>
            </w:r>
            <w:r w:rsidRPr="00EE0EEB">
              <w:t>: Initial</w:t>
            </w:r>
          </w:p>
        </w:tc>
      </w:tr>
      <w:tr w:rsidR="0008002E" w:rsidRPr="00EE0EEB" w14:paraId="2DD11585" w14:textId="77777777" w:rsidTr="00E81465">
        <w:tc>
          <w:tcPr>
            <w:tcW w:w="5000" w:type="pct"/>
            <w:gridSpan w:val="7"/>
            <w:tcMar>
              <w:left w:w="20" w:type="dxa"/>
              <w:right w:w="20" w:type="dxa"/>
            </w:tcMar>
            <w:hideMark/>
          </w:tcPr>
          <w:p w14:paraId="765ECC50" w14:textId="77777777" w:rsidR="0008002E" w:rsidRPr="00EE0EEB" w:rsidRDefault="0008002E" w:rsidP="00E81465">
            <w:pPr>
              <w:pStyle w:val="TableText"/>
            </w:pPr>
            <w:r w:rsidRPr="00EE0EEB">
              <w:rPr>
                <w:b/>
              </w:rPr>
              <w:t>Clinical criteria</w:t>
            </w:r>
            <w:r w:rsidRPr="00EE0EEB">
              <w:t>:</w:t>
            </w:r>
          </w:p>
        </w:tc>
      </w:tr>
      <w:tr w:rsidR="0008002E" w:rsidRPr="00EE0EEB" w14:paraId="3A9C5DA3" w14:textId="77777777" w:rsidTr="00E81465">
        <w:trPr>
          <w:trHeight w:val="2030"/>
        </w:trPr>
        <w:tc>
          <w:tcPr>
            <w:tcW w:w="5000" w:type="pct"/>
            <w:gridSpan w:val="7"/>
            <w:tcMar>
              <w:left w:w="20" w:type="dxa"/>
              <w:right w:w="20" w:type="dxa"/>
            </w:tcMar>
          </w:tcPr>
          <w:p w14:paraId="49335DEA" w14:textId="77777777" w:rsidR="0008002E" w:rsidRPr="00EE0EEB" w:rsidRDefault="0008002E" w:rsidP="00E81465">
            <w:pPr>
              <w:pStyle w:val="TableText"/>
            </w:pPr>
            <w:r w:rsidRPr="00EE0EEB">
              <w:t>Patient must have a baseline Mini-Mental State Examination (MMSE) or Standardised Mini-Mental State Examination (SMMSE) score of 20 or more</w:t>
            </w:r>
          </w:p>
          <w:p w14:paraId="52A6C89A" w14:textId="77777777" w:rsidR="0008002E" w:rsidRPr="00EE0EEB" w:rsidRDefault="0008002E" w:rsidP="00E81465">
            <w:pPr>
              <w:pStyle w:val="TableText"/>
            </w:pPr>
            <w:r w:rsidRPr="00EE0EEB">
              <w:t>AND</w:t>
            </w:r>
          </w:p>
          <w:p w14:paraId="636A99AE" w14:textId="77777777" w:rsidR="0008002E" w:rsidRPr="00EE0EEB" w:rsidRDefault="0008002E" w:rsidP="00E81465">
            <w:pPr>
              <w:pStyle w:val="TableText"/>
            </w:pPr>
            <w:r w:rsidRPr="00EE0EEB">
              <w:t>The condition must have the presence of beta-amyloid positivity in the brain as identified by one of the following:</w:t>
            </w:r>
          </w:p>
          <w:p w14:paraId="0B968AF8" w14:textId="77777777" w:rsidR="0008002E" w:rsidRPr="00EE0EEB" w:rsidRDefault="0008002E" w:rsidP="00E81465">
            <w:pPr>
              <w:pStyle w:val="TableText"/>
            </w:pPr>
            <w:r w:rsidRPr="00EE0EEB">
              <w:t>Beta-amyloid positron emission tomography of the brain, or</w:t>
            </w:r>
          </w:p>
          <w:p w14:paraId="295E0F02" w14:textId="77777777" w:rsidR="0008002E" w:rsidRPr="00EE0EEB" w:rsidRDefault="0008002E" w:rsidP="00E81465">
            <w:pPr>
              <w:pStyle w:val="TableText"/>
            </w:pPr>
            <w:r w:rsidRPr="00EE0EEB">
              <w:t>Analysis of amyloid and tau proteins in cerebrospinal fluid by immunoassay methodology</w:t>
            </w:r>
          </w:p>
          <w:p w14:paraId="18727B13" w14:textId="77777777" w:rsidR="0008002E" w:rsidRPr="00EE0EEB" w:rsidRDefault="0008002E" w:rsidP="00E81465">
            <w:pPr>
              <w:pStyle w:val="TableText"/>
            </w:pPr>
            <w:r w:rsidRPr="00EE0EEB">
              <w:t>AND</w:t>
            </w:r>
          </w:p>
          <w:p w14:paraId="7AE835FB" w14:textId="77777777" w:rsidR="0008002E" w:rsidRPr="00EE0EEB" w:rsidRDefault="0008002E" w:rsidP="00E81465">
            <w:pPr>
              <w:pStyle w:val="TableText"/>
            </w:pPr>
            <w:r w:rsidRPr="00EE0EEB">
              <w:t>Patient must not be contraindicated to treatment with this drug on the basis of magnetic resonance imaging (MRI) scanning</w:t>
            </w:r>
          </w:p>
          <w:p w14:paraId="396BD339" w14:textId="77777777" w:rsidR="0008002E" w:rsidRPr="00EE0EEB" w:rsidRDefault="0008002E" w:rsidP="00E81465">
            <w:pPr>
              <w:pStyle w:val="TableText"/>
            </w:pPr>
            <w:r w:rsidRPr="00EE0EEB">
              <w:t>AND</w:t>
            </w:r>
          </w:p>
          <w:p w14:paraId="7893010E" w14:textId="77777777" w:rsidR="0008002E" w:rsidRPr="00EE0EEB" w:rsidRDefault="0008002E" w:rsidP="00E81465">
            <w:pPr>
              <w:pStyle w:val="TableText"/>
            </w:pPr>
            <w:r w:rsidRPr="00EE0EEB">
              <w:t xml:space="preserve">Patient must be apolipoprotein E </w:t>
            </w:r>
            <w:r w:rsidRPr="00EE0EEB">
              <w:rPr>
                <w:rFonts w:ascii="Cambria" w:hAnsi="Cambria" w:cs="Cambria"/>
              </w:rPr>
              <w:t>ε</w:t>
            </w:r>
            <w:r w:rsidRPr="00EE0EEB">
              <w:t xml:space="preserve">4 (ApoE </w:t>
            </w:r>
            <w:r w:rsidRPr="00EE0EEB">
              <w:rPr>
                <w:rFonts w:ascii="Cambria" w:hAnsi="Cambria" w:cs="Cambria"/>
              </w:rPr>
              <w:t>ε</w:t>
            </w:r>
            <w:r w:rsidRPr="00EE0EEB">
              <w:t>4) heterozygotes or non-carriers</w:t>
            </w:r>
          </w:p>
        </w:tc>
      </w:tr>
      <w:tr w:rsidR="0008002E" w:rsidRPr="00EE0EEB" w14:paraId="58BFB8B0" w14:textId="77777777" w:rsidTr="00E81465">
        <w:tc>
          <w:tcPr>
            <w:tcW w:w="5000" w:type="pct"/>
            <w:gridSpan w:val="7"/>
            <w:tcMar>
              <w:left w:w="20" w:type="dxa"/>
              <w:right w:w="20" w:type="dxa"/>
            </w:tcMar>
            <w:hideMark/>
          </w:tcPr>
          <w:p w14:paraId="1BC11141" w14:textId="77777777" w:rsidR="0008002E" w:rsidRPr="00EE0EEB" w:rsidRDefault="0008002E" w:rsidP="00E81465">
            <w:pPr>
              <w:pStyle w:val="TableText"/>
            </w:pPr>
            <w:r w:rsidRPr="00EE0EEB">
              <w:rPr>
                <w:b/>
              </w:rPr>
              <w:t>Treatment criteria</w:t>
            </w:r>
            <w:r w:rsidRPr="00EE0EEB">
              <w:t>:</w:t>
            </w:r>
          </w:p>
        </w:tc>
      </w:tr>
      <w:tr w:rsidR="0008002E" w:rsidRPr="00EE0EEB" w14:paraId="4DCC7F1E" w14:textId="77777777" w:rsidTr="00E81465">
        <w:tc>
          <w:tcPr>
            <w:tcW w:w="5000" w:type="pct"/>
            <w:gridSpan w:val="7"/>
            <w:tcMar>
              <w:left w:w="20" w:type="dxa"/>
              <w:right w:w="20" w:type="dxa"/>
            </w:tcMar>
            <w:hideMark/>
          </w:tcPr>
          <w:p w14:paraId="4E1D1C1E" w14:textId="77777777" w:rsidR="0008002E" w:rsidRPr="00EE0EEB" w:rsidRDefault="0008002E" w:rsidP="00E81465">
            <w:pPr>
              <w:pStyle w:val="TableText"/>
            </w:pPr>
            <w:r w:rsidRPr="00EE0EEB">
              <w:t xml:space="preserve">Must be treated by a neurologist, geriatrician, or psychiatrist. </w:t>
            </w:r>
          </w:p>
        </w:tc>
      </w:tr>
      <w:tr w:rsidR="0008002E" w:rsidRPr="00EE0EEB" w14:paraId="114872AF" w14:textId="77777777" w:rsidTr="00E81465">
        <w:tc>
          <w:tcPr>
            <w:tcW w:w="5000" w:type="pct"/>
            <w:gridSpan w:val="7"/>
            <w:tcBorders>
              <w:bottom w:val="double" w:sz="4" w:space="0" w:color="auto"/>
            </w:tcBorders>
            <w:tcMar>
              <w:left w:w="20" w:type="dxa"/>
              <w:right w:w="20" w:type="dxa"/>
            </w:tcMar>
            <w:hideMark/>
          </w:tcPr>
          <w:p w14:paraId="39358208" w14:textId="77777777" w:rsidR="0008002E" w:rsidRPr="00EE0EEB" w:rsidRDefault="0008002E" w:rsidP="00E81465">
            <w:pPr>
              <w:pStyle w:val="TableText"/>
            </w:pPr>
            <w:r w:rsidRPr="00EE0EEB">
              <w:rPr>
                <w:b/>
              </w:rPr>
              <w:t>Prescribing Instructions</w:t>
            </w:r>
            <w:r w:rsidRPr="00EE0EEB">
              <w:t xml:space="preserve">: </w:t>
            </w:r>
          </w:p>
          <w:p w14:paraId="54CA4878" w14:textId="77777777" w:rsidR="0008002E" w:rsidRPr="00EE0EEB" w:rsidRDefault="0008002E" w:rsidP="00E81465">
            <w:pPr>
              <w:pStyle w:val="TableText"/>
            </w:pPr>
            <w:r w:rsidRPr="00EE0EEB">
              <w:t>The authority application must include the result of the baseline MMSE or SMMSE. If this score is 25 - 30 points, the result of an alternative cognitive assessment tool at baseline may also be specified.</w:t>
            </w:r>
          </w:p>
          <w:p w14:paraId="6F4AFC15" w14:textId="77777777" w:rsidR="0008002E" w:rsidRPr="00EE0EEB" w:rsidRDefault="0008002E" w:rsidP="00E81465">
            <w:pPr>
              <w:pStyle w:val="TableText"/>
            </w:pPr>
          </w:p>
          <w:p w14:paraId="2AB59F53" w14:textId="77777777" w:rsidR="0008002E" w:rsidRPr="00EE0EEB" w:rsidRDefault="0008002E" w:rsidP="00E81465">
            <w:pPr>
              <w:pStyle w:val="TableText"/>
            </w:pPr>
            <w:r w:rsidRPr="00EE0EEB">
              <w:t xml:space="preserve">The method for assessment of beta-amyloid positivity and date of the test must be documented in the patient’s medical records. </w:t>
            </w:r>
          </w:p>
          <w:p w14:paraId="14AE09FF" w14:textId="77777777" w:rsidR="0008002E" w:rsidRPr="00EE0EEB" w:rsidRDefault="0008002E" w:rsidP="00E81465">
            <w:pPr>
              <w:pStyle w:val="TableText"/>
            </w:pPr>
          </w:p>
          <w:p w14:paraId="73C2431E" w14:textId="77777777" w:rsidR="0008002E" w:rsidRPr="00EE0EEB" w:rsidRDefault="0008002E" w:rsidP="00E81465">
            <w:pPr>
              <w:pStyle w:val="TableText"/>
            </w:pPr>
            <w:r w:rsidRPr="00EE0EEB">
              <w:t xml:space="preserve">Contraindication to magnetic resonance imaging (MRI) may include claustrophobia or the presence of </w:t>
            </w:r>
          </w:p>
          <w:p w14:paraId="7E95BAAC" w14:textId="77777777" w:rsidR="0008002E" w:rsidRPr="00EE0EEB" w:rsidRDefault="0008002E" w:rsidP="00E81465">
            <w:pPr>
              <w:pStyle w:val="TableText"/>
            </w:pPr>
            <w:r w:rsidRPr="00EE0EEB">
              <w:t>contraindicated metal (ferromagnetic) implants/cardiac pacemaker. An MRI scan within 6 months of this application must be available and must demonstrate the absence of:</w:t>
            </w:r>
          </w:p>
          <w:p w14:paraId="51276486" w14:textId="77777777" w:rsidR="0008002E" w:rsidRPr="00EE0EEB" w:rsidRDefault="0008002E" w:rsidP="00E81465">
            <w:pPr>
              <w:pStyle w:val="TableText"/>
            </w:pPr>
            <w:r w:rsidRPr="00EE0EEB">
              <w:t>prior intracerebral haemorrhage greater than 1 cm</w:t>
            </w:r>
          </w:p>
          <w:p w14:paraId="6F485540" w14:textId="77777777" w:rsidR="0008002E" w:rsidRPr="00EE0EEB" w:rsidRDefault="0008002E" w:rsidP="00E81465">
            <w:pPr>
              <w:pStyle w:val="TableText"/>
            </w:pPr>
            <w:r w:rsidRPr="00EE0EEB">
              <w:t>more than 2 microhaemorrhages</w:t>
            </w:r>
          </w:p>
          <w:p w14:paraId="44FB59A8" w14:textId="77777777" w:rsidR="0008002E" w:rsidRPr="00EE0EEB" w:rsidRDefault="0008002E" w:rsidP="00E81465">
            <w:pPr>
              <w:pStyle w:val="TableText"/>
            </w:pPr>
            <w:r w:rsidRPr="00EE0EEB">
              <w:t>superficial siderosis or vasogenic oedema (ARIA-E)</w:t>
            </w:r>
          </w:p>
          <w:p w14:paraId="79AB60F6" w14:textId="77777777" w:rsidR="0008002E" w:rsidRPr="00EE0EEB" w:rsidRDefault="0008002E" w:rsidP="00E81465">
            <w:pPr>
              <w:pStyle w:val="TableText"/>
            </w:pPr>
            <w:r w:rsidRPr="00EE0EEB">
              <w:t>severe white matter disease</w:t>
            </w:r>
            <w:r>
              <w:t xml:space="preserve"> </w:t>
            </w:r>
            <w:r w:rsidRPr="00EE0EEB">
              <w:t>any finding that could prevent a satisfactory MRI evaluation for safety monitoring</w:t>
            </w:r>
          </w:p>
          <w:p w14:paraId="3EB3C2E4" w14:textId="77777777" w:rsidR="0008002E" w:rsidRPr="00EE0EEB" w:rsidRDefault="0008002E" w:rsidP="00E81465">
            <w:pPr>
              <w:pStyle w:val="TableText"/>
              <w:rPr>
                <w:sz w:val="16"/>
              </w:rPr>
            </w:pPr>
            <w:r w:rsidRPr="00EE0EEB">
              <w:t>The date of the MRI scan must be documented in the patient’s medical records.</w:t>
            </w:r>
            <w:r w:rsidRPr="00EE0EEB">
              <w:rPr>
                <w:sz w:val="16"/>
              </w:rPr>
              <w:t xml:space="preserve"> </w:t>
            </w:r>
          </w:p>
        </w:tc>
      </w:tr>
      <w:tr w:rsidR="0008002E" w:rsidRPr="00EE0EEB" w14:paraId="59D711A1" w14:textId="77777777" w:rsidTr="00E81465">
        <w:tc>
          <w:tcPr>
            <w:tcW w:w="5000" w:type="pct"/>
            <w:gridSpan w:val="7"/>
            <w:tcBorders>
              <w:top w:val="double" w:sz="4" w:space="0" w:color="auto"/>
            </w:tcBorders>
            <w:tcMar>
              <w:left w:w="20" w:type="dxa"/>
              <w:right w:w="20" w:type="dxa"/>
            </w:tcMar>
            <w:hideMark/>
          </w:tcPr>
          <w:p w14:paraId="23644C7D" w14:textId="77777777" w:rsidR="0008002E" w:rsidRPr="00EE0EEB" w:rsidRDefault="0008002E" w:rsidP="00E81465">
            <w:pPr>
              <w:pStyle w:val="TableText"/>
              <w:keepNext/>
              <w:rPr>
                <w:b/>
                <w:bCs/>
              </w:rPr>
            </w:pPr>
            <w:r w:rsidRPr="00EE0EEB">
              <w:rPr>
                <w:b/>
              </w:rPr>
              <w:lastRenderedPageBreak/>
              <w:t>Treatment Phase</w:t>
            </w:r>
            <w:r w:rsidRPr="00EE0EEB">
              <w:t>: First Continuation</w:t>
            </w:r>
            <w:r w:rsidRPr="00EE0EEB">
              <w:rPr>
                <w:b/>
              </w:rPr>
              <w:t xml:space="preserve"> </w:t>
            </w:r>
          </w:p>
        </w:tc>
      </w:tr>
      <w:tr w:rsidR="0008002E" w:rsidRPr="00EE0EEB" w14:paraId="75D3EA43" w14:textId="77777777" w:rsidTr="00E81465">
        <w:tc>
          <w:tcPr>
            <w:tcW w:w="5000" w:type="pct"/>
            <w:gridSpan w:val="7"/>
            <w:tcMar>
              <w:left w:w="20" w:type="dxa"/>
              <w:right w:w="20" w:type="dxa"/>
            </w:tcMar>
            <w:hideMark/>
          </w:tcPr>
          <w:p w14:paraId="2ACC2C80" w14:textId="77777777" w:rsidR="0008002E" w:rsidRPr="00EE0EEB" w:rsidRDefault="0008002E" w:rsidP="00E81465">
            <w:pPr>
              <w:pStyle w:val="TableText"/>
              <w:keepNext/>
              <w:rPr>
                <w:b/>
                <w:bCs/>
              </w:rPr>
            </w:pPr>
            <w:r w:rsidRPr="00EE0EEB">
              <w:rPr>
                <w:b/>
              </w:rPr>
              <w:t>Clinical criteria:</w:t>
            </w:r>
          </w:p>
        </w:tc>
      </w:tr>
      <w:tr w:rsidR="0008002E" w:rsidRPr="00EE0EEB" w14:paraId="43507D99" w14:textId="77777777" w:rsidTr="00E81465">
        <w:trPr>
          <w:trHeight w:val="1178"/>
        </w:trPr>
        <w:tc>
          <w:tcPr>
            <w:tcW w:w="5000" w:type="pct"/>
            <w:gridSpan w:val="7"/>
            <w:tcMar>
              <w:left w:w="20" w:type="dxa"/>
              <w:right w:w="20" w:type="dxa"/>
            </w:tcMar>
            <w:hideMark/>
          </w:tcPr>
          <w:p w14:paraId="5DCEFC48" w14:textId="77777777" w:rsidR="0008002E" w:rsidRPr="00EE0EEB" w:rsidRDefault="0008002E" w:rsidP="00E81465">
            <w:pPr>
              <w:pStyle w:val="TableText"/>
              <w:keepNext/>
            </w:pPr>
            <w:r w:rsidRPr="00EE0EEB">
              <w:t>Patient must have received this drug under the Initial treatment restriction; OR</w:t>
            </w:r>
          </w:p>
          <w:p w14:paraId="68B13E61" w14:textId="77777777" w:rsidR="0008002E" w:rsidRPr="00EE0EEB" w:rsidRDefault="0008002E" w:rsidP="00E81465">
            <w:pPr>
              <w:pStyle w:val="TableText"/>
              <w:keepNext/>
            </w:pPr>
            <w:r w:rsidRPr="00EE0EEB">
              <w:t>Patient must have received this drug under the Transitioning from non-PBS to PBS-subsidised supply - Grandfather arrangements</w:t>
            </w:r>
          </w:p>
          <w:p w14:paraId="72B3027A" w14:textId="77777777" w:rsidR="0008002E" w:rsidRPr="00EE0EEB" w:rsidRDefault="0008002E" w:rsidP="00E81465">
            <w:pPr>
              <w:pStyle w:val="TableText"/>
              <w:keepNext/>
            </w:pPr>
            <w:r w:rsidRPr="00EE0EEB">
              <w:t>AND</w:t>
            </w:r>
          </w:p>
          <w:p w14:paraId="5872EA18" w14:textId="77777777" w:rsidR="0008002E" w:rsidRPr="00EE0EEB" w:rsidRDefault="0008002E" w:rsidP="00E81465">
            <w:pPr>
              <w:pStyle w:val="TableText"/>
              <w:keepNext/>
            </w:pPr>
            <w:r w:rsidRPr="00EE0EEB">
              <w:t>Patient must have confirmed evidence of beta-amyloid positivity in the brain, as assessed by beta-amyloid positron emission tomography (PET), after six months of treatment with this drug; OR</w:t>
            </w:r>
          </w:p>
          <w:p w14:paraId="4B8B8A96" w14:textId="77777777" w:rsidR="0008002E" w:rsidRPr="00EE0EEB" w:rsidRDefault="0008002E" w:rsidP="00E81465">
            <w:pPr>
              <w:pStyle w:val="TableText"/>
              <w:keepNext/>
            </w:pPr>
            <w:r w:rsidRPr="00EE0EEB">
              <w:t xml:space="preserve">Patient must not have undergone beta-amyloid PET during the previous six months of treatment with donanemab </w:t>
            </w:r>
          </w:p>
        </w:tc>
      </w:tr>
      <w:tr w:rsidR="0008002E" w:rsidRPr="00EE0EEB" w14:paraId="52775601" w14:textId="77777777" w:rsidTr="00E81465">
        <w:tc>
          <w:tcPr>
            <w:tcW w:w="5000" w:type="pct"/>
            <w:gridSpan w:val="7"/>
            <w:tcMar>
              <w:left w:w="20" w:type="dxa"/>
              <w:right w:w="20" w:type="dxa"/>
            </w:tcMar>
            <w:hideMark/>
          </w:tcPr>
          <w:p w14:paraId="01EF4003" w14:textId="77777777" w:rsidR="0008002E" w:rsidRPr="00EE0EEB" w:rsidRDefault="0008002E" w:rsidP="00E81465">
            <w:pPr>
              <w:pStyle w:val="TableText"/>
              <w:keepNext/>
              <w:rPr>
                <w:b/>
                <w:bCs/>
              </w:rPr>
            </w:pPr>
            <w:r w:rsidRPr="00EE0EEB">
              <w:rPr>
                <w:b/>
              </w:rPr>
              <w:t>Treatment criteria:</w:t>
            </w:r>
          </w:p>
        </w:tc>
      </w:tr>
      <w:tr w:rsidR="0008002E" w:rsidRPr="00EE0EEB" w14:paraId="64B2CEE3" w14:textId="77777777" w:rsidTr="00E81465">
        <w:tc>
          <w:tcPr>
            <w:tcW w:w="5000" w:type="pct"/>
            <w:gridSpan w:val="7"/>
            <w:tcMar>
              <w:left w:w="20" w:type="dxa"/>
              <w:right w:w="20" w:type="dxa"/>
            </w:tcMar>
            <w:hideMark/>
          </w:tcPr>
          <w:p w14:paraId="472B56EE" w14:textId="77777777" w:rsidR="0008002E" w:rsidRPr="00EE0EEB" w:rsidRDefault="0008002E" w:rsidP="00E81465">
            <w:pPr>
              <w:pStyle w:val="TableText"/>
              <w:keepNext/>
            </w:pPr>
            <w:r w:rsidRPr="00EE0EEB">
              <w:t>Must be treated by a neurologist; geriatrician or psychiatrist</w:t>
            </w:r>
          </w:p>
        </w:tc>
      </w:tr>
      <w:tr w:rsidR="0008002E" w:rsidRPr="00EE0EEB" w14:paraId="441F408D" w14:textId="77777777" w:rsidTr="00E81465">
        <w:tc>
          <w:tcPr>
            <w:tcW w:w="5000" w:type="pct"/>
            <w:gridSpan w:val="7"/>
            <w:tcBorders>
              <w:bottom w:val="double" w:sz="4" w:space="0" w:color="auto"/>
            </w:tcBorders>
            <w:tcMar>
              <w:left w:w="20" w:type="dxa"/>
              <w:right w:w="20" w:type="dxa"/>
            </w:tcMar>
            <w:hideMark/>
          </w:tcPr>
          <w:p w14:paraId="3AB7BFEB" w14:textId="77777777" w:rsidR="0008002E" w:rsidRPr="00EE0EEB" w:rsidRDefault="0008002E" w:rsidP="00E81465">
            <w:pPr>
              <w:pStyle w:val="TableText"/>
              <w:keepNext/>
              <w:rPr>
                <w:b/>
                <w:bCs/>
              </w:rPr>
            </w:pPr>
            <w:r w:rsidRPr="00EE0EEB">
              <w:rPr>
                <w:b/>
              </w:rPr>
              <w:t xml:space="preserve">Prescribing Instructions: </w:t>
            </w:r>
          </w:p>
          <w:p w14:paraId="364A71F7" w14:textId="77777777" w:rsidR="0008002E" w:rsidRPr="00EE0EEB" w:rsidRDefault="0008002E" w:rsidP="00E81465">
            <w:pPr>
              <w:pStyle w:val="TableText"/>
              <w:keepNext/>
            </w:pPr>
            <w:r w:rsidRPr="00EE0EEB">
              <w:t xml:space="preserve">For continued treatment the patient must demonstrate compliance with, and an ability to tolerate, this drug. </w:t>
            </w:r>
          </w:p>
          <w:p w14:paraId="6102D12B" w14:textId="77777777" w:rsidR="0008002E" w:rsidRPr="00EE0EEB" w:rsidRDefault="0008002E" w:rsidP="00E81465">
            <w:pPr>
              <w:pStyle w:val="TableText"/>
              <w:keepNext/>
              <w:rPr>
                <w:b/>
                <w:bCs/>
              </w:rPr>
            </w:pPr>
            <w:r w:rsidRPr="00EE0EEB">
              <w:t>The date of the beta-amyloid PET (if performed) must be documented in the patient’s medical record</w:t>
            </w:r>
            <w:r w:rsidRPr="00EE0EEB">
              <w:rPr>
                <w:b/>
              </w:rPr>
              <w:t xml:space="preserve">. </w:t>
            </w:r>
          </w:p>
        </w:tc>
      </w:tr>
      <w:tr w:rsidR="0008002E" w:rsidRPr="00EE0EEB" w14:paraId="52C5ABB7" w14:textId="77777777" w:rsidTr="00E81465">
        <w:tc>
          <w:tcPr>
            <w:tcW w:w="5000" w:type="pct"/>
            <w:gridSpan w:val="7"/>
            <w:tcBorders>
              <w:top w:val="double" w:sz="4" w:space="0" w:color="auto"/>
            </w:tcBorders>
            <w:tcMar>
              <w:left w:w="20" w:type="dxa"/>
              <w:right w:w="20" w:type="dxa"/>
            </w:tcMar>
            <w:hideMark/>
          </w:tcPr>
          <w:p w14:paraId="7DFC4A92" w14:textId="77777777" w:rsidR="0008002E" w:rsidRPr="00EE0EEB" w:rsidRDefault="0008002E" w:rsidP="00E81465">
            <w:pPr>
              <w:pStyle w:val="TableText"/>
              <w:keepNext/>
              <w:rPr>
                <w:b/>
                <w:bCs/>
              </w:rPr>
            </w:pPr>
            <w:r w:rsidRPr="00EE0EEB">
              <w:rPr>
                <w:b/>
              </w:rPr>
              <w:t>Treatment Phase:</w:t>
            </w:r>
            <w:r w:rsidRPr="00EE0EEB">
              <w:t xml:space="preserve"> Second Continuation </w:t>
            </w:r>
          </w:p>
        </w:tc>
      </w:tr>
      <w:tr w:rsidR="0008002E" w:rsidRPr="00EE0EEB" w14:paraId="259609BD" w14:textId="77777777" w:rsidTr="00E81465">
        <w:trPr>
          <w:trHeight w:val="1833"/>
        </w:trPr>
        <w:tc>
          <w:tcPr>
            <w:tcW w:w="5000" w:type="pct"/>
            <w:gridSpan w:val="7"/>
            <w:tcMar>
              <w:left w:w="20" w:type="dxa"/>
              <w:right w:w="20" w:type="dxa"/>
            </w:tcMar>
            <w:hideMark/>
          </w:tcPr>
          <w:p w14:paraId="04595BE2" w14:textId="77777777" w:rsidR="0008002E" w:rsidRPr="00EE0EEB" w:rsidRDefault="0008002E" w:rsidP="00E81465">
            <w:pPr>
              <w:pStyle w:val="TableText"/>
              <w:keepNext/>
              <w:rPr>
                <w:b/>
                <w:bCs/>
              </w:rPr>
            </w:pPr>
            <w:r w:rsidRPr="00EE0EEB">
              <w:rPr>
                <w:b/>
              </w:rPr>
              <w:t>Clinical criteria:</w:t>
            </w:r>
          </w:p>
          <w:p w14:paraId="73269CC1" w14:textId="77777777" w:rsidR="0008002E" w:rsidRPr="00EE0EEB" w:rsidRDefault="0008002E" w:rsidP="00E81465">
            <w:pPr>
              <w:pStyle w:val="TableText"/>
              <w:keepNext/>
            </w:pPr>
            <w:r w:rsidRPr="00EE0EEB">
              <w:t>Patient must have received this drug under the First Continuation treatment restriction; OR</w:t>
            </w:r>
          </w:p>
          <w:p w14:paraId="2B588609" w14:textId="77777777" w:rsidR="0008002E" w:rsidRPr="00EE0EEB" w:rsidRDefault="0008002E" w:rsidP="00E81465">
            <w:pPr>
              <w:pStyle w:val="TableText"/>
              <w:keepNext/>
            </w:pPr>
            <w:r w:rsidRPr="00EE0EEB">
              <w:t>Patient must have received this drug under the Transitioning from non-PBS to PBS-subsidised supply - Grandfather arrangements</w:t>
            </w:r>
          </w:p>
          <w:p w14:paraId="7E1ACCB9" w14:textId="77777777" w:rsidR="0008002E" w:rsidRPr="00EE0EEB" w:rsidRDefault="0008002E" w:rsidP="00E81465">
            <w:pPr>
              <w:pStyle w:val="TableText"/>
              <w:keepNext/>
            </w:pPr>
            <w:r w:rsidRPr="00EE0EEB">
              <w:t>AND</w:t>
            </w:r>
          </w:p>
          <w:p w14:paraId="652CE405" w14:textId="77777777" w:rsidR="0008002E" w:rsidRPr="00EE0EEB" w:rsidRDefault="0008002E" w:rsidP="00E81465">
            <w:pPr>
              <w:pStyle w:val="TableText"/>
              <w:keepNext/>
            </w:pPr>
            <w:r w:rsidRPr="00EE0EEB">
              <w:t>Patient must have confirmed evidence of beta-amyloid positivity in the brain, as assessed by beta-amyloid positron emission tomography (PET), after twelve months of treatment with this drug; OR</w:t>
            </w:r>
          </w:p>
          <w:p w14:paraId="063475C0" w14:textId="77777777" w:rsidR="0008002E" w:rsidRPr="00EE0EEB" w:rsidRDefault="0008002E" w:rsidP="00E81465">
            <w:pPr>
              <w:pStyle w:val="TableText"/>
              <w:keepNext/>
              <w:rPr>
                <w:b/>
                <w:bCs/>
              </w:rPr>
            </w:pPr>
            <w:r w:rsidRPr="00EE0EEB">
              <w:t xml:space="preserve">Patient must not have undergone beta-amyloid PET during the previous six months of treatment with donanemab </w:t>
            </w:r>
          </w:p>
        </w:tc>
      </w:tr>
      <w:tr w:rsidR="0008002E" w:rsidRPr="00EE0EEB" w14:paraId="108875C9" w14:textId="77777777" w:rsidTr="00E81465">
        <w:tc>
          <w:tcPr>
            <w:tcW w:w="5000" w:type="pct"/>
            <w:gridSpan w:val="7"/>
            <w:tcMar>
              <w:left w:w="20" w:type="dxa"/>
              <w:right w:w="20" w:type="dxa"/>
            </w:tcMar>
            <w:hideMark/>
          </w:tcPr>
          <w:p w14:paraId="080059FA" w14:textId="77777777" w:rsidR="0008002E" w:rsidRPr="00EE0EEB" w:rsidRDefault="0008002E" w:rsidP="00E81465">
            <w:pPr>
              <w:pStyle w:val="TableText"/>
              <w:keepNext/>
              <w:rPr>
                <w:b/>
                <w:bCs/>
              </w:rPr>
            </w:pPr>
            <w:r w:rsidRPr="00EE0EEB">
              <w:rPr>
                <w:b/>
              </w:rPr>
              <w:t>Treatment criteria:</w:t>
            </w:r>
          </w:p>
        </w:tc>
      </w:tr>
      <w:tr w:rsidR="0008002E" w:rsidRPr="00EE0EEB" w14:paraId="57C1136E" w14:textId="77777777" w:rsidTr="00E81465">
        <w:trPr>
          <w:trHeight w:val="113"/>
        </w:trPr>
        <w:tc>
          <w:tcPr>
            <w:tcW w:w="5000" w:type="pct"/>
            <w:gridSpan w:val="7"/>
            <w:tcMar>
              <w:left w:w="20" w:type="dxa"/>
              <w:right w:w="20" w:type="dxa"/>
            </w:tcMar>
            <w:hideMark/>
          </w:tcPr>
          <w:p w14:paraId="5E1B48B4" w14:textId="77777777" w:rsidR="0008002E" w:rsidRPr="00EE0EEB" w:rsidRDefault="0008002E" w:rsidP="00E81465">
            <w:pPr>
              <w:pStyle w:val="TableText"/>
              <w:keepNext/>
            </w:pPr>
            <w:r w:rsidRPr="00EE0EEB">
              <w:t xml:space="preserve">Must be treated by a neurologist, geriatrician, or psychiatrist. </w:t>
            </w:r>
          </w:p>
        </w:tc>
      </w:tr>
      <w:tr w:rsidR="0008002E" w:rsidRPr="00EE0EEB" w14:paraId="53C5E320" w14:textId="77777777" w:rsidTr="00E81465">
        <w:trPr>
          <w:trHeight w:val="113"/>
        </w:trPr>
        <w:tc>
          <w:tcPr>
            <w:tcW w:w="5000" w:type="pct"/>
            <w:gridSpan w:val="7"/>
            <w:tcBorders>
              <w:bottom w:val="double" w:sz="4" w:space="0" w:color="auto"/>
            </w:tcBorders>
            <w:tcMar>
              <w:left w:w="20" w:type="dxa"/>
              <w:right w:w="20" w:type="dxa"/>
            </w:tcMar>
          </w:tcPr>
          <w:p w14:paraId="25134E56" w14:textId="77777777" w:rsidR="0008002E" w:rsidRPr="00E842E9" w:rsidRDefault="0008002E" w:rsidP="00E81465">
            <w:pPr>
              <w:pStyle w:val="TableText"/>
              <w:keepNext/>
              <w:rPr>
                <w:b/>
                <w:bCs/>
              </w:rPr>
            </w:pPr>
            <w:r w:rsidRPr="00E842E9">
              <w:rPr>
                <w:b/>
              </w:rPr>
              <w:t xml:space="preserve">Prescribing Instructions: </w:t>
            </w:r>
          </w:p>
          <w:p w14:paraId="70B0F7E1" w14:textId="77777777" w:rsidR="0008002E" w:rsidRDefault="0008002E" w:rsidP="00E81465">
            <w:pPr>
              <w:pStyle w:val="TableText"/>
              <w:keepNext/>
            </w:pPr>
            <w:r>
              <w:t xml:space="preserve">For continued treatment the patient must demonstrate compliance with, and an ability to tolerate, this drug. </w:t>
            </w:r>
          </w:p>
          <w:p w14:paraId="50226D3F" w14:textId="77777777" w:rsidR="0008002E" w:rsidRPr="00EE0EEB" w:rsidRDefault="0008002E" w:rsidP="00E81465">
            <w:pPr>
              <w:pStyle w:val="TableText"/>
              <w:keepNext/>
            </w:pPr>
            <w:r>
              <w:t xml:space="preserve">The date of the beta-amyloid PET (if performed) must be documented in the patient’s medical record.  </w:t>
            </w:r>
          </w:p>
        </w:tc>
      </w:tr>
      <w:tr w:rsidR="0008002E" w:rsidRPr="00EE0EEB" w14:paraId="4E7E393F" w14:textId="77777777" w:rsidTr="00E81465">
        <w:tc>
          <w:tcPr>
            <w:tcW w:w="5000" w:type="pct"/>
            <w:gridSpan w:val="7"/>
            <w:tcBorders>
              <w:top w:val="double" w:sz="4" w:space="0" w:color="auto"/>
            </w:tcBorders>
            <w:tcMar>
              <w:left w:w="20" w:type="dxa"/>
              <w:right w:w="20" w:type="dxa"/>
            </w:tcMar>
            <w:vAlign w:val="center"/>
          </w:tcPr>
          <w:p w14:paraId="69A72946" w14:textId="77777777" w:rsidR="0008002E" w:rsidRDefault="0008002E" w:rsidP="00E81465">
            <w:pPr>
              <w:spacing w:before="0" w:after="0"/>
              <w:rPr>
                <w:rFonts w:ascii="Arial Narrow" w:hAnsi="Arial Narrow"/>
                <w:snapToGrid w:val="0"/>
                <w:sz w:val="20"/>
                <w:szCs w:val="24"/>
              </w:rPr>
            </w:pPr>
            <w:r w:rsidRPr="004C283B">
              <w:rPr>
                <w:rFonts w:ascii="Arial Narrow" w:hAnsi="Arial Narrow"/>
                <w:b/>
                <w:bCs/>
                <w:snapToGrid w:val="0"/>
                <w:sz w:val="20"/>
                <w:szCs w:val="24"/>
              </w:rPr>
              <w:t xml:space="preserve">Treatment Phase: </w:t>
            </w:r>
            <w:r w:rsidRPr="004C283B">
              <w:rPr>
                <w:rFonts w:ascii="Arial Narrow" w:hAnsi="Arial Narrow"/>
                <w:snapToGrid w:val="0"/>
                <w:sz w:val="20"/>
                <w:szCs w:val="24"/>
              </w:rPr>
              <w:t>Transitioning from non-PBS to PBS-subsidised supply - Grandfather arrangements</w:t>
            </w:r>
          </w:p>
          <w:p w14:paraId="4CE75CCA" w14:textId="77777777" w:rsidR="0008002E" w:rsidRPr="00EE0EEB" w:rsidRDefault="0008002E" w:rsidP="00E81465">
            <w:pPr>
              <w:pStyle w:val="Tabletext0"/>
            </w:pPr>
            <w:r w:rsidRPr="00EE0EEB">
              <w:rPr>
                <w:b/>
                <w:bCs/>
              </w:rPr>
              <w:t>Clinical criteria</w:t>
            </w:r>
            <w:r w:rsidRPr="00EE0EEB">
              <w:t>:</w:t>
            </w:r>
          </w:p>
          <w:p w14:paraId="62DF7C9C" w14:textId="77777777" w:rsidR="0008002E" w:rsidRPr="00EE0EEB" w:rsidRDefault="0008002E" w:rsidP="00E81465">
            <w:pPr>
              <w:pStyle w:val="Tabletext0"/>
            </w:pPr>
            <w:r w:rsidRPr="00EE0EEB">
              <w:t>Patient must have received non-PBS-subsidised treatment with this drug for this PBS indication prior to [date of PBS launch]</w:t>
            </w:r>
          </w:p>
          <w:p w14:paraId="32BC5499" w14:textId="77777777" w:rsidR="0008002E" w:rsidRPr="00EE0EEB" w:rsidRDefault="0008002E" w:rsidP="00E81465">
            <w:pPr>
              <w:pStyle w:val="Tabletext0"/>
            </w:pPr>
            <w:r w:rsidRPr="00EE0EEB">
              <w:t>AND</w:t>
            </w:r>
          </w:p>
          <w:p w14:paraId="7E0648F2" w14:textId="77777777" w:rsidR="0008002E" w:rsidRPr="00EE0EEB" w:rsidRDefault="0008002E" w:rsidP="00E81465">
            <w:pPr>
              <w:pStyle w:val="Tabletext0"/>
              <w:rPr>
                <w:b/>
                <w:bCs/>
              </w:rPr>
            </w:pPr>
            <w:r w:rsidRPr="00EE0EEB">
              <w:rPr>
                <w:b/>
                <w:bCs/>
              </w:rPr>
              <w:t>Clinical criteria</w:t>
            </w:r>
          </w:p>
          <w:p w14:paraId="5229642C" w14:textId="77777777" w:rsidR="0008002E" w:rsidRPr="00EE0EEB" w:rsidRDefault="0008002E" w:rsidP="00E81465">
            <w:pPr>
              <w:pStyle w:val="Tabletext0"/>
            </w:pPr>
            <w:r w:rsidRPr="00EE0EEB">
              <w:t>Patient must have a documented baseline Mini-Mental State Examination (MMSE) or Standardised Mini-Mental State Examination score of 20 or more prior to commencing non-PBS subsidised treatment with this drug</w:t>
            </w:r>
          </w:p>
          <w:p w14:paraId="18F4DA5B" w14:textId="77777777" w:rsidR="0008002E" w:rsidRPr="00EE0EEB" w:rsidRDefault="0008002E" w:rsidP="00E81465">
            <w:pPr>
              <w:pStyle w:val="Tabletext0"/>
            </w:pPr>
            <w:r w:rsidRPr="00EE0EEB">
              <w:t>AND</w:t>
            </w:r>
          </w:p>
          <w:p w14:paraId="04699DE5" w14:textId="77777777" w:rsidR="0008002E" w:rsidRPr="00EE0EEB" w:rsidRDefault="0008002E" w:rsidP="00E81465">
            <w:pPr>
              <w:pStyle w:val="Tabletext0"/>
              <w:rPr>
                <w:b/>
                <w:bCs/>
              </w:rPr>
            </w:pPr>
            <w:r w:rsidRPr="00EE0EEB">
              <w:rPr>
                <w:b/>
                <w:bCs/>
              </w:rPr>
              <w:t xml:space="preserve">Clinical criteria </w:t>
            </w:r>
          </w:p>
          <w:p w14:paraId="62DAFC95" w14:textId="77777777" w:rsidR="0008002E" w:rsidRPr="00EE0EEB" w:rsidRDefault="0008002E" w:rsidP="00E81465">
            <w:pPr>
              <w:pStyle w:val="Tabletext0"/>
            </w:pPr>
            <w:r w:rsidRPr="00EE0EEB">
              <w:t>The condition must have the presence of beta-amyloid positivity in the brain, prior to commencing non-PBS subsidised treatment with this drug, as identified by one of the following:</w:t>
            </w:r>
          </w:p>
          <w:p w14:paraId="0618C848" w14:textId="77777777" w:rsidR="0008002E" w:rsidRPr="00EE0EEB" w:rsidRDefault="0008002E" w:rsidP="00E81465">
            <w:pPr>
              <w:pStyle w:val="Tabletext0"/>
            </w:pPr>
            <w:r w:rsidRPr="00EE0EEB">
              <w:t>Beta-amyloid positron emission tomography of the brain, or</w:t>
            </w:r>
          </w:p>
          <w:p w14:paraId="7FC83810" w14:textId="77777777" w:rsidR="0008002E" w:rsidRPr="00EE0EEB" w:rsidRDefault="0008002E" w:rsidP="00E81465">
            <w:pPr>
              <w:pStyle w:val="Tabletext0"/>
            </w:pPr>
            <w:r w:rsidRPr="00EE0EEB">
              <w:t>Analysis of amyloid and tau proteins in cerebrospinal fluid by immunoassay methodology</w:t>
            </w:r>
          </w:p>
          <w:p w14:paraId="3F1BA9B6" w14:textId="77777777" w:rsidR="0008002E" w:rsidRPr="00EE0EEB" w:rsidRDefault="0008002E" w:rsidP="00E81465">
            <w:pPr>
              <w:pStyle w:val="Tabletext0"/>
            </w:pPr>
            <w:r w:rsidRPr="00EE0EEB">
              <w:t>AND</w:t>
            </w:r>
          </w:p>
          <w:p w14:paraId="234A742D" w14:textId="77777777" w:rsidR="0008002E" w:rsidRPr="00EE0EEB" w:rsidRDefault="0008002E" w:rsidP="00E81465">
            <w:pPr>
              <w:pStyle w:val="Tabletext0"/>
              <w:rPr>
                <w:b/>
                <w:bCs/>
              </w:rPr>
            </w:pPr>
            <w:r w:rsidRPr="00EE0EEB">
              <w:rPr>
                <w:b/>
                <w:bCs/>
              </w:rPr>
              <w:t xml:space="preserve">Clinical criteria </w:t>
            </w:r>
          </w:p>
          <w:p w14:paraId="7A5799A4" w14:textId="77777777" w:rsidR="0008002E" w:rsidRPr="00EE0EEB" w:rsidRDefault="0008002E" w:rsidP="00E81465">
            <w:pPr>
              <w:pStyle w:val="Tabletext0"/>
            </w:pPr>
            <w:r w:rsidRPr="00EE0EEB">
              <w:t>Patient must not be contraindicated to treatment with this drug on the basis of magnetic resonance imaging (MRI) scanning</w:t>
            </w:r>
          </w:p>
          <w:p w14:paraId="0DAE2ABB" w14:textId="77777777" w:rsidR="0008002E" w:rsidRPr="00EE0EEB" w:rsidRDefault="0008002E" w:rsidP="00E81465">
            <w:pPr>
              <w:pStyle w:val="Tabletext0"/>
            </w:pPr>
            <w:r w:rsidRPr="00EE0EEB">
              <w:t>AND</w:t>
            </w:r>
          </w:p>
          <w:p w14:paraId="6DAA0F0A" w14:textId="77777777" w:rsidR="0008002E" w:rsidRPr="00EE0EEB" w:rsidRDefault="0008002E" w:rsidP="00E81465">
            <w:pPr>
              <w:pStyle w:val="Tabletext0"/>
              <w:rPr>
                <w:b/>
                <w:bCs/>
              </w:rPr>
            </w:pPr>
            <w:r w:rsidRPr="00EE0EEB">
              <w:rPr>
                <w:b/>
                <w:bCs/>
              </w:rPr>
              <w:t xml:space="preserve">Clinical criteria </w:t>
            </w:r>
          </w:p>
          <w:p w14:paraId="300FDAEF" w14:textId="77777777" w:rsidR="0008002E" w:rsidRPr="00EE0EEB" w:rsidRDefault="0008002E" w:rsidP="00E81465">
            <w:pPr>
              <w:pStyle w:val="Tabletext0"/>
            </w:pPr>
            <w:r w:rsidRPr="00EE0EEB">
              <w:t>Patient must be apolipoprotein E ε4 (ApoE ε4) heterozygotes or non-carriers</w:t>
            </w:r>
          </w:p>
          <w:p w14:paraId="6B4ED6AB" w14:textId="77777777" w:rsidR="0008002E" w:rsidRPr="00EE0EEB" w:rsidRDefault="0008002E" w:rsidP="00E81465">
            <w:pPr>
              <w:pStyle w:val="Tabletext0"/>
            </w:pPr>
            <w:r w:rsidRPr="00EE0EEB">
              <w:rPr>
                <w:b/>
                <w:bCs/>
              </w:rPr>
              <w:t>Treatment criteria</w:t>
            </w:r>
            <w:r w:rsidRPr="00EE0EEB">
              <w:t>:</w:t>
            </w:r>
          </w:p>
          <w:p w14:paraId="4A8E41C7" w14:textId="77777777" w:rsidR="0008002E" w:rsidRPr="004C283B" w:rsidRDefault="0008002E" w:rsidP="00E81465">
            <w:pPr>
              <w:pStyle w:val="Tabletext0"/>
              <w:rPr>
                <w:b/>
                <w:bCs/>
              </w:rPr>
            </w:pPr>
            <w:r w:rsidRPr="00EE0EEB">
              <w:t>Must be treated by a neurologist, geriatrician, or psychiatrist.</w:t>
            </w:r>
          </w:p>
        </w:tc>
      </w:tr>
      <w:tr w:rsidR="0008002E" w:rsidRPr="00EE0EEB" w14:paraId="00030B73" w14:textId="77777777" w:rsidTr="00E81465">
        <w:trPr>
          <w:trHeight w:val="113"/>
        </w:trPr>
        <w:tc>
          <w:tcPr>
            <w:tcW w:w="5000" w:type="pct"/>
            <w:gridSpan w:val="7"/>
            <w:tcBorders>
              <w:bottom w:val="double" w:sz="4" w:space="0" w:color="auto"/>
            </w:tcBorders>
            <w:tcMar>
              <w:left w:w="20" w:type="dxa"/>
              <w:right w:w="20" w:type="dxa"/>
            </w:tcMar>
            <w:vAlign w:val="center"/>
          </w:tcPr>
          <w:p w14:paraId="5B670A70" w14:textId="77777777" w:rsidR="0008002E" w:rsidRPr="00EE0EEB" w:rsidRDefault="0008002E" w:rsidP="00E81465">
            <w:pPr>
              <w:pStyle w:val="Tabletext0"/>
            </w:pPr>
            <w:r w:rsidRPr="00EE0EEB">
              <w:rPr>
                <w:b/>
                <w:bCs/>
              </w:rPr>
              <w:t>Prescribing Instructions</w:t>
            </w:r>
            <w:r w:rsidRPr="00EE0EEB">
              <w:t xml:space="preserve">: </w:t>
            </w:r>
          </w:p>
          <w:p w14:paraId="1B0861C0" w14:textId="77777777" w:rsidR="0008002E" w:rsidRPr="00EE0EEB" w:rsidRDefault="0008002E" w:rsidP="00E81465">
            <w:pPr>
              <w:pStyle w:val="Tabletext0"/>
            </w:pPr>
            <w:r w:rsidRPr="00EE0EEB">
              <w:t>The authority application must include the result of the baseline MMSE or SMMSE. If this score is 25 - 30 points, the result of an alternative cognitive assessment tool at baseline may also be specified.</w:t>
            </w:r>
          </w:p>
          <w:p w14:paraId="2B9ACE47" w14:textId="77777777" w:rsidR="0008002E" w:rsidRPr="00EE0EEB" w:rsidRDefault="0008002E" w:rsidP="00E81465">
            <w:pPr>
              <w:pStyle w:val="Tabletext0"/>
            </w:pPr>
          </w:p>
          <w:p w14:paraId="6CE8573A" w14:textId="77777777" w:rsidR="0008002E" w:rsidRPr="00EE0EEB" w:rsidRDefault="0008002E" w:rsidP="00E81465">
            <w:pPr>
              <w:pStyle w:val="Tabletext0"/>
            </w:pPr>
            <w:r w:rsidRPr="00EE0EEB">
              <w:t xml:space="preserve">The method for assessment of beta-amyloid positivity and date of the test must be documented in the patient’s medical records. </w:t>
            </w:r>
          </w:p>
          <w:p w14:paraId="28673951" w14:textId="77777777" w:rsidR="0008002E" w:rsidRPr="00EE0EEB" w:rsidRDefault="0008002E" w:rsidP="00E81465">
            <w:pPr>
              <w:pStyle w:val="Tabletext0"/>
            </w:pPr>
          </w:p>
          <w:p w14:paraId="1B0EABF9" w14:textId="77777777" w:rsidR="0008002E" w:rsidRPr="00EE0EEB" w:rsidRDefault="0008002E" w:rsidP="00E81465">
            <w:pPr>
              <w:pStyle w:val="Tabletext0"/>
            </w:pPr>
            <w:r w:rsidRPr="00EE0EEB">
              <w:t xml:space="preserve">Contraindication to magnetic resonance imaging (MRI) may include claustrophobia or the presence of </w:t>
            </w:r>
          </w:p>
          <w:p w14:paraId="1CE8373E" w14:textId="77777777" w:rsidR="0008002E" w:rsidRPr="00EE0EEB" w:rsidRDefault="0008002E" w:rsidP="00E81465">
            <w:pPr>
              <w:pStyle w:val="Tabletext0"/>
            </w:pPr>
            <w:r w:rsidRPr="00EE0EEB">
              <w:lastRenderedPageBreak/>
              <w:t>contraindicated metal (ferromagnetic) implants/cardiac pacemaker. An MRI scan within 6 months of this application must be available and must demonstrate the absence of:</w:t>
            </w:r>
          </w:p>
          <w:p w14:paraId="139BF974" w14:textId="77777777" w:rsidR="0008002E" w:rsidRPr="00EE0EEB" w:rsidRDefault="0008002E" w:rsidP="00E81465">
            <w:pPr>
              <w:pStyle w:val="Tabletext0"/>
            </w:pPr>
            <w:r w:rsidRPr="00EE0EEB">
              <w:t>prior intracerebral haemorrhage greater than 1 cm</w:t>
            </w:r>
          </w:p>
          <w:p w14:paraId="61BD85E5" w14:textId="77777777" w:rsidR="0008002E" w:rsidRPr="00EE0EEB" w:rsidRDefault="0008002E" w:rsidP="00E81465">
            <w:pPr>
              <w:pStyle w:val="Tabletext0"/>
            </w:pPr>
            <w:r w:rsidRPr="00EE0EEB">
              <w:t>more than 2 microhaemorrhages</w:t>
            </w:r>
            <w:r>
              <w:t xml:space="preserve">, </w:t>
            </w:r>
          </w:p>
          <w:p w14:paraId="3EC68938" w14:textId="77777777" w:rsidR="0008002E" w:rsidRPr="00EE0EEB" w:rsidRDefault="0008002E" w:rsidP="00E81465">
            <w:pPr>
              <w:pStyle w:val="Tabletext0"/>
            </w:pPr>
            <w:r w:rsidRPr="00EE0EEB">
              <w:t>superficial siderosis or vasogenic oedema (ARIA-E)</w:t>
            </w:r>
          </w:p>
          <w:p w14:paraId="618AF9D1" w14:textId="77777777" w:rsidR="0008002E" w:rsidRPr="00EE0EEB" w:rsidRDefault="0008002E" w:rsidP="00E81465">
            <w:pPr>
              <w:pStyle w:val="Tabletext0"/>
            </w:pPr>
            <w:r w:rsidRPr="00EE0EEB">
              <w:t>severe white matter disease</w:t>
            </w:r>
            <w:r>
              <w:t xml:space="preserve"> </w:t>
            </w:r>
            <w:r w:rsidRPr="00EE0EEB">
              <w:t>any finding that could prevent a satisfactory MRI evaluation for safety monitoring</w:t>
            </w:r>
          </w:p>
          <w:p w14:paraId="2B9EA3EA" w14:textId="77777777" w:rsidR="0008002E" w:rsidRPr="00E842E9" w:rsidRDefault="0008002E" w:rsidP="00E81465">
            <w:pPr>
              <w:pStyle w:val="TableText"/>
              <w:keepNext/>
              <w:rPr>
                <w:b/>
              </w:rPr>
            </w:pPr>
            <w:r w:rsidRPr="00EE0EEB">
              <w:t xml:space="preserve">The date of the MRI scan must be documented in the patient’s medical records. </w:t>
            </w:r>
          </w:p>
        </w:tc>
      </w:tr>
    </w:tbl>
    <w:p w14:paraId="2FD97D10" w14:textId="77777777" w:rsidR="0008002E" w:rsidRPr="00EE0EEB" w:rsidRDefault="0008002E" w:rsidP="0008002E">
      <w:pPr>
        <w:pStyle w:val="TableFooter"/>
      </w:pPr>
      <w:r w:rsidRPr="00EE0EEB">
        <w:lastRenderedPageBreak/>
        <w:t>Tables 1-18, 1-21 - 1-24, pp59-66 of the submission.</w:t>
      </w:r>
    </w:p>
    <w:p w14:paraId="459F99BE" w14:textId="77777777" w:rsidR="0008002E" w:rsidRPr="00EE0EEB" w:rsidRDefault="0008002E" w:rsidP="0008002E">
      <w:pPr>
        <w:pStyle w:val="TableFooter"/>
      </w:pPr>
      <w:r w:rsidRPr="00EE0EEB">
        <w:t>DPMQ=Dispensed Price for Maximum Quantity</w:t>
      </w:r>
    </w:p>
    <w:p w14:paraId="3E8FF2C1" w14:textId="1F90A43A" w:rsidR="0008002E" w:rsidRPr="00DA3C45" w:rsidRDefault="0008002E" w:rsidP="00DD02B1">
      <w:pPr>
        <w:pStyle w:val="3-BodyText"/>
        <w:numPr>
          <w:ilvl w:val="1"/>
          <w:numId w:val="23"/>
        </w:numPr>
        <w:spacing w:before="60" w:after="60"/>
        <w:ind w:left="709" w:hanging="709"/>
      </w:pPr>
      <w:r w:rsidRPr="00630A71">
        <w:t xml:space="preserve">The requested ex-manufacturer price per vial (EMP) </w:t>
      </w:r>
      <w:r w:rsidRPr="00DA3C45">
        <w:t>was $</w:t>
      </w:r>
      <w:r w:rsidR="00CD4EA9" w:rsidRPr="00CD4EA9">
        <w:rPr>
          <w:color w:val="000000"/>
          <w:w w:val="61"/>
          <w:shd w:val="solid" w:color="000000" w:fill="000000"/>
          <w:fitText w:val="472" w:id="-632121342"/>
          <w14:textFill>
            <w14:solidFill>
              <w14:srgbClr w14:val="000000">
                <w14:alpha w14:val="100000"/>
              </w14:srgbClr>
            </w14:solidFill>
          </w14:textFill>
        </w:rPr>
        <w:t>|||  ||</w:t>
      </w:r>
      <w:r w:rsidR="00CD4EA9" w:rsidRPr="00CD4EA9">
        <w:rPr>
          <w:color w:val="000000"/>
          <w:spacing w:val="2"/>
          <w:w w:val="61"/>
          <w:shd w:val="solid" w:color="000000" w:fill="000000"/>
          <w:fitText w:val="472" w:id="-632121342"/>
          <w14:textFill>
            <w14:solidFill>
              <w14:srgbClr w14:val="000000">
                <w14:alpha w14:val="100000"/>
              </w14:srgbClr>
            </w14:solidFill>
          </w14:textFill>
        </w:rPr>
        <w:t>|</w:t>
      </w:r>
      <w:r w:rsidRPr="00DA3C45">
        <w:t xml:space="preserve"> and the dispensed prices for maximum quantity (DPMQ) (4 vials) were $</w:t>
      </w:r>
      <w:r w:rsidR="00CD4EA9" w:rsidRPr="00CD4EA9">
        <w:rPr>
          <w:color w:val="000000"/>
          <w:w w:val="61"/>
          <w:shd w:val="solid" w:color="000000" w:fill="000000"/>
          <w:fitText w:val="472" w:id="-632121341"/>
          <w14:textFill>
            <w14:solidFill>
              <w14:srgbClr w14:val="000000">
                <w14:alpha w14:val="100000"/>
              </w14:srgbClr>
            </w14:solidFill>
          </w14:textFill>
        </w:rPr>
        <w:t>|||  ||</w:t>
      </w:r>
      <w:r w:rsidR="00CD4EA9" w:rsidRPr="00CD4EA9">
        <w:rPr>
          <w:color w:val="000000"/>
          <w:spacing w:val="2"/>
          <w:w w:val="61"/>
          <w:shd w:val="solid" w:color="000000" w:fill="000000"/>
          <w:fitText w:val="472" w:id="-632121341"/>
          <w14:textFill>
            <w14:solidFill>
              <w14:srgbClr w14:val="000000">
                <w14:alpha w14:val="100000"/>
              </w14:srgbClr>
            </w14:solidFill>
          </w14:textFill>
        </w:rPr>
        <w:t>|</w:t>
      </w:r>
      <w:r w:rsidRPr="00DA3C45">
        <w:t xml:space="preserve"> for public hospital and $</w:t>
      </w:r>
      <w:r w:rsidR="00CD4EA9" w:rsidRPr="00CD4EA9">
        <w:rPr>
          <w:color w:val="000000"/>
          <w:w w:val="61"/>
          <w:shd w:val="solid" w:color="000000" w:fill="000000"/>
          <w:fitText w:val="472" w:id="-632121340"/>
          <w14:textFill>
            <w14:solidFill>
              <w14:srgbClr w14:val="000000">
                <w14:alpha w14:val="100000"/>
              </w14:srgbClr>
            </w14:solidFill>
          </w14:textFill>
        </w:rPr>
        <w:t>|||  ||</w:t>
      </w:r>
      <w:r w:rsidR="00CD4EA9" w:rsidRPr="00CD4EA9">
        <w:rPr>
          <w:color w:val="000000"/>
          <w:spacing w:val="2"/>
          <w:w w:val="61"/>
          <w:shd w:val="solid" w:color="000000" w:fill="000000"/>
          <w:fitText w:val="472" w:id="-632121340"/>
          <w14:textFill>
            <w14:solidFill>
              <w14:srgbClr w14:val="000000">
                <w14:alpha w14:val="100000"/>
              </w14:srgbClr>
            </w14:solidFill>
          </w14:textFill>
        </w:rPr>
        <w:t>|</w:t>
      </w:r>
      <w:r w:rsidRPr="00DA3C45">
        <w:t xml:space="preserve"> for private hospital.</w:t>
      </w:r>
    </w:p>
    <w:p w14:paraId="3360A683" w14:textId="77777777" w:rsidR="0008002E" w:rsidRDefault="0008002E" w:rsidP="00DD02B1">
      <w:pPr>
        <w:pStyle w:val="3-BodyText"/>
        <w:numPr>
          <w:ilvl w:val="1"/>
          <w:numId w:val="23"/>
        </w:numPr>
        <w:spacing w:before="60" w:after="60"/>
        <w:ind w:left="709" w:hanging="709"/>
      </w:pPr>
      <w:r w:rsidRPr="00630A71">
        <w:t xml:space="preserve">The submission requested an Authority Required benefit on the PBS Highly Specialised Drugs Program [Section 100 (S100)]. A S100 listing was considered appropriate in the submission given the assessment and monitoring requirements associated with treatment. </w:t>
      </w:r>
    </w:p>
    <w:p w14:paraId="04E18DB5" w14:textId="31A73B02" w:rsidR="00B82B75" w:rsidRPr="00630A71" w:rsidRDefault="00B82B75" w:rsidP="00DD02B1">
      <w:pPr>
        <w:pStyle w:val="3-BodyText"/>
        <w:numPr>
          <w:ilvl w:val="1"/>
          <w:numId w:val="23"/>
        </w:numPr>
        <w:spacing w:before="60" w:after="60"/>
        <w:ind w:left="709" w:hanging="709"/>
      </w:pPr>
      <w:r w:rsidRPr="00630A71">
        <w:t xml:space="preserve">The </w:t>
      </w:r>
      <w:r>
        <w:t>recommended</w:t>
      </w:r>
      <w:r w:rsidRPr="00630A71" w:rsidDel="00F67FA1">
        <w:t xml:space="preserve"> </w:t>
      </w:r>
      <w:r w:rsidRPr="00630A71">
        <w:t xml:space="preserve">dosing regimen in the </w:t>
      </w:r>
      <w:r>
        <w:t xml:space="preserve">TGA approved Product Information </w:t>
      </w:r>
      <w:r w:rsidRPr="00630A71">
        <w:t xml:space="preserve">is </w:t>
      </w:r>
      <w:r w:rsidR="00BD562F">
        <w:t>350 </w:t>
      </w:r>
      <w:r>
        <w:t xml:space="preserve">mg at Week 0, 700 mg at Week 4, 1,050 mg at Week 8, </w:t>
      </w:r>
      <w:r w:rsidRPr="00630A71">
        <w:t xml:space="preserve">followed by 1,400 mg </w:t>
      </w:r>
      <w:r>
        <w:t>every four weeks (</w:t>
      </w:r>
      <w:r w:rsidRPr="00630A71">
        <w:t>Q4W</w:t>
      </w:r>
      <w:r>
        <w:t>)</w:t>
      </w:r>
      <w:r w:rsidRPr="00630A71">
        <w:t xml:space="preserve"> thereafter. This regimen</w:t>
      </w:r>
      <w:r>
        <w:t>, which is referred to here as the enhanced regimen,</w:t>
      </w:r>
      <w:r w:rsidRPr="00630A71">
        <w:t xml:space="preserve"> was based on findings from the TB-6 trial which showed the incidence of ARIA-E was lower compared with the regimen</w:t>
      </w:r>
      <w:r>
        <w:t xml:space="preserve"> from the TB-2 trial (700 mg Q4W for the first 3 doses, followed by 1,400 mg Q4W thereafter, referred to as the standard regimen)</w:t>
      </w:r>
      <w:r w:rsidRPr="00630A71">
        <w:t xml:space="preserve">. </w:t>
      </w:r>
    </w:p>
    <w:p w14:paraId="1DE0C59C" w14:textId="551FF28A" w:rsidR="0008002E" w:rsidRPr="00630A71" w:rsidRDefault="0008002E" w:rsidP="00DD02B1">
      <w:pPr>
        <w:pStyle w:val="3-BodyText"/>
        <w:numPr>
          <w:ilvl w:val="1"/>
          <w:numId w:val="23"/>
        </w:numPr>
        <w:spacing w:before="60" w:after="60"/>
        <w:ind w:left="709" w:hanging="709"/>
      </w:pPr>
      <w:r w:rsidRPr="00630A71">
        <w:t xml:space="preserve">The submission noted that treatment with donanemab </w:t>
      </w:r>
      <w:r w:rsidR="00CF299C">
        <w:t>is recommended to</w:t>
      </w:r>
      <w:r w:rsidR="00CF299C" w:rsidRPr="00630A71">
        <w:t xml:space="preserve"> </w:t>
      </w:r>
      <w:r w:rsidRPr="00630A71">
        <w:t>be maintained until amyloid plaques are cleared as assessed with a validated method, up to a maximum of 18 months treatment</w:t>
      </w:r>
      <w:r w:rsidR="001C6ED7">
        <w:t xml:space="preserve"> as part of the ‘treat-to-clearance’ strategy</w:t>
      </w:r>
      <w:r w:rsidRPr="00630A71">
        <w:t xml:space="preserve">. If assessment of amyloid clearance was not possible, treatment should be continued for up to 18 months. </w:t>
      </w:r>
    </w:p>
    <w:p w14:paraId="5309B93A" w14:textId="5A28A757" w:rsidR="0008002E" w:rsidRPr="00630A71" w:rsidRDefault="0008002E" w:rsidP="00DD02B1">
      <w:pPr>
        <w:pStyle w:val="3-BodyText"/>
        <w:numPr>
          <w:ilvl w:val="1"/>
          <w:numId w:val="23"/>
        </w:numPr>
        <w:spacing w:before="60" w:after="60"/>
        <w:ind w:left="709" w:hanging="709"/>
      </w:pPr>
      <w:r w:rsidRPr="00630A71">
        <w:t xml:space="preserve">The enhanced titration dose regimen, and monitoring schedule for donanemab, </w:t>
      </w:r>
      <w:r w:rsidR="00190927">
        <w:t>is</w:t>
      </w:r>
      <w:r w:rsidRPr="00630A71">
        <w:t xml:space="preserve"> presented in </w:t>
      </w:r>
      <w:r w:rsidR="004610B5">
        <w:fldChar w:fldCharType="begin"/>
      </w:r>
      <w:r w:rsidR="004610B5">
        <w:instrText xml:space="preserve"> REF _Ref204779722 \h </w:instrText>
      </w:r>
      <w:r w:rsidR="004610B5">
        <w:fldChar w:fldCharType="separate"/>
      </w:r>
      <w:r w:rsidR="00392423">
        <w:t xml:space="preserve">Table </w:t>
      </w:r>
      <w:r w:rsidR="00392423">
        <w:rPr>
          <w:noProof/>
        </w:rPr>
        <w:t>2</w:t>
      </w:r>
      <w:r w:rsidR="004610B5">
        <w:fldChar w:fldCharType="end"/>
      </w:r>
      <w:r w:rsidRPr="00630A71">
        <w:t>.</w:t>
      </w:r>
      <w:r>
        <w:t xml:space="preserve"> </w:t>
      </w:r>
    </w:p>
    <w:p w14:paraId="3713D1D1" w14:textId="709DE1FD" w:rsidR="0008002E" w:rsidRPr="00EE0EEB" w:rsidRDefault="004610B5" w:rsidP="006C66C7">
      <w:pPr>
        <w:pStyle w:val="Caption"/>
        <w:keepLines/>
      </w:pPr>
      <w:bookmarkStart w:id="6" w:name="_Ref204779722"/>
      <w:r>
        <w:lastRenderedPageBreak/>
        <w:t xml:space="preserve">Table </w:t>
      </w:r>
      <w:r>
        <w:fldChar w:fldCharType="begin"/>
      </w:r>
      <w:r>
        <w:instrText xml:space="preserve"> SEQ Table \* ARABIC </w:instrText>
      </w:r>
      <w:r>
        <w:fldChar w:fldCharType="separate"/>
      </w:r>
      <w:r w:rsidR="00392423">
        <w:rPr>
          <w:noProof/>
        </w:rPr>
        <w:t>2</w:t>
      </w:r>
      <w:r>
        <w:fldChar w:fldCharType="end"/>
      </w:r>
      <w:bookmarkEnd w:id="6"/>
      <w:r>
        <w:t xml:space="preserve">: </w:t>
      </w:r>
      <w:r w:rsidR="000A0F04">
        <w:t xml:space="preserve"> </w:t>
      </w:r>
      <w:r w:rsidR="0008002E" w:rsidRPr="00EE0EEB">
        <w:t>Donanemab treatment and monitoring schedule</w:t>
      </w:r>
    </w:p>
    <w:tbl>
      <w:tblPr>
        <w:tblStyle w:val="HTATableshaded"/>
        <w:tblW w:w="0" w:type="auto"/>
        <w:tblLayout w:type="fixed"/>
        <w:tblLook w:val="04A0" w:firstRow="1" w:lastRow="0" w:firstColumn="1" w:lastColumn="0" w:noHBand="0" w:noVBand="1"/>
        <w:tblCaption w:val="Table 2:  Donanemab treatment and monitoring schedule"/>
      </w:tblPr>
      <w:tblGrid>
        <w:gridCol w:w="988"/>
        <w:gridCol w:w="567"/>
        <w:gridCol w:w="425"/>
        <w:gridCol w:w="425"/>
        <w:gridCol w:w="384"/>
        <w:gridCol w:w="415"/>
        <w:gridCol w:w="477"/>
        <w:gridCol w:w="353"/>
        <w:gridCol w:w="415"/>
        <w:gridCol w:w="415"/>
        <w:gridCol w:w="416"/>
        <w:gridCol w:w="415"/>
        <w:gridCol w:w="415"/>
        <w:gridCol w:w="406"/>
        <w:gridCol w:w="424"/>
        <w:gridCol w:w="415"/>
        <w:gridCol w:w="415"/>
        <w:gridCol w:w="415"/>
        <w:gridCol w:w="415"/>
        <w:gridCol w:w="416"/>
      </w:tblGrid>
      <w:tr w:rsidR="0008002E" w:rsidRPr="00EE0EEB" w14:paraId="4B69A4E9" w14:textId="77777777" w:rsidTr="00E81465">
        <w:trPr>
          <w:cnfStyle w:val="100000000000" w:firstRow="1" w:lastRow="0" w:firstColumn="0" w:lastColumn="0" w:oddVBand="0" w:evenVBand="0" w:oddHBand="0" w:evenHBand="0" w:firstRowFirstColumn="0" w:firstRowLastColumn="0" w:lastRowFirstColumn="0" w:lastRowLastColumn="0"/>
          <w:trHeight w:val="235"/>
        </w:trPr>
        <w:tc>
          <w:tcPr>
            <w:tcW w:w="988" w:type="dxa"/>
            <w:tcMar>
              <w:left w:w="20" w:type="dxa"/>
              <w:right w:w="20" w:type="dxa"/>
            </w:tcMar>
          </w:tcPr>
          <w:p w14:paraId="0E652069" w14:textId="77777777" w:rsidR="0008002E" w:rsidRPr="00EE0EEB" w:rsidRDefault="0008002E" w:rsidP="006C66C7">
            <w:pPr>
              <w:pStyle w:val="TableText"/>
              <w:keepNext/>
              <w:keepLines/>
              <w:rPr>
                <w:b/>
                <w:bCs/>
              </w:rPr>
            </w:pPr>
            <w:r w:rsidRPr="00EE0EEB">
              <w:rPr>
                <w:b/>
              </w:rPr>
              <w:t>Week</w:t>
            </w:r>
            <w:r>
              <w:rPr>
                <w:b/>
              </w:rPr>
              <w:t xml:space="preserve"> </w:t>
            </w:r>
          </w:p>
        </w:tc>
        <w:tc>
          <w:tcPr>
            <w:tcW w:w="567" w:type="dxa"/>
            <w:tcMar>
              <w:left w:w="20" w:type="dxa"/>
              <w:right w:w="20" w:type="dxa"/>
            </w:tcMar>
            <w:vAlign w:val="center"/>
          </w:tcPr>
          <w:p w14:paraId="58991BAF" w14:textId="77777777" w:rsidR="0008002E" w:rsidRPr="00EE0EEB" w:rsidRDefault="0008002E" w:rsidP="006C66C7">
            <w:pPr>
              <w:pStyle w:val="TableText"/>
              <w:keepNext/>
              <w:keepLines/>
              <w:ind w:left="-57" w:right="-57"/>
              <w:jc w:val="center"/>
            </w:pPr>
            <w:r w:rsidRPr="00EE0EEB">
              <w:t>0</w:t>
            </w:r>
          </w:p>
        </w:tc>
        <w:tc>
          <w:tcPr>
            <w:tcW w:w="425" w:type="dxa"/>
            <w:tcMar>
              <w:left w:w="20" w:type="dxa"/>
              <w:right w:w="20" w:type="dxa"/>
            </w:tcMar>
            <w:vAlign w:val="center"/>
          </w:tcPr>
          <w:p w14:paraId="04C7E39E" w14:textId="77777777" w:rsidR="0008002E" w:rsidRPr="00EE0EEB" w:rsidRDefault="0008002E" w:rsidP="006C66C7">
            <w:pPr>
              <w:pStyle w:val="TableText"/>
              <w:keepNext/>
              <w:keepLines/>
              <w:ind w:left="-57" w:right="-57"/>
              <w:jc w:val="center"/>
            </w:pPr>
            <w:r w:rsidRPr="00EE0EEB">
              <w:t>4</w:t>
            </w:r>
          </w:p>
        </w:tc>
        <w:tc>
          <w:tcPr>
            <w:tcW w:w="425" w:type="dxa"/>
            <w:tcMar>
              <w:left w:w="20" w:type="dxa"/>
              <w:right w:w="20" w:type="dxa"/>
            </w:tcMar>
            <w:vAlign w:val="center"/>
          </w:tcPr>
          <w:p w14:paraId="0373CC1D" w14:textId="77777777" w:rsidR="0008002E" w:rsidRPr="00EE0EEB" w:rsidRDefault="0008002E" w:rsidP="006C66C7">
            <w:pPr>
              <w:pStyle w:val="TableText"/>
              <w:keepNext/>
              <w:keepLines/>
              <w:ind w:left="-57" w:right="-57"/>
              <w:jc w:val="center"/>
            </w:pPr>
            <w:r w:rsidRPr="00EE0EEB">
              <w:t>8</w:t>
            </w:r>
          </w:p>
        </w:tc>
        <w:tc>
          <w:tcPr>
            <w:tcW w:w="384" w:type="dxa"/>
            <w:tcMar>
              <w:left w:w="20" w:type="dxa"/>
              <w:right w:w="20" w:type="dxa"/>
            </w:tcMar>
            <w:vAlign w:val="center"/>
          </w:tcPr>
          <w:p w14:paraId="0C6A325B" w14:textId="77777777" w:rsidR="0008002E" w:rsidRPr="00EE0EEB" w:rsidRDefault="0008002E" w:rsidP="006C66C7">
            <w:pPr>
              <w:pStyle w:val="TableText"/>
              <w:keepNext/>
              <w:keepLines/>
              <w:ind w:left="-57" w:right="-57"/>
              <w:jc w:val="center"/>
            </w:pPr>
            <w:r w:rsidRPr="00EE0EEB">
              <w:t>12</w:t>
            </w:r>
          </w:p>
        </w:tc>
        <w:tc>
          <w:tcPr>
            <w:tcW w:w="415" w:type="dxa"/>
            <w:tcMar>
              <w:left w:w="20" w:type="dxa"/>
              <w:right w:w="20" w:type="dxa"/>
            </w:tcMar>
            <w:vAlign w:val="center"/>
          </w:tcPr>
          <w:p w14:paraId="611A7AEA" w14:textId="77777777" w:rsidR="0008002E" w:rsidRPr="00EE0EEB" w:rsidRDefault="0008002E" w:rsidP="006C66C7">
            <w:pPr>
              <w:pStyle w:val="TableText"/>
              <w:keepNext/>
              <w:keepLines/>
              <w:ind w:left="-57" w:right="-57"/>
              <w:jc w:val="center"/>
            </w:pPr>
            <w:r w:rsidRPr="00EE0EEB">
              <w:t>16</w:t>
            </w:r>
          </w:p>
        </w:tc>
        <w:tc>
          <w:tcPr>
            <w:tcW w:w="477" w:type="dxa"/>
            <w:tcMar>
              <w:left w:w="20" w:type="dxa"/>
              <w:right w:w="20" w:type="dxa"/>
            </w:tcMar>
            <w:vAlign w:val="center"/>
          </w:tcPr>
          <w:p w14:paraId="4FEA4324" w14:textId="77777777" w:rsidR="0008002E" w:rsidRPr="00EE0EEB" w:rsidRDefault="0008002E" w:rsidP="006C66C7">
            <w:pPr>
              <w:pStyle w:val="TableText"/>
              <w:keepNext/>
              <w:keepLines/>
              <w:ind w:left="-57" w:right="-57"/>
              <w:jc w:val="center"/>
              <w:rPr>
                <w:b/>
                <w:bCs/>
              </w:rPr>
            </w:pPr>
            <w:r w:rsidRPr="00EE0EEB">
              <w:rPr>
                <w:b/>
              </w:rPr>
              <w:t>20</w:t>
            </w:r>
          </w:p>
        </w:tc>
        <w:tc>
          <w:tcPr>
            <w:tcW w:w="353" w:type="dxa"/>
            <w:tcMar>
              <w:left w:w="20" w:type="dxa"/>
              <w:right w:w="20" w:type="dxa"/>
            </w:tcMar>
            <w:vAlign w:val="center"/>
          </w:tcPr>
          <w:p w14:paraId="691E97A3" w14:textId="77777777" w:rsidR="0008002E" w:rsidRPr="00EE0EEB" w:rsidRDefault="0008002E" w:rsidP="006C66C7">
            <w:pPr>
              <w:pStyle w:val="TableText"/>
              <w:keepNext/>
              <w:keepLines/>
              <w:ind w:left="-57" w:right="-57"/>
              <w:jc w:val="center"/>
            </w:pPr>
            <w:r w:rsidRPr="00EE0EEB">
              <w:t>24</w:t>
            </w:r>
          </w:p>
        </w:tc>
        <w:tc>
          <w:tcPr>
            <w:tcW w:w="415" w:type="dxa"/>
            <w:tcMar>
              <w:left w:w="20" w:type="dxa"/>
              <w:right w:w="20" w:type="dxa"/>
            </w:tcMar>
            <w:vAlign w:val="center"/>
          </w:tcPr>
          <w:p w14:paraId="55AC4711" w14:textId="77777777" w:rsidR="0008002E" w:rsidRPr="00EE0EEB" w:rsidRDefault="0008002E" w:rsidP="006C66C7">
            <w:pPr>
              <w:pStyle w:val="TableText"/>
              <w:keepNext/>
              <w:keepLines/>
              <w:ind w:left="-57" w:right="-57"/>
              <w:jc w:val="center"/>
            </w:pPr>
            <w:r w:rsidRPr="00EE0EEB">
              <w:t>28</w:t>
            </w:r>
          </w:p>
        </w:tc>
        <w:tc>
          <w:tcPr>
            <w:tcW w:w="415" w:type="dxa"/>
            <w:tcMar>
              <w:left w:w="20" w:type="dxa"/>
              <w:right w:w="20" w:type="dxa"/>
            </w:tcMar>
            <w:vAlign w:val="center"/>
          </w:tcPr>
          <w:p w14:paraId="4D2F44DF" w14:textId="77777777" w:rsidR="0008002E" w:rsidRPr="00EE0EEB" w:rsidRDefault="0008002E" w:rsidP="006C66C7">
            <w:pPr>
              <w:pStyle w:val="TableText"/>
              <w:keepNext/>
              <w:keepLines/>
              <w:ind w:left="-57" w:right="-57"/>
              <w:jc w:val="center"/>
            </w:pPr>
            <w:r w:rsidRPr="00EE0EEB">
              <w:t>32</w:t>
            </w:r>
          </w:p>
        </w:tc>
        <w:tc>
          <w:tcPr>
            <w:tcW w:w="416" w:type="dxa"/>
            <w:tcMar>
              <w:left w:w="20" w:type="dxa"/>
              <w:right w:w="20" w:type="dxa"/>
            </w:tcMar>
            <w:vAlign w:val="center"/>
          </w:tcPr>
          <w:p w14:paraId="2971F5DB" w14:textId="77777777" w:rsidR="0008002E" w:rsidRPr="00EE0EEB" w:rsidRDefault="0008002E" w:rsidP="006C66C7">
            <w:pPr>
              <w:pStyle w:val="TableText"/>
              <w:keepNext/>
              <w:keepLines/>
              <w:ind w:left="-57" w:right="-57"/>
              <w:jc w:val="center"/>
            </w:pPr>
            <w:r w:rsidRPr="00EE0EEB">
              <w:t>36</w:t>
            </w:r>
          </w:p>
        </w:tc>
        <w:tc>
          <w:tcPr>
            <w:tcW w:w="415" w:type="dxa"/>
            <w:tcMar>
              <w:left w:w="20" w:type="dxa"/>
              <w:right w:w="20" w:type="dxa"/>
            </w:tcMar>
            <w:vAlign w:val="center"/>
          </w:tcPr>
          <w:p w14:paraId="13F19A0B" w14:textId="77777777" w:rsidR="0008002E" w:rsidRPr="00EE0EEB" w:rsidRDefault="0008002E" w:rsidP="006C66C7">
            <w:pPr>
              <w:pStyle w:val="TableText"/>
              <w:keepNext/>
              <w:keepLines/>
              <w:ind w:left="-57" w:right="-57"/>
              <w:jc w:val="center"/>
            </w:pPr>
            <w:r w:rsidRPr="00EE0EEB">
              <w:t>40</w:t>
            </w:r>
          </w:p>
        </w:tc>
        <w:tc>
          <w:tcPr>
            <w:tcW w:w="415" w:type="dxa"/>
            <w:tcMar>
              <w:left w:w="20" w:type="dxa"/>
              <w:right w:w="20" w:type="dxa"/>
            </w:tcMar>
            <w:vAlign w:val="center"/>
          </w:tcPr>
          <w:p w14:paraId="36AF566A" w14:textId="77777777" w:rsidR="0008002E" w:rsidRPr="00EE0EEB" w:rsidRDefault="0008002E" w:rsidP="006C66C7">
            <w:pPr>
              <w:pStyle w:val="TableText"/>
              <w:keepNext/>
              <w:keepLines/>
              <w:ind w:left="-57" w:right="-57"/>
              <w:jc w:val="center"/>
            </w:pPr>
            <w:r w:rsidRPr="00EE0EEB">
              <w:t>44</w:t>
            </w:r>
          </w:p>
        </w:tc>
        <w:tc>
          <w:tcPr>
            <w:tcW w:w="406" w:type="dxa"/>
            <w:tcMar>
              <w:left w:w="20" w:type="dxa"/>
              <w:right w:w="20" w:type="dxa"/>
            </w:tcMar>
            <w:vAlign w:val="center"/>
          </w:tcPr>
          <w:p w14:paraId="7F92DFBE" w14:textId="77777777" w:rsidR="0008002E" w:rsidRPr="00EE0EEB" w:rsidRDefault="0008002E" w:rsidP="006C66C7">
            <w:pPr>
              <w:pStyle w:val="TableText"/>
              <w:keepNext/>
              <w:keepLines/>
              <w:ind w:left="-57" w:right="-57"/>
              <w:jc w:val="center"/>
              <w:rPr>
                <w:b/>
                <w:bCs/>
              </w:rPr>
            </w:pPr>
            <w:r w:rsidRPr="00EE0EEB">
              <w:rPr>
                <w:b/>
              </w:rPr>
              <w:t>48</w:t>
            </w:r>
          </w:p>
        </w:tc>
        <w:tc>
          <w:tcPr>
            <w:tcW w:w="424" w:type="dxa"/>
            <w:tcMar>
              <w:left w:w="20" w:type="dxa"/>
              <w:right w:w="20" w:type="dxa"/>
            </w:tcMar>
            <w:vAlign w:val="center"/>
          </w:tcPr>
          <w:p w14:paraId="409E87EA" w14:textId="77777777" w:rsidR="0008002E" w:rsidRPr="00EE0EEB" w:rsidRDefault="0008002E" w:rsidP="006C66C7">
            <w:pPr>
              <w:pStyle w:val="TableText"/>
              <w:keepNext/>
              <w:keepLines/>
              <w:ind w:left="-57" w:right="-57"/>
              <w:jc w:val="center"/>
            </w:pPr>
            <w:r w:rsidRPr="00EE0EEB">
              <w:t>52</w:t>
            </w:r>
          </w:p>
        </w:tc>
        <w:tc>
          <w:tcPr>
            <w:tcW w:w="415" w:type="dxa"/>
            <w:tcMar>
              <w:left w:w="20" w:type="dxa"/>
              <w:right w:w="20" w:type="dxa"/>
            </w:tcMar>
            <w:vAlign w:val="center"/>
          </w:tcPr>
          <w:p w14:paraId="1CD0FAA5" w14:textId="77777777" w:rsidR="0008002E" w:rsidRPr="00EE0EEB" w:rsidRDefault="0008002E" w:rsidP="006C66C7">
            <w:pPr>
              <w:pStyle w:val="TableText"/>
              <w:keepNext/>
              <w:keepLines/>
              <w:ind w:left="-57" w:right="-57"/>
              <w:jc w:val="center"/>
            </w:pPr>
            <w:r w:rsidRPr="00EE0EEB">
              <w:t>56</w:t>
            </w:r>
          </w:p>
        </w:tc>
        <w:tc>
          <w:tcPr>
            <w:tcW w:w="415" w:type="dxa"/>
            <w:tcMar>
              <w:left w:w="20" w:type="dxa"/>
              <w:right w:w="20" w:type="dxa"/>
            </w:tcMar>
            <w:vAlign w:val="center"/>
          </w:tcPr>
          <w:p w14:paraId="182C4F3B" w14:textId="77777777" w:rsidR="0008002E" w:rsidRPr="00EE0EEB" w:rsidRDefault="0008002E" w:rsidP="006C66C7">
            <w:pPr>
              <w:pStyle w:val="TableText"/>
              <w:keepNext/>
              <w:keepLines/>
              <w:ind w:left="-57" w:right="-57"/>
              <w:jc w:val="center"/>
            </w:pPr>
            <w:r w:rsidRPr="00EE0EEB">
              <w:t>60</w:t>
            </w:r>
          </w:p>
        </w:tc>
        <w:tc>
          <w:tcPr>
            <w:tcW w:w="415" w:type="dxa"/>
            <w:tcMar>
              <w:left w:w="20" w:type="dxa"/>
              <w:right w:w="20" w:type="dxa"/>
            </w:tcMar>
            <w:vAlign w:val="center"/>
          </w:tcPr>
          <w:p w14:paraId="76E84241" w14:textId="77777777" w:rsidR="0008002E" w:rsidRPr="00EE0EEB" w:rsidRDefault="0008002E" w:rsidP="006C66C7">
            <w:pPr>
              <w:pStyle w:val="TableText"/>
              <w:keepNext/>
              <w:keepLines/>
              <w:ind w:left="-57" w:right="-57"/>
              <w:jc w:val="center"/>
            </w:pPr>
            <w:r w:rsidRPr="00EE0EEB">
              <w:t>64</w:t>
            </w:r>
          </w:p>
        </w:tc>
        <w:tc>
          <w:tcPr>
            <w:tcW w:w="415" w:type="dxa"/>
            <w:tcMar>
              <w:left w:w="20" w:type="dxa"/>
              <w:right w:w="20" w:type="dxa"/>
            </w:tcMar>
            <w:vAlign w:val="center"/>
          </w:tcPr>
          <w:p w14:paraId="47429DD1" w14:textId="77777777" w:rsidR="0008002E" w:rsidRPr="00EE0EEB" w:rsidRDefault="0008002E" w:rsidP="006C66C7">
            <w:pPr>
              <w:pStyle w:val="TableText"/>
              <w:keepNext/>
              <w:keepLines/>
              <w:ind w:left="-57" w:right="-57"/>
              <w:jc w:val="center"/>
            </w:pPr>
            <w:r w:rsidRPr="00EE0EEB">
              <w:t>68</w:t>
            </w:r>
          </w:p>
        </w:tc>
        <w:tc>
          <w:tcPr>
            <w:tcW w:w="416" w:type="dxa"/>
            <w:tcMar>
              <w:left w:w="20" w:type="dxa"/>
              <w:right w:w="20" w:type="dxa"/>
            </w:tcMar>
            <w:vAlign w:val="center"/>
          </w:tcPr>
          <w:p w14:paraId="61AD2B79" w14:textId="77777777" w:rsidR="0008002E" w:rsidRPr="00EE0EEB" w:rsidRDefault="0008002E" w:rsidP="006C66C7">
            <w:pPr>
              <w:pStyle w:val="TableText"/>
              <w:keepNext/>
              <w:keepLines/>
              <w:ind w:left="-57" w:right="-57"/>
              <w:jc w:val="center"/>
              <w:rPr>
                <w:b/>
                <w:bCs/>
              </w:rPr>
            </w:pPr>
            <w:r w:rsidRPr="00EE0EEB">
              <w:rPr>
                <w:b/>
              </w:rPr>
              <w:t>72</w:t>
            </w:r>
          </w:p>
        </w:tc>
      </w:tr>
      <w:tr w:rsidR="0008002E" w:rsidRPr="00EE0EEB" w14:paraId="009E985F" w14:textId="77777777" w:rsidTr="00E81465">
        <w:trPr>
          <w:trHeight w:val="235"/>
        </w:trPr>
        <w:tc>
          <w:tcPr>
            <w:tcW w:w="988" w:type="dxa"/>
            <w:tcMar>
              <w:left w:w="20" w:type="dxa"/>
              <w:right w:w="20" w:type="dxa"/>
            </w:tcMar>
          </w:tcPr>
          <w:p w14:paraId="2EE86453" w14:textId="77777777" w:rsidR="0008002E" w:rsidRPr="00EE0EEB" w:rsidRDefault="0008002E" w:rsidP="006C66C7">
            <w:pPr>
              <w:pStyle w:val="TableText"/>
              <w:keepNext/>
              <w:keepLines/>
              <w:rPr>
                <w:b/>
                <w:bCs/>
              </w:rPr>
            </w:pPr>
            <w:r w:rsidRPr="00EE0EEB">
              <w:rPr>
                <w:b/>
              </w:rPr>
              <w:t>Infusion</w:t>
            </w:r>
            <w:r>
              <w:rPr>
                <w:b/>
              </w:rPr>
              <w:t xml:space="preserve"> #</w:t>
            </w:r>
          </w:p>
        </w:tc>
        <w:tc>
          <w:tcPr>
            <w:tcW w:w="567" w:type="dxa"/>
            <w:tcMar>
              <w:left w:w="20" w:type="dxa"/>
              <w:right w:w="20" w:type="dxa"/>
            </w:tcMar>
            <w:vAlign w:val="center"/>
          </w:tcPr>
          <w:p w14:paraId="245D8A4A" w14:textId="77777777" w:rsidR="0008002E" w:rsidRPr="00EE0EEB" w:rsidRDefault="0008002E" w:rsidP="006C66C7">
            <w:pPr>
              <w:pStyle w:val="TableText"/>
              <w:keepNext/>
              <w:keepLines/>
              <w:ind w:left="-57" w:right="-57"/>
              <w:jc w:val="center"/>
            </w:pPr>
            <w:r w:rsidRPr="00EE0EEB">
              <w:t>1</w:t>
            </w:r>
          </w:p>
        </w:tc>
        <w:tc>
          <w:tcPr>
            <w:tcW w:w="425" w:type="dxa"/>
            <w:tcMar>
              <w:left w:w="20" w:type="dxa"/>
              <w:right w:w="20" w:type="dxa"/>
            </w:tcMar>
            <w:vAlign w:val="center"/>
          </w:tcPr>
          <w:p w14:paraId="338EECF6" w14:textId="77777777" w:rsidR="0008002E" w:rsidRPr="00EE0EEB" w:rsidRDefault="0008002E" w:rsidP="006C66C7">
            <w:pPr>
              <w:pStyle w:val="TableText"/>
              <w:keepNext/>
              <w:keepLines/>
              <w:ind w:left="-57" w:right="-57"/>
              <w:jc w:val="center"/>
            </w:pPr>
            <w:r w:rsidRPr="00EE0EEB">
              <w:t>2</w:t>
            </w:r>
          </w:p>
        </w:tc>
        <w:tc>
          <w:tcPr>
            <w:tcW w:w="425" w:type="dxa"/>
            <w:tcMar>
              <w:left w:w="20" w:type="dxa"/>
              <w:right w:w="20" w:type="dxa"/>
            </w:tcMar>
            <w:vAlign w:val="center"/>
          </w:tcPr>
          <w:p w14:paraId="0D255610" w14:textId="77777777" w:rsidR="0008002E" w:rsidRPr="00EE0EEB" w:rsidRDefault="0008002E" w:rsidP="006C66C7">
            <w:pPr>
              <w:pStyle w:val="TableText"/>
              <w:keepNext/>
              <w:keepLines/>
              <w:ind w:left="-57" w:right="-57"/>
              <w:jc w:val="center"/>
            </w:pPr>
            <w:r w:rsidRPr="00EE0EEB">
              <w:t>3</w:t>
            </w:r>
          </w:p>
        </w:tc>
        <w:tc>
          <w:tcPr>
            <w:tcW w:w="384" w:type="dxa"/>
            <w:tcMar>
              <w:left w:w="20" w:type="dxa"/>
              <w:right w:w="20" w:type="dxa"/>
            </w:tcMar>
            <w:vAlign w:val="center"/>
          </w:tcPr>
          <w:p w14:paraId="6C635C3B" w14:textId="77777777" w:rsidR="0008002E" w:rsidRPr="00EE0EEB" w:rsidRDefault="0008002E" w:rsidP="006C66C7">
            <w:pPr>
              <w:pStyle w:val="TableText"/>
              <w:keepNext/>
              <w:keepLines/>
              <w:ind w:left="-57" w:right="-57"/>
              <w:jc w:val="center"/>
            </w:pPr>
            <w:r w:rsidRPr="00EE0EEB">
              <w:t>4</w:t>
            </w:r>
          </w:p>
        </w:tc>
        <w:tc>
          <w:tcPr>
            <w:tcW w:w="415" w:type="dxa"/>
            <w:tcMar>
              <w:left w:w="20" w:type="dxa"/>
              <w:right w:w="20" w:type="dxa"/>
            </w:tcMar>
            <w:vAlign w:val="center"/>
          </w:tcPr>
          <w:p w14:paraId="3AD63B05" w14:textId="77777777" w:rsidR="0008002E" w:rsidRPr="00EE0EEB" w:rsidRDefault="0008002E" w:rsidP="006C66C7">
            <w:pPr>
              <w:pStyle w:val="TableText"/>
              <w:keepNext/>
              <w:keepLines/>
              <w:ind w:left="-57" w:right="-57"/>
              <w:jc w:val="center"/>
            </w:pPr>
            <w:r w:rsidRPr="00EE0EEB">
              <w:t>5</w:t>
            </w:r>
          </w:p>
        </w:tc>
        <w:tc>
          <w:tcPr>
            <w:tcW w:w="477" w:type="dxa"/>
            <w:tcMar>
              <w:left w:w="20" w:type="dxa"/>
              <w:right w:w="20" w:type="dxa"/>
            </w:tcMar>
            <w:vAlign w:val="center"/>
          </w:tcPr>
          <w:p w14:paraId="47A304C2" w14:textId="77777777" w:rsidR="0008002E" w:rsidRPr="00EE0EEB" w:rsidRDefault="0008002E" w:rsidP="006C66C7">
            <w:pPr>
              <w:pStyle w:val="TableText"/>
              <w:keepNext/>
              <w:keepLines/>
              <w:ind w:left="-57" w:right="-57"/>
              <w:jc w:val="center"/>
              <w:rPr>
                <w:b/>
                <w:bCs/>
              </w:rPr>
            </w:pPr>
            <w:r w:rsidRPr="00EE0EEB">
              <w:rPr>
                <w:b/>
              </w:rPr>
              <w:t>6</w:t>
            </w:r>
          </w:p>
        </w:tc>
        <w:tc>
          <w:tcPr>
            <w:tcW w:w="353" w:type="dxa"/>
            <w:tcMar>
              <w:left w:w="20" w:type="dxa"/>
              <w:right w:w="20" w:type="dxa"/>
            </w:tcMar>
            <w:vAlign w:val="center"/>
          </w:tcPr>
          <w:p w14:paraId="53FA6D6D" w14:textId="77777777" w:rsidR="0008002E" w:rsidRPr="00EE0EEB" w:rsidRDefault="0008002E" w:rsidP="006C66C7">
            <w:pPr>
              <w:pStyle w:val="TableText"/>
              <w:keepNext/>
              <w:keepLines/>
              <w:ind w:left="-57" w:right="-57"/>
              <w:jc w:val="center"/>
            </w:pPr>
            <w:r w:rsidRPr="00EE0EEB">
              <w:t>7</w:t>
            </w:r>
          </w:p>
        </w:tc>
        <w:tc>
          <w:tcPr>
            <w:tcW w:w="415" w:type="dxa"/>
            <w:tcMar>
              <w:left w:w="20" w:type="dxa"/>
              <w:right w:w="20" w:type="dxa"/>
            </w:tcMar>
            <w:vAlign w:val="center"/>
          </w:tcPr>
          <w:p w14:paraId="4944DE77" w14:textId="77777777" w:rsidR="0008002E" w:rsidRPr="00EE0EEB" w:rsidRDefault="0008002E" w:rsidP="006C66C7">
            <w:pPr>
              <w:pStyle w:val="TableText"/>
              <w:keepNext/>
              <w:keepLines/>
              <w:ind w:left="-57" w:right="-57"/>
              <w:jc w:val="center"/>
            </w:pPr>
            <w:r w:rsidRPr="00EE0EEB">
              <w:t>8</w:t>
            </w:r>
          </w:p>
        </w:tc>
        <w:tc>
          <w:tcPr>
            <w:tcW w:w="415" w:type="dxa"/>
            <w:tcMar>
              <w:left w:w="20" w:type="dxa"/>
              <w:right w:w="20" w:type="dxa"/>
            </w:tcMar>
            <w:vAlign w:val="center"/>
          </w:tcPr>
          <w:p w14:paraId="72175C56" w14:textId="77777777" w:rsidR="0008002E" w:rsidRPr="00EE0EEB" w:rsidRDefault="0008002E" w:rsidP="006C66C7">
            <w:pPr>
              <w:pStyle w:val="TableText"/>
              <w:keepNext/>
              <w:keepLines/>
              <w:ind w:left="-57" w:right="-57"/>
              <w:jc w:val="center"/>
            </w:pPr>
            <w:r w:rsidRPr="00EE0EEB">
              <w:t>9</w:t>
            </w:r>
          </w:p>
        </w:tc>
        <w:tc>
          <w:tcPr>
            <w:tcW w:w="416" w:type="dxa"/>
            <w:tcMar>
              <w:left w:w="20" w:type="dxa"/>
              <w:right w:w="20" w:type="dxa"/>
            </w:tcMar>
            <w:vAlign w:val="center"/>
          </w:tcPr>
          <w:p w14:paraId="053E38AC" w14:textId="77777777" w:rsidR="0008002E" w:rsidRPr="00EE0EEB" w:rsidRDefault="0008002E" w:rsidP="006C66C7">
            <w:pPr>
              <w:pStyle w:val="TableText"/>
              <w:keepNext/>
              <w:keepLines/>
              <w:ind w:left="-57" w:right="-57"/>
              <w:jc w:val="center"/>
            </w:pPr>
            <w:r w:rsidRPr="00EE0EEB">
              <w:t>10</w:t>
            </w:r>
          </w:p>
        </w:tc>
        <w:tc>
          <w:tcPr>
            <w:tcW w:w="415" w:type="dxa"/>
            <w:tcMar>
              <w:left w:w="20" w:type="dxa"/>
              <w:right w:w="20" w:type="dxa"/>
            </w:tcMar>
            <w:vAlign w:val="center"/>
          </w:tcPr>
          <w:p w14:paraId="3F10C17A" w14:textId="77777777" w:rsidR="0008002E" w:rsidRPr="00EE0EEB" w:rsidRDefault="0008002E" w:rsidP="006C66C7">
            <w:pPr>
              <w:pStyle w:val="TableText"/>
              <w:keepNext/>
              <w:keepLines/>
              <w:ind w:left="-57" w:right="-57"/>
              <w:jc w:val="center"/>
            </w:pPr>
            <w:r w:rsidRPr="00EE0EEB">
              <w:t>11</w:t>
            </w:r>
          </w:p>
        </w:tc>
        <w:tc>
          <w:tcPr>
            <w:tcW w:w="415" w:type="dxa"/>
            <w:tcMar>
              <w:left w:w="20" w:type="dxa"/>
              <w:right w:w="20" w:type="dxa"/>
            </w:tcMar>
            <w:vAlign w:val="center"/>
          </w:tcPr>
          <w:p w14:paraId="00DB387F" w14:textId="77777777" w:rsidR="0008002E" w:rsidRPr="00EE0EEB" w:rsidRDefault="0008002E" w:rsidP="006C66C7">
            <w:pPr>
              <w:pStyle w:val="TableText"/>
              <w:keepNext/>
              <w:keepLines/>
              <w:ind w:left="-57" w:right="-57"/>
              <w:jc w:val="center"/>
            </w:pPr>
            <w:r w:rsidRPr="00EE0EEB">
              <w:t>12</w:t>
            </w:r>
          </w:p>
        </w:tc>
        <w:tc>
          <w:tcPr>
            <w:tcW w:w="406" w:type="dxa"/>
            <w:tcMar>
              <w:left w:w="20" w:type="dxa"/>
              <w:right w:w="20" w:type="dxa"/>
            </w:tcMar>
            <w:vAlign w:val="center"/>
          </w:tcPr>
          <w:p w14:paraId="75130513" w14:textId="77777777" w:rsidR="0008002E" w:rsidRPr="00EE0EEB" w:rsidRDefault="0008002E" w:rsidP="006C66C7">
            <w:pPr>
              <w:pStyle w:val="TableText"/>
              <w:keepNext/>
              <w:keepLines/>
              <w:ind w:left="-57" w:right="-57"/>
              <w:jc w:val="center"/>
              <w:rPr>
                <w:b/>
                <w:bCs/>
              </w:rPr>
            </w:pPr>
            <w:r w:rsidRPr="00EE0EEB">
              <w:rPr>
                <w:b/>
              </w:rPr>
              <w:t>13</w:t>
            </w:r>
          </w:p>
        </w:tc>
        <w:tc>
          <w:tcPr>
            <w:tcW w:w="424" w:type="dxa"/>
            <w:tcMar>
              <w:left w:w="20" w:type="dxa"/>
              <w:right w:w="20" w:type="dxa"/>
            </w:tcMar>
            <w:vAlign w:val="center"/>
          </w:tcPr>
          <w:p w14:paraId="75B698CB" w14:textId="77777777" w:rsidR="0008002E" w:rsidRPr="00EE0EEB" w:rsidRDefault="0008002E" w:rsidP="006C66C7">
            <w:pPr>
              <w:pStyle w:val="TableText"/>
              <w:keepNext/>
              <w:keepLines/>
              <w:ind w:left="-57" w:right="-57"/>
              <w:jc w:val="center"/>
            </w:pPr>
            <w:r w:rsidRPr="00EE0EEB">
              <w:t>14</w:t>
            </w:r>
          </w:p>
        </w:tc>
        <w:tc>
          <w:tcPr>
            <w:tcW w:w="415" w:type="dxa"/>
            <w:tcMar>
              <w:left w:w="20" w:type="dxa"/>
              <w:right w:w="20" w:type="dxa"/>
            </w:tcMar>
            <w:vAlign w:val="center"/>
          </w:tcPr>
          <w:p w14:paraId="7910A8E4" w14:textId="77777777" w:rsidR="0008002E" w:rsidRPr="00EE0EEB" w:rsidRDefault="0008002E" w:rsidP="006C66C7">
            <w:pPr>
              <w:pStyle w:val="TableText"/>
              <w:keepNext/>
              <w:keepLines/>
              <w:ind w:left="-57" w:right="-57"/>
              <w:jc w:val="center"/>
            </w:pPr>
            <w:r w:rsidRPr="00EE0EEB">
              <w:t>15</w:t>
            </w:r>
          </w:p>
        </w:tc>
        <w:tc>
          <w:tcPr>
            <w:tcW w:w="415" w:type="dxa"/>
            <w:tcMar>
              <w:left w:w="20" w:type="dxa"/>
              <w:right w:w="20" w:type="dxa"/>
            </w:tcMar>
            <w:vAlign w:val="center"/>
          </w:tcPr>
          <w:p w14:paraId="0F2C2A7E" w14:textId="77777777" w:rsidR="0008002E" w:rsidRPr="00EE0EEB" w:rsidRDefault="0008002E" w:rsidP="006C66C7">
            <w:pPr>
              <w:pStyle w:val="TableText"/>
              <w:keepNext/>
              <w:keepLines/>
              <w:ind w:left="-57" w:right="-57"/>
              <w:jc w:val="center"/>
            </w:pPr>
            <w:r w:rsidRPr="00EE0EEB">
              <w:t>16</w:t>
            </w:r>
          </w:p>
        </w:tc>
        <w:tc>
          <w:tcPr>
            <w:tcW w:w="415" w:type="dxa"/>
            <w:tcMar>
              <w:left w:w="20" w:type="dxa"/>
              <w:right w:w="20" w:type="dxa"/>
            </w:tcMar>
            <w:vAlign w:val="center"/>
          </w:tcPr>
          <w:p w14:paraId="2C66DA66" w14:textId="77777777" w:rsidR="0008002E" w:rsidRPr="00EE0EEB" w:rsidRDefault="0008002E" w:rsidP="006C66C7">
            <w:pPr>
              <w:pStyle w:val="TableText"/>
              <w:keepNext/>
              <w:keepLines/>
              <w:ind w:left="-57" w:right="-57"/>
              <w:jc w:val="center"/>
            </w:pPr>
            <w:r w:rsidRPr="00EE0EEB">
              <w:t>17</w:t>
            </w:r>
          </w:p>
        </w:tc>
        <w:tc>
          <w:tcPr>
            <w:tcW w:w="415" w:type="dxa"/>
            <w:tcMar>
              <w:left w:w="20" w:type="dxa"/>
              <w:right w:w="20" w:type="dxa"/>
            </w:tcMar>
            <w:vAlign w:val="center"/>
          </w:tcPr>
          <w:p w14:paraId="00D53E7F" w14:textId="77777777" w:rsidR="0008002E" w:rsidRPr="00EE0EEB" w:rsidRDefault="0008002E" w:rsidP="006C66C7">
            <w:pPr>
              <w:pStyle w:val="TableText"/>
              <w:keepNext/>
              <w:keepLines/>
              <w:ind w:left="-57" w:right="-57"/>
              <w:jc w:val="center"/>
            </w:pPr>
            <w:r w:rsidRPr="00EE0EEB">
              <w:t>18</w:t>
            </w:r>
          </w:p>
        </w:tc>
        <w:tc>
          <w:tcPr>
            <w:tcW w:w="416" w:type="dxa"/>
            <w:tcMar>
              <w:left w:w="20" w:type="dxa"/>
              <w:right w:w="20" w:type="dxa"/>
            </w:tcMar>
            <w:vAlign w:val="center"/>
          </w:tcPr>
          <w:p w14:paraId="0FCB2D89" w14:textId="77777777" w:rsidR="0008002E" w:rsidRPr="00EE0EEB" w:rsidRDefault="0008002E" w:rsidP="006C66C7">
            <w:pPr>
              <w:pStyle w:val="TableText"/>
              <w:keepNext/>
              <w:keepLines/>
              <w:ind w:left="-57" w:right="-57"/>
              <w:jc w:val="center"/>
              <w:rPr>
                <w:b/>
                <w:bCs/>
              </w:rPr>
            </w:pPr>
            <w:r w:rsidRPr="00EE0EEB">
              <w:rPr>
                <w:b/>
              </w:rPr>
              <w:t>19</w:t>
            </w:r>
          </w:p>
        </w:tc>
      </w:tr>
      <w:tr w:rsidR="0008002E" w:rsidRPr="00EE0EEB" w14:paraId="1D25C339" w14:textId="77777777" w:rsidTr="00E81465">
        <w:trPr>
          <w:trHeight w:val="267"/>
        </w:trPr>
        <w:tc>
          <w:tcPr>
            <w:tcW w:w="9016" w:type="dxa"/>
            <w:gridSpan w:val="20"/>
            <w:tcMar>
              <w:left w:w="20" w:type="dxa"/>
              <w:right w:w="20" w:type="dxa"/>
            </w:tcMar>
          </w:tcPr>
          <w:p w14:paraId="3D270634" w14:textId="77777777" w:rsidR="0008002E" w:rsidRPr="004E4B35" w:rsidRDefault="0008002E" w:rsidP="006C66C7">
            <w:pPr>
              <w:pStyle w:val="TableText"/>
              <w:keepNext/>
              <w:keepLines/>
              <w:rPr>
                <w:bCs/>
              </w:rPr>
            </w:pPr>
            <w:r w:rsidRPr="00EE0EEB">
              <w:rPr>
                <w:b/>
              </w:rPr>
              <w:t>Enhanced titration regimen</w:t>
            </w:r>
            <w:r>
              <w:rPr>
                <w:bCs/>
              </w:rPr>
              <w:t xml:space="preserve"> (escalating doses of 350 mg, 700 mg and 1,050 mg Q4W for the first 3 doses, followed by 1,400 mg Q4W) </w:t>
            </w:r>
          </w:p>
        </w:tc>
      </w:tr>
      <w:tr w:rsidR="0008002E" w:rsidRPr="00EE0EEB" w14:paraId="0FA07A15" w14:textId="77777777" w:rsidTr="00E81465">
        <w:trPr>
          <w:trHeight w:val="62"/>
        </w:trPr>
        <w:tc>
          <w:tcPr>
            <w:tcW w:w="988" w:type="dxa"/>
            <w:tcMar>
              <w:left w:w="20" w:type="dxa"/>
              <w:right w:w="20" w:type="dxa"/>
            </w:tcMar>
          </w:tcPr>
          <w:p w14:paraId="4CBF1C60" w14:textId="77777777" w:rsidR="0008002E" w:rsidRPr="00EE0EEB" w:rsidRDefault="0008002E" w:rsidP="006C66C7">
            <w:pPr>
              <w:pStyle w:val="TableText"/>
              <w:keepNext/>
              <w:keepLines/>
            </w:pPr>
            <w:r w:rsidRPr="00EE0EEB">
              <w:t>350 mg vials</w:t>
            </w:r>
          </w:p>
        </w:tc>
        <w:tc>
          <w:tcPr>
            <w:tcW w:w="567"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AB07154" w14:textId="77777777" w:rsidR="0008002E" w:rsidRPr="00EE0EEB" w:rsidRDefault="0008002E" w:rsidP="006C66C7">
            <w:pPr>
              <w:pStyle w:val="TableText"/>
              <w:keepNext/>
              <w:keepLines/>
              <w:ind w:left="-57" w:right="-57"/>
              <w:jc w:val="center"/>
            </w:pPr>
            <w:r w:rsidRPr="00EE0EEB">
              <w:t>1</w:t>
            </w:r>
          </w:p>
        </w:tc>
        <w:tc>
          <w:tcPr>
            <w:tcW w:w="42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DF89748" w14:textId="77777777" w:rsidR="0008002E" w:rsidRPr="00EE0EEB" w:rsidRDefault="0008002E" w:rsidP="006C66C7">
            <w:pPr>
              <w:pStyle w:val="TableText"/>
              <w:keepNext/>
              <w:keepLines/>
              <w:ind w:left="-57" w:right="-57"/>
              <w:jc w:val="center"/>
            </w:pPr>
            <w:r w:rsidRPr="00EE0EEB">
              <w:t>2</w:t>
            </w:r>
          </w:p>
        </w:tc>
        <w:tc>
          <w:tcPr>
            <w:tcW w:w="42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4D070FD" w14:textId="77777777" w:rsidR="0008002E" w:rsidRPr="00EE0EEB" w:rsidRDefault="0008002E" w:rsidP="006C66C7">
            <w:pPr>
              <w:pStyle w:val="TableText"/>
              <w:keepNext/>
              <w:keepLines/>
              <w:ind w:left="-57" w:right="-57"/>
              <w:jc w:val="center"/>
            </w:pPr>
            <w:r w:rsidRPr="00EE0EEB">
              <w:t>3</w:t>
            </w:r>
          </w:p>
        </w:tc>
        <w:tc>
          <w:tcPr>
            <w:tcW w:w="38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B8B467E"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91C2C89" w14:textId="77777777" w:rsidR="0008002E" w:rsidRPr="00EE0EEB" w:rsidRDefault="0008002E" w:rsidP="006C66C7">
            <w:pPr>
              <w:pStyle w:val="TableText"/>
              <w:keepNext/>
              <w:keepLines/>
              <w:ind w:left="-57" w:right="-57"/>
              <w:jc w:val="center"/>
              <w:rPr>
                <w:b/>
                <w:bCs/>
              </w:rPr>
            </w:pPr>
            <w:r w:rsidRPr="00EE0EEB">
              <w:t>4</w:t>
            </w:r>
          </w:p>
        </w:tc>
        <w:tc>
          <w:tcPr>
            <w:tcW w:w="477"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8E558AB" w14:textId="77777777" w:rsidR="0008002E" w:rsidRPr="00EE0EEB" w:rsidRDefault="0008002E" w:rsidP="006C66C7">
            <w:pPr>
              <w:pStyle w:val="TableText"/>
              <w:keepNext/>
              <w:keepLines/>
              <w:ind w:left="-57" w:right="-57"/>
              <w:jc w:val="center"/>
            </w:pPr>
            <w:r w:rsidRPr="00EE0EEB">
              <w:rPr>
                <w:b/>
                <w:bCs/>
              </w:rPr>
              <w:t>4</w:t>
            </w:r>
          </w:p>
        </w:tc>
        <w:tc>
          <w:tcPr>
            <w:tcW w:w="353"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18743E1"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D43EB94"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1B14244" w14:textId="77777777" w:rsidR="0008002E" w:rsidRPr="00EE0EEB" w:rsidRDefault="0008002E" w:rsidP="006C66C7">
            <w:pPr>
              <w:pStyle w:val="TableText"/>
              <w:keepNext/>
              <w:keepLines/>
              <w:ind w:left="-57" w:right="-57"/>
              <w:jc w:val="center"/>
            </w:pPr>
            <w:r w:rsidRPr="00EE0EEB">
              <w:t>4</w:t>
            </w:r>
          </w:p>
        </w:tc>
        <w:tc>
          <w:tcPr>
            <w:tcW w:w="41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847F8B5"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C1CEE9B"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CFA624A" w14:textId="77777777" w:rsidR="0008002E" w:rsidRPr="00EE0EEB" w:rsidRDefault="0008002E" w:rsidP="006C66C7">
            <w:pPr>
              <w:pStyle w:val="TableText"/>
              <w:keepNext/>
              <w:keepLines/>
              <w:ind w:left="-57" w:right="-57"/>
              <w:jc w:val="center"/>
              <w:rPr>
                <w:b/>
                <w:bCs/>
              </w:rPr>
            </w:pPr>
            <w:r w:rsidRPr="00EE0EEB">
              <w:t>4</w:t>
            </w:r>
          </w:p>
        </w:tc>
        <w:tc>
          <w:tcPr>
            <w:tcW w:w="40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C996A47" w14:textId="77777777" w:rsidR="0008002E" w:rsidRPr="00EE0EEB" w:rsidRDefault="0008002E" w:rsidP="006C66C7">
            <w:pPr>
              <w:pStyle w:val="TableText"/>
              <w:keepNext/>
              <w:keepLines/>
              <w:ind w:left="-57" w:right="-57"/>
              <w:jc w:val="center"/>
            </w:pPr>
            <w:r w:rsidRPr="00EE0EEB">
              <w:rPr>
                <w:b/>
                <w:bCs/>
              </w:rPr>
              <w:t>4</w:t>
            </w:r>
          </w:p>
        </w:tc>
        <w:tc>
          <w:tcPr>
            <w:tcW w:w="42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48F04E1"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DBAF278"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7F4D16B"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612B808" w14:textId="77777777" w:rsidR="0008002E" w:rsidRPr="00EE0EEB" w:rsidRDefault="0008002E" w:rsidP="006C66C7">
            <w:pPr>
              <w:pStyle w:val="TableText"/>
              <w:keepNext/>
              <w:keepLines/>
              <w:ind w:left="-57" w:right="-57"/>
              <w:jc w:val="center"/>
            </w:pPr>
            <w:r w:rsidRPr="00EE0EEB">
              <w:t>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72AF3A8" w14:textId="77777777" w:rsidR="0008002E" w:rsidRPr="00EE0EEB" w:rsidRDefault="0008002E" w:rsidP="006C66C7">
            <w:pPr>
              <w:pStyle w:val="TableText"/>
              <w:keepNext/>
              <w:keepLines/>
              <w:ind w:left="-57" w:right="-57"/>
              <w:jc w:val="center"/>
              <w:rPr>
                <w:b/>
                <w:bCs/>
              </w:rPr>
            </w:pPr>
            <w:r w:rsidRPr="00EE0EEB">
              <w:t>4</w:t>
            </w:r>
          </w:p>
        </w:tc>
        <w:tc>
          <w:tcPr>
            <w:tcW w:w="41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5D24B53" w14:textId="77777777" w:rsidR="0008002E" w:rsidRPr="00EE0EEB" w:rsidRDefault="0008002E" w:rsidP="006C66C7">
            <w:pPr>
              <w:pStyle w:val="TableText"/>
              <w:keepNext/>
              <w:keepLines/>
              <w:ind w:left="-57" w:right="-57"/>
              <w:jc w:val="center"/>
              <w:rPr>
                <w:b/>
                <w:bCs/>
              </w:rPr>
            </w:pPr>
            <w:r w:rsidRPr="00EE0EEB">
              <w:rPr>
                <w:b/>
                <w:bCs/>
              </w:rPr>
              <w:t>4</w:t>
            </w:r>
          </w:p>
        </w:tc>
      </w:tr>
      <w:tr w:rsidR="0008002E" w:rsidRPr="00EE0EEB" w14:paraId="6C9003DF" w14:textId="77777777" w:rsidTr="00E81465">
        <w:trPr>
          <w:trHeight w:val="53"/>
        </w:trPr>
        <w:tc>
          <w:tcPr>
            <w:tcW w:w="988" w:type="dxa"/>
            <w:tcMar>
              <w:left w:w="20" w:type="dxa"/>
              <w:right w:w="20" w:type="dxa"/>
            </w:tcMar>
          </w:tcPr>
          <w:p w14:paraId="1A7843AF" w14:textId="77777777" w:rsidR="0008002E" w:rsidRPr="00EE0EEB" w:rsidRDefault="0008002E" w:rsidP="006C66C7">
            <w:pPr>
              <w:pStyle w:val="TableText"/>
              <w:keepNext/>
              <w:keepLines/>
            </w:pPr>
            <w:r w:rsidRPr="00EE0EEB">
              <w:t>Total vials</w:t>
            </w:r>
          </w:p>
        </w:tc>
        <w:tc>
          <w:tcPr>
            <w:tcW w:w="567"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2C95211" w14:textId="77777777" w:rsidR="0008002E" w:rsidRPr="00EE0EEB" w:rsidRDefault="0008002E" w:rsidP="006C66C7">
            <w:pPr>
              <w:pStyle w:val="TableText"/>
              <w:keepNext/>
              <w:keepLines/>
              <w:ind w:left="-57" w:right="-57"/>
              <w:jc w:val="center"/>
            </w:pPr>
            <w:r w:rsidRPr="00EE0EEB">
              <w:t>1</w:t>
            </w:r>
          </w:p>
        </w:tc>
        <w:tc>
          <w:tcPr>
            <w:tcW w:w="42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05E0036" w14:textId="77777777" w:rsidR="0008002E" w:rsidRPr="00EE0EEB" w:rsidRDefault="0008002E" w:rsidP="006C66C7">
            <w:pPr>
              <w:pStyle w:val="TableText"/>
              <w:keepNext/>
              <w:keepLines/>
              <w:ind w:left="-57" w:right="-57"/>
              <w:jc w:val="center"/>
            </w:pPr>
            <w:r w:rsidRPr="00EE0EEB">
              <w:t>3</w:t>
            </w:r>
          </w:p>
        </w:tc>
        <w:tc>
          <w:tcPr>
            <w:tcW w:w="42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13AEDA3" w14:textId="77777777" w:rsidR="0008002E" w:rsidRPr="00EE0EEB" w:rsidRDefault="0008002E" w:rsidP="006C66C7">
            <w:pPr>
              <w:pStyle w:val="TableText"/>
              <w:keepNext/>
              <w:keepLines/>
              <w:ind w:left="-57" w:right="-57"/>
              <w:jc w:val="center"/>
            </w:pPr>
            <w:r w:rsidRPr="00EE0EEB">
              <w:t>6</w:t>
            </w:r>
          </w:p>
        </w:tc>
        <w:tc>
          <w:tcPr>
            <w:tcW w:w="38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CBB4DC6" w14:textId="77777777" w:rsidR="0008002E" w:rsidRPr="00EE0EEB" w:rsidRDefault="0008002E" w:rsidP="006C66C7">
            <w:pPr>
              <w:pStyle w:val="TableText"/>
              <w:keepNext/>
              <w:keepLines/>
              <w:ind w:left="-57" w:right="-57"/>
              <w:jc w:val="center"/>
            </w:pPr>
            <w:r w:rsidRPr="00EE0EEB">
              <w:t>10</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8A36A51" w14:textId="77777777" w:rsidR="0008002E" w:rsidRPr="00EE0EEB" w:rsidRDefault="0008002E" w:rsidP="006C66C7">
            <w:pPr>
              <w:pStyle w:val="TableText"/>
              <w:keepNext/>
              <w:keepLines/>
              <w:ind w:left="-57" w:right="-57"/>
              <w:jc w:val="center"/>
              <w:rPr>
                <w:b/>
                <w:bCs/>
              </w:rPr>
            </w:pPr>
            <w:r w:rsidRPr="00EE0EEB">
              <w:t>14</w:t>
            </w:r>
          </w:p>
        </w:tc>
        <w:tc>
          <w:tcPr>
            <w:tcW w:w="477"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032608C" w14:textId="77777777" w:rsidR="0008002E" w:rsidRPr="00EE0EEB" w:rsidRDefault="0008002E" w:rsidP="006C66C7">
            <w:pPr>
              <w:pStyle w:val="TableText"/>
              <w:keepNext/>
              <w:keepLines/>
              <w:ind w:left="-57" w:right="-57"/>
              <w:jc w:val="center"/>
            </w:pPr>
            <w:r w:rsidRPr="00EE0EEB">
              <w:rPr>
                <w:b/>
                <w:bCs/>
              </w:rPr>
              <w:t>18</w:t>
            </w:r>
          </w:p>
        </w:tc>
        <w:tc>
          <w:tcPr>
            <w:tcW w:w="353"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7AE9A66" w14:textId="77777777" w:rsidR="0008002E" w:rsidRPr="00EE0EEB" w:rsidRDefault="0008002E" w:rsidP="006C66C7">
            <w:pPr>
              <w:pStyle w:val="TableText"/>
              <w:keepNext/>
              <w:keepLines/>
              <w:ind w:left="-57" w:right="-57"/>
              <w:jc w:val="center"/>
            </w:pPr>
            <w:r w:rsidRPr="00EE0EEB">
              <w:t>22</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0661617" w14:textId="77777777" w:rsidR="0008002E" w:rsidRPr="00EE0EEB" w:rsidRDefault="0008002E" w:rsidP="006C66C7">
            <w:pPr>
              <w:pStyle w:val="TableText"/>
              <w:keepNext/>
              <w:keepLines/>
              <w:ind w:left="-57" w:right="-57"/>
              <w:jc w:val="center"/>
            </w:pPr>
            <w:r w:rsidRPr="00EE0EEB">
              <w:t>26</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76A732F" w14:textId="77777777" w:rsidR="0008002E" w:rsidRPr="00EE0EEB" w:rsidRDefault="0008002E" w:rsidP="006C66C7">
            <w:pPr>
              <w:pStyle w:val="TableText"/>
              <w:keepNext/>
              <w:keepLines/>
              <w:ind w:left="-57" w:right="-57"/>
              <w:jc w:val="center"/>
            </w:pPr>
            <w:r w:rsidRPr="00EE0EEB">
              <w:t>30</w:t>
            </w:r>
          </w:p>
        </w:tc>
        <w:tc>
          <w:tcPr>
            <w:tcW w:w="41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9D18B3E" w14:textId="77777777" w:rsidR="0008002E" w:rsidRPr="00EE0EEB" w:rsidRDefault="0008002E" w:rsidP="006C66C7">
            <w:pPr>
              <w:pStyle w:val="TableText"/>
              <w:keepNext/>
              <w:keepLines/>
              <w:ind w:left="-57" w:right="-57"/>
              <w:jc w:val="center"/>
            </w:pPr>
            <w:r w:rsidRPr="00EE0EEB">
              <w:t>34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6D7BA11" w14:textId="77777777" w:rsidR="0008002E" w:rsidRPr="00EE0EEB" w:rsidRDefault="0008002E" w:rsidP="006C66C7">
            <w:pPr>
              <w:pStyle w:val="TableText"/>
              <w:keepNext/>
              <w:keepLines/>
              <w:ind w:left="-57" w:right="-57"/>
              <w:jc w:val="center"/>
            </w:pPr>
            <w:r w:rsidRPr="00EE0EEB">
              <w:t>38</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D09F146" w14:textId="77777777" w:rsidR="0008002E" w:rsidRPr="00EE0EEB" w:rsidRDefault="0008002E" w:rsidP="006C66C7">
            <w:pPr>
              <w:pStyle w:val="TableText"/>
              <w:keepNext/>
              <w:keepLines/>
              <w:ind w:left="-57" w:right="-57"/>
              <w:jc w:val="center"/>
              <w:rPr>
                <w:b/>
                <w:bCs/>
              </w:rPr>
            </w:pPr>
            <w:r w:rsidRPr="00EE0EEB">
              <w:t>42</w:t>
            </w:r>
          </w:p>
        </w:tc>
        <w:tc>
          <w:tcPr>
            <w:tcW w:w="40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179CEC4" w14:textId="77777777" w:rsidR="0008002E" w:rsidRPr="00EE0EEB" w:rsidRDefault="0008002E" w:rsidP="006C66C7">
            <w:pPr>
              <w:pStyle w:val="TableText"/>
              <w:keepNext/>
              <w:keepLines/>
              <w:ind w:left="-57" w:right="-57"/>
              <w:jc w:val="center"/>
            </w:pPr>
            <w:r w:rsidRPr="00EE0EEB">
              <w:rPr>
                <w:b/>
                <w:bCs/>
              </w:rPr>
              <w:t>46</w:t>
            </w:r>
          </w:p>
        </w:tc>
        <w:tc>
          <w:tcPr>
            <w:tcW w:w="42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8FE01DA" w14:textId="77777777" w:rsidR="0008002E" w:rsidRPr="00EE0EEB" w:rsidRDefault="0008002E" w:rsidP="006C66C7">
            <w:pPr>
              <w:pStyle w:val="TableText"/>
              <w:keepNext/>
              <w:keepLines/>
              <w:ind w:left="-57" w:right="-57"/>
              <w:jc w:val="center"/>
            </w:pPr>
            <w:r w:rsidRPr="00EE0EEB">
              <w:t>50</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39A016E" w14:textId="77777777" w:rsidR="0008002E" w:rsidRPr="00EE0EEB" w:rsidRDefault="0008002E" w:rsidP="006C66C7">
            <w:pPr>
              <w:pStyle w:val="TableText"/>
              <w:keepNext/>
              <w:keepLines/>
              <w:ind w:left="-57" w:right="-57"/>
              <w:jc w:val="center"/>
            </w:pPr>
            <w:r w:rsidRPr="00EE0EEB">
              <w:t>54</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635AEE8" w14:textId="77777777" w:rsidR="0008002E" w:rsidRPr="00EE0EEB" w:rsidRDefault="0008002E" w:rsidP="006C66C7">
            <w:pPr>
              <w:pStyle w:val="TableText"/>
              <w:keepNext/>
              <w:keepLines/>
              <w:ind w:left="-57" w:right="-57"/>
              <w:jc w:val="center"/>
            </w:pPr>
            <w:r w:rsidRPr="00EE0EEB">
              <w:t>58</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483BADE" w14:textId="77777777" w:rsidR="0008002E" w:rsidRPr="00EE0EEB" w:rsidRDefault="0008002E" w:rsidP="006C66C7">
            <w:pPr>
              <w:pStyle w:val="TableText"/>
              <w:keepNext/>
              <w:keepLines/>
              <w:ind w:left="-57" w:right="-57"/>
              <w:jc w:val="center"/>
            </w:pPr>
            <w:r w:rsidRPr="00EE0EEB">
              <w:t>62</w:t>
            </w:r>
          </w:p>
        </w:tc>
        <w:tc>
          <w:tcPr>
            <w:tcW w:w="415"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CA4C684" w14:textId="77777777" w:rsidR="0008002E" w:rsidRPr="00EE0EEB" w:rsidRDefault="0008002E" w:rsidP="006C66C7">
            <w:pPr>
              <w:pStyle w:val="TableText"/>
              <w:keepNext/>
              <w:keepLines/>
              <w:ind w:left="-57" w:right="-57"/>
              <w:jc w:val="center"/>
              <w:rPr>
                <w:b/>
                <w:bCs/>
              </w:rPr>
            </w:pPr>
            <w:r w:rsidRPr="00EE0EEB">
              <w:t>66</w:t>
            </w:r>
          </w:p>
        </w:tc>
        <w:tc>
          <w:tcPr>
            <w:tcW w:w="41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8609710" w14:textId="77777777" w:rsidR="0008002E" w:rsidRPr="00EE0EEB" w:rsidRDefault="0008002E" w:rsidP="006C66C7">
            <w:pPr>
              <w:pStyle w:val="TableText"/>
              <w:keepNext/>
              <w:keepLines/>
              <w:ind w:left="-57" w:right="-57"/>
              <w:jc w:val="center"/>
              <w:rPr>
                <w:b/>
                <w:bCs/>
              </w:rPr>
            </w:pPr>
            <w:r w:rsidRPr="00EE0EEB">
              <w:rPr>
                <w:b/>
                <w:bCs/>
              </w:rPr>
              <w:t>70</w:t>
            </w:r>
          </w:p>
        </w:tc>
      </w:tr>
      <w:tr w:rsidR="0008002E" w:rsidRPr="00EE0EEB" w14:paraId="55D6B683" w14:textId="77777777" w:rsidTr="00E81465">
        <w:trPr>
          <w:trHeight w:val="503"/>
        </w:trPr>
        <w:tc>
          <w:tcPr>
            <w:tcW w:w="988" w:type="dxa"/>
            <w:tcMar>
              <w:left w:w="20" w:type="dxa"/>
              <w:right w:w="20" w:type="dxa"/>
            </w:tcMar>
          </w:tcPr>
          <w:p w14:paraId="6BF171A7" w14:textId="77777777" w:rsidR="0008002E" w:rsidRPr="00EE0EEB" w:rsidRDefault="0008002E" w:rsidP="006C66C7">
            <w:pPr>
              <w:pStyle w:val="TableText"/>
              <w:keepNext/>
              <w:keepLines/>
              <w:rPr>
                <w:b/>
                <w:bCs/>
              </w:rPr>
            </w:pPr>
            <w:r w:rsidRPr="00EE0EEB">
              <w:rPr>
                <w:b/>
              </w:rPr>
              <w:t>Proposed Aß PET monitoring protocol</w:t>
            </w:r>
            <w:r w:rsidRPr="00EE0EEB">
              <w:rPr>
                <w:b/>
                <w:vertAlign w:val="superscript"/>
              </w:rPr>
              <w:t>a</w:t>
            </w:r>
          </w:p>
        </w:tc>
        <w:tc>
          <w:tcPr>
            <w:tcW w:w="567" w:type="dxa"/>
            <w:tcMar>
              <w:left w:w="20" w:type="dxa"/>
              <w:right w:w="20" w:type="dxa"/>
            </w:tcMar>
          </w:tcPr>
          <w:p w14:paraId="28A20663" w14:textId="77777777" w:rsidR="0008002E" w:rsidRPr="00EE0EEB" w:rsidRDefault="0008002E" w:rsidP="006C66C7">
            <w:pPr>
              <w:pStyle w:val="TableText"/>
              <w:keepNext/>
              <w:keepLines/>
            </w:pPr>
          </w:p>
        </w:tc>
        <w:tc>
          <w:tcPr>
            <w:tcW w:w="425" w:type="dxa"/>
            <w:tcMar>
              <w:left w:w="20" w:type="dxa"/>
              <w:right w:w="20" w:type="dxa"/>
            </w:tcMar>
          </w:tcPr>
          <w:p w14:paraId="6ADBBB09" w14:textId="77777777" w:rsidR="0008002E" w:rsidRPr="00EE0EEB" w:rsidRDefault="0008002E" w:rsidP="006C66C7">
            <w:pPr>
              <w:pStyle w:val="TableText"/>
              <w:keepNext/>
              <w:keepLines/>
            </w:pPr>
          </w:p>
        </w:tc>
        <w:tc>
          <w:tcPr>
            <w:tcW w:w="425" w:type="dxa"/>
            <w:tcMar>
              <w:left w:w="20" w:type="dxa"/>
              <w:right w:w="20" w:type="dxa"/>
            </w:tcMar>
          </w:tcPr>
          <w:p w14:paraId="0AA33585" w14:textId="77777777" w:rsidR="0008002E" w:rsidRPr="00EE0EEB" w:rsidRDefault="0008002E" w:rsidP="006C66C7">
            <w:pPr>
              <w:pStyle w:val="TableText"/>
              <w:keepNext/>
              <w:keepLines/>
            </w:pPr>
          </w:p>
        </w:tc>
        <w:tc>
          <w:tcPr>
            <w:tcW w:w="384" w:type="dxa"/>
            <w:tcMar>
              <w:left w:w="20" w:type="dxa"/>
              <w:right w:w="20" w:type="dxa"/>
            </w:tcMar>
          </w:tcPr>
          <w:p w14:paraId="3248DC80" w14:textId="77777777" w:rsidR="0008002E" w:rsidRPr="00EE0EEB" w:rsidRDefault="0008002E" w:rsidP="006C66C7">
            <w:pPr>
              <w:pStyle w:val="TableText"/>
              <w:keepNext/>
              <w:keepLines/>
            </w:pPr>
          </w:p>
        </w:tc>
        <w:tc>
          <w:tcPr>
            <w:tcW w:w="415" w:type="dxa"/>
            <w:tcMar>
              <w:left w:w="20" w:type="dxa"/>
              <w:right w:w="20" w:type="dxa"/>
            </w:tcMar>
          </w:tcPr>
          <w:p w14:paraId="303FE248" w14:textId="77777777" w:rsidR="0008002E" w:rsidRPr="00EE0EEB" w:rsidRDefault="0008002E" w:rsidP="006C66C7">
            <w:pPr>
              <w:pStyle w:val="TableText"/>
              <w:keepNext/>
              <w:keepLines/>
            </w:pPr>
          </w:p>
        </w:tc>
        <w:tc>
          <w:tcPr>
            <w:tcW w:w="477" w:type="dxa"/>
            <w:tcMar>
              <w:left w:w="20" w:type="dxa"/>
              <w:right w:w="20" w:type="dxa"/>
            </w:tcMar>
          </w:tcPr>
          <w:p w14:paraId="1DD8BE72" w14:textId="77777777" w:rsidR="0008002E" w:rsidRPr="00EE0EEB" w:rsidRDefault="0008002E" w:rsidP="006C66C7">
            <w:pPr>
              <w:pStyle w:val="TableText"/>
              <w:keepNext/>
              <w:keepLines/>
            </w:pPr>
          </w:p>
        </w:tc>
        <w:tc>
          <w:tcPr>
            <w:tcW w:w="353" w:type="dxa"/>
            <w:tcMar>
              <w:left w:w="20" w:type="dxa"/>
              <w:right w:w="20" w:type="dxa"/>
            </w:tcMar>
          </w:tcPr>
          <w:p w14:paraId="1F0EF089" w14:textId="77777777" w:rsidR="0008002E" w:rsidRPr="00EE0EEB" w:rsidRDefault="0008002E" w:rsidP="006C66C7">
            <w:pPr>
              <w:pStyle w:val="TableText"/>
              <w:keepNext/>
              <w:keepLines/>
            </w:pPr>
            <w:r w:rsidRPr="00EE0EEB">
              <w:rPr>
                <w:rFonts w:ascii="Wingdings" w:eastAsia="Wingdings" w:hAnsi="Wingdings" w:cs="Wingdings"/>
              </w:rPr>
              <w:t>ü</w:t>
            </w:r>
          </w:p>
        </w:tc>
        <w:tc>
          <w:tcPr>
            <w:tcW w:w="415" w:type="dxa"/>
            <w:tcMar>
              <w:left w:w="20" w:type="dxa"/>
              <w:right w:w="20" w:type="dxa"/>
            </w:tcMar>
          </w:tcPr>
          <w:p w14:paraId="1B2E786F" w14:textId="77777777" w:rsidR="0008002E" w:rsidRPr="00EE0EEB" w:rsidRDefault="0008002E" w:rsidP="006C66C7">
            <w:pPr>
              <w:pStyle w:val="TableText"/>
              <w:keepNext/>
              <w:keepLines/>
            </w:pPr>
          </w:p>
        </w:tc>
        <w:tc>
          <w:tcPr>
            <w:tcW w:w="415" w:type="dxa"/>
            <w:tcMar>
              <w:left w:w="20" w:type="dxa"/>
              <w:right w:w="20" w:type="dxa"/>
            </w:tcMar>
          </w:tcPr>
          <w:p w14:paraId="60CF0ACC" w14:textId="77777777" w:rsidR="0008002E" w:rsidRPr="00EE0EEB" w:rsidRDefault="0008002E" w:rsidP="006C66C7">
            <w:pPr>
              <w:pStyle w:val="TableText"/>
              <w:keepNext/>
              <w:keepLines/>
            </w:pPr>
          </w:p>
        </w:tc>
        <w:tc>
          <w:tcPr>
            <w:tcW w:w="416" w:type="dxa"/>
            <w:tcMar>
              <w:left w:w="20" w:type="dxa"/>
              <w:right w:w="20" w:type="dxa"/>
            </w:tcMar>
          </w:tcPr>
          <w:p w14:paraId="01DE1119" w14:textId="77777777" w:rsidR="0008002E" w:rsidRPr="00EE0EEB" w:rsidRDefault="0008002E" w:rsidP="006C66C7">
            <w:pPr>
              <w:pStyle w:val="TableText"/>
              <w:keepNext/>
              <w:keepLines/>
            </w:pPr>
          </w:p>
        </w:tc>
        <w:tc>
          <w:tcPr>
            <w:tcW w:w="415" w:type="dxa"/>
            <w:tcMar>
              <w:left w:w="20" w:type="dxa"/>
              <w:right w:w="20" w:type="dxa"/>
            </w:tcMar>
          </w:tcPr>
          <w:p w14:paraId="3F42AF85" w14:textId="77777777" w:rsidR="0008002E" w:rsidRPr="00EE0EEB" w:rsidRDefault="0008002E" w:rsidP="006C66C7">
            <w:pPr>
              <w:pStyle w:val="TableText"/>
              <w:keepNext/>
              <w:keepLines/>
            </w:pPr>
          </w:p>
        </w:tc>
        <w:tc>
          <w:tcPr>
            <w:tcW w:w="415" w:type="dxa"/>
            <w:tcMar>
              <w:left w:w="20" w:type="dxa"/>
              <w:right w:w="20" w:type="dxa"/>
            </w:tcMar>
          </w:tcPr>
          <w:p w14:paraId="7C544713" w14:textId="77777777" w:rsidR="0008002E" w:rsidRPr="00EE0EEB" w:rsidRDefault="0008002E" w:rsidP="006C66C7">
            <w:pPr>
              <w:pStyle w:val="TableText"/>
              <w:keepNext/>
              <w:keepLines/>
            </w:pPr>
          </w:p>
        </w:tc>
        <w:tc>
          <w:tcPr>
            <w:tcW w:w="406" w:type="dxa"/>
            <w:tcMar>
              <w:left w:w="20" w:type="dxa"/>
              <w:right w:w="20" w:type="dxa"/>
            </w:tcMar>
          </w:tcPr>
          <w:p w14:paraId="483798DE" w14:textId="77777777" w:rsidR="0008002E" w:rsidRPr="00EE0EEB" w:rsidRDefault="0008002E" w:rsidP="006C66C7">
            <w:pPr>
              <w:pStyle w:val="TableText"/>
              <w:keepNext/>
              <w:keepLines/>
            </w:pPr>
          </w:p>
        </w:tc>
        <w:tc>
          <w:tcPr>
            <w:tcW w:w="424" w:type="dxa"/>
            <w:tcMar>
              <w:left w:w="20" w:type="dxa"/>
              <w:right w:w="20" w:type="dxa"/>
            </w:tcMar>
          </w:tcPr>
          <w:p w14:paraId="17F044F5" w14:textId="77777777" w:rsidR="0008002E" w:rsidRPr="00EE0EEB" w:rsidRDefault="0008002E" w:rsidP="006C66C7">
            <w:pPr>
              <w:pStyle w:val="TableText"/>
              <w:keepNext/>
              <w:keepLines/>
            </w:pPr>
            <w:r w:rsidRPr="00EE0EEB">
              <w:rPr>
                <w:rFonts w:ascii="Wingdings" w:eastAsia="Wingdings" w:hAnsi="Wingdings" w:cs="Wingdings"/>
              </w:rPr>
              <w:t>ü</w:t>
            </w:r>
          </w:p>
        </w:tc>
        <w:tc>
          <w:tcPr>
            <w:tcW w:w="415" w:type="dxa"/>
            <w:tcMar>
              <w:left w:w="20" w:type="dxa"/>
              <w:right w:w="20" w:type="dxa"/>
            </w:tcMar>
          </w:tcPr>
          <w:p w14:paraId="77922957" w14:textId="77777777" w:rsidR="0008002E" w:rsidRPr="00EE0EEB" w:rsidRDefault="0008002E" w:rsidP="006C66C7">
            <w:pPr>
              <w:pStyle w:val="TableText"/>
              <w:keepNext/>
              <w:keepLines/>
            </w:pPr>
          </w:p>
        </w:tc>
        <w:tc>
          <w:tcPr>
            <w:tcW w:w="415" w:type="dxa"/>
            <w:tcMar>
              <w:left w:w="20" w:type="dxa"/>
              <w:right w:w="20" w:type="dxa"/>
            </w:tcMar>
          </w:tcPr>
          <w:p w14:paraId="3D48F39B" w14:textId="77777777" w:rsidR="0008002E" w:rsidRPr="00EE0EEB" w:rsidRDefault="0008002E" w:rsidP="006C66C7">
            <w:pPr>
              <w:pStyle w:val="TableText"/>
              <w:keepNext/>
              <w:keepLines/>
            </w:pPr>
          </w:p>
        </w:tc>
        <w:tc>
          <w:tcPr>
            <w:tcW w:w="415" w:type="dxa"/>
            <w:tcMar>
              <w:left w:w="20" w:type="dxa"/>
              <w:right w:w="20" w:type="dxa"/>
            </w:tcMar>
          </w:tcPr>
          <w:p w14:paraId="32B644AC" w14:textId="77777777" w:rsidR="0008002E" w:rsidRPr="00EE0EEB" w:rsidRDefault="0008002E" w:rsidP="006C66C7">
            <w:pPr>
              <w:pStyle w:val="TableText"/>
              <w:keepNext/>
              <w:keepLines/>
            </w:pPr>
          </w:p>
        </w:tc>
        <w:tc>
          <w:tcPr>
            <w:tcW w:w="415" w:type="dxa"/>
            <w:tcMar>
              <w:left w:w="20" w:type="dxa"/>
              <w:right w:w="20" w:type="dxa"/>
            </w:tcMar>
          </w:tcPr>
          <w:p w14:paraId="15753947" w14:textId="77777777" w:rsidR="0008002E" w:rsidRPr="00EE0EEB" w:rsidRDefault="0008002E" w:rsidP="006C66C7">
            <w:pPr>
              <w:pStyle w:val="TableText"/>
              <w:keepNext/>
              <w:keepLines/>
            </w:pPr>
          </w:p>
        </w:tc>
        <w:tc>
          <w:tcPr>
            <w:tcW w:w="416" w:type="dxa"/>
            <w:tcMar>
              <w:left w:w="20" w:type="dxa"/>
              <w:right w:w="20" w:type="dxa"/>
            </w:tcMar>
          </w:tcPr>
          <w:p w14:paraId="4D231483" w14:textId="77777777" w:rsidR="0008002E" w:rsidRPr="00EE0EEB" w:rsidRDefault="0008002E" w:rsidP="006C66C7">
            <w:pPr>
              <w:pStyle w:val="TableText"/>
              <w:keepNext/>
              <w:keepLines/>
            </w:pPr>
          </w:p>
        </w:tc>
      </w:tr>
      <w:tr w:rsidR="0008002E" w:rsidRPr="00EE0EEB" w14:paraId="52DE954E" w14:textId="77777777" w:rsidTr="00E81465">
        <w:trPr>
          <w:trHeight w:val="666"/>
        </w:trPr>
        <w:tc>
          <w:tcPr>
            <w:tcW w:w="988" w:type="dxa"/>
            <w:tcMar>
              <w:left w:w="20" w:type="dxa"/>
              <w:right w:w="20" w:type="dxa"/>
            </w:tcMar>
          </w:tcPr>
          <w:p w14:paraId="2924A006" w14:textId="77777777" w:rsidR="0008002E" w:rsidRPr="00EE0EEB" w:rsidRDefault="0008002E" w:rsidP="006C66C7">
            <w:pPr>
              <w:pStyle w:val="TableText"/>
              <w:keepNext/>
              <w:keepLines/>
              <w:rPr>
                <w:b/>
                <w:bCs/>
              </w:rPr>
            </w:pPr>
            <w:r w:rsidRPr="00EE0EEB">
              <w:rPr>
                <w:b/>
              </w:rPr>
              <w:t xml:space="preserve">MRI schedule (per </w:t>
            </w:r>
            <w:r>
              <w:rPr>
                <w:b/>
              </w:rPr>
              <w:t>draft</w:t>
            </w:r>
            <w:r w:rsidRPr="00EE0EEB">
              <w:rPr>
                <w:b/>
              </w:rPr>
              <w:t xml:space="preserve"> PI)</w:t>
            </w:r>
            <w:r w:rsidRPr="00EE0EEB">
              <w:rPr>
                <w:b/>
                <w:vertAlign w:val="superscript"/>
              </w:rPr>
              <w:t>a</w:t>
            </w:r>
          </w:p>
        </w:tc>
        <w:tc>
          <w:tcPr>
            <w:tcW w:w="567" w:type="dxa"/>
            <w:tcMar>
              <w:left w:w="20" w:type="dxa"/>
              <w:right w:w="20" w:type="dxa"/>
            </w:tcMar>
          </w:tcPr>
          <w:p w14:paraId="7D1BD740" w14:textId="77777777" w:rsidR="0008002E" w:rsidRPr="00EE0EEB" w:rsidRDefault="0008002E" w:rsidP="006C66C7">
            <w:pPr>
              <w:pStyle w:val="TableText"/>
              <w:keepNext/>
              <w:keepLines/>
              <w:rPr>
                <w:vertAlign w:val="superscript"/>
              </w:rPr>
            </w:pPr>
            <w:r w:rsidRPr="00EE0EEB">
              <w:rPr>
                <w:rFonts w:ascii="Wingdings" w:eastAsia="Wingdings" w:hAnsi="Wingdings" w:cs="Wingdings"/>
              </w:rPr>
              <w:t>ü</w:t>
            </w:r>
            <w:r w:rsidRPr="00EE0EEB">
              <w:rPr>
                <w:vertAlign w:val="superscript"/>
              </w:rPr>
              <w:t>a</w:t>
            </w:r>
          </w:p>
        </w:tc>
        <w:tc>
          <w:tcPr>
            <w:tcW w:w="425" w:type="dxa"/>
            <w:tcMar>
              <w:left w:w="20" w:type="dxa"/>
              <w:right w:w="20" w:type="dxa"/>
            </w:tcMar>
          </w:tcPr>
          <w:p w14:paraId="301DA09F" w14:textId="77777777" w:rsidR="0008002E" w:rsidRPr="00EE0EEB" w:rsidRDefault="0008002E" w:rsidP="006C66C7">
            <w:pPr>
              <w:pStyle w:val="TableText"/>
              <w:keepNext/>
              <w:keepLines/>
            </w:pPr>
            <w:r w:rsidRPr="00EE0EEB">
              <w:rPr>
                <w:rFonts w:ascii="Wingdings" w:eastAsia="Wingdings" w:hAnsi="Wingdings" w:cs="Wingdings"/>
              </w:rPr>
              <w:t>ü</w:t>
            </w:r>
          </w:p>
        </w:tc>
        <w:tc>
          <w:tcPr>
            <w:tcW w:w="425" w:type="dxa"/>
            <w:tcMar>
              <w:left w:w="20" w:type="dxa"/>
              <w:right w:w="20" w:type="dxa"/>
            </w:tcMar>
          </w:tcPr>
          <w:p w14:paraId="7BA7BCAA" w14:textId="77777777" w:rsidR="0008002E" w:rsidRPr="00EE0EEB" w:rsidRDefault="0008002E" w:rsidP="006C66C7">
            <w:pPr>
              <w:pStyle w:val="TableText"/>
              <w:keepNext/>
              <w:keepLines/>
            </w:pPr>
            <w:r w:rsidRPr="00EE0EEB">
              <w:rPr>
                <w:rFonts w:ascii="Wingdings" w:eastAsia="Wingdings" w:hAnsi="Wingdings" w:cs="Wingdings"/>
              </w:rPr>
              <w:t>ü</w:t>
            </w:r>
          </w:p>
        </w:tc>
        <w:tc>
          <w:tcPr>
            <w:tcW w:w="384" w:type="dxa"/>
            <w:tcMar>
              <w:left w:w="20" w:type="dxa"/>
              <w:right w:w="20" w:type="dxa"/>
            </w:tcMar>
          </w:tcPr>
          <w:p w14:paraId="6CFDBBD8" w14:textId="77777777" w:rsidR="0008002E" w:rsidRPr="00EE0EEB" w:rsidRDefault="0008002E" w:rsidP="006C66C7">
            <w:pPr>
              <w:pStyle w:val="TableText"/>
              <w:keepNext/>
              <w:keepLines/>
            </w:pPr>
            <w:r w:rsidRPr="00EE0EEB">
              <w:rPr>
                <w:rFonts w:ascii="Wingdings" w:eastAsia="Wingdings" w:hAnsi="Wingdings" w:cs="Wingdings"/>
              </w:rPr>
              <w:t>ü</w:t>
            </w:r>
          </w:p>
        </w:tc>
        <w:tc>
          <w:tcPr>
            <w:tcW w:w="415" w:type="dxa"/>
            <w:tcMar>
              <w:left w:w="20" w:type="dxa"/>
              <w:right w:w="20" w:type="dxa"/>
            </w:tcMar>
          </w:tcPr>
          <w:p w14:paraId="5D1C317F" w14:textId="77777777" w:rsidR="0008002E" w:rsidRPr="00EE0EEB" w:rsidRDefault="0008002E" w:rsidP="006C66C7">
            <w:pPr>
              <w:pStyle w:val="TableText"/>
              <w:keepNext/>
              <w:keepLines/>
            </w:pPr>
          </w:p>
        </w:tc>
        <w:tc>
          <w:tcPr>
            <w:tcW w:w="477" w:type="dxa"/>
            <w:tcMar>
              <w:left w:w="20" w:type="dxa"/>
              <w:right w:w="20" w:type="dxa"/>
            </w:tcMar>
          </w:tcPr>
          <w:p w14:paraId="1DA3C1DC" w14:textId="77777777" w:rsidR="0008002E" w:rsidRPr="00EE0EEB" w:rsidRDefault="0008002E" w:rsidP="006C66C7">
            <w:pPr>
              <w:pStyle w:val="TableText"/>
              <w:keepNext/>
              <w:keepLines/>
            </w:pPr>
          </w:p>
        </w:tc>
        <w:tc>
          <w:tcPr>
            <w:tcW w:w="353" w:type="dxa"/>
            <w:tcMar>
              <w:left w:w="20" w:type="dxa"/>
              <w:right w:w="20" w:type="dxa"/>
            </w:tcMar>
          </w:tcPr>
          <w:p w14:paraId="2E50DDE7" w14:textId="77777777" w:rsidR="0008002E" w:rsidRPr="00EE0EEB" w:rsidRDefault="0008002E" w:rsidP="006C66C7">
            <w:pPr>
              <w:pStyle w:val="TableText"/>
              <w:keepNext/>
              <w:keepLines/>
            </w:pPr>
            <w:r w:rsidRPr="00EE0EEB">
              <w:rPr>
                <w:rFonts w:ascii="Wingdings" w:eastAsia="Wingdings" w:hAnsi="Wingdings" w:cs="Wingdings"/>
              </w:rPr>
              <w:t>ü</w:t>
            </w:r>
          </w:p>
        </w:tc>
        <w:tc>
          <w:tcPr>
            <w:tcW w:w="415" w:type="dxa"/>
            <w:tcMar>
              <w:left w:w="20" w:type="dxa"/>
              <w:right w:w="20" w:type="dxa"/>
            </w:tcMar>
          </w:tcPr>
          <w:p w14:paraId="6F5DBD9C" w14:textId="77777777" w:rsidR="0008002E" w:rsidRPr="00EE0EEB" w:rsidRDefault="0008002E" w:rsidP="006C66C7">
            <w:pPr>
              <w:pStyle w:val="TableText"/>
              <w:keepNext/>
              <w:keepLines/>
            </w:pPr>
          </w:p>
        </w:tc>
        <w:tc>
          <w:tcPr>
            <w:tcW w:w="415" w:type="dxa"/>
            <w:tcMar>
              <w:left w:w="20" w:type="dxa"/>
              <w:right w:w="20" w:type="dxa"/>
            </w:tcMar>
          </w:tcPr>
          <w:p w14:paraId="7A3FE994" w14:textId="77777777" w:rsidR="0008002E" w:rsidRPr="00EE0EEB" w:rsidRDefault="0008002E" w:rsidP="006C66C7">
            <w:pPr>
              <w:pStyle w:val="TableText"/>
              <w:keepNext/>
              <w:keepLines/>
            </w:pPr>
          </w:p>
        </w:tc>
        <w:tc>
          <w:tcPr>
            <w:tcW w:w="416" w:type="dxa"/>
            <w:tcMar>
              <w:left w:w="20" w:type="dxa"/>
              <w:right w:w="20" w:type="dxa"/>
            </w:tcMar>
          </w:tcPr>
          <w:p w14:paraId="00F0BFCA" w14:textId="77777777" w:rsidR="0008002E" w:rsidRPr="00EE0EEB" w:rsidRDefault="0008002E" w:rsidP="006C66C7">
            <w:pPr>
              <w:pStyle w:val="TableText"/>
              <w:keepNext/>
              <w:keepLines/>
            </w:pPr>
          </w:p>
        </w:tc>
        <w:tc>
          <w:tcPr>
            <w:tcW w:w="415" w:type="dxa"/>
            <w:tcMar>
              <w:left w:w="20" w:type="dxa"/>
              <w:right w:w="20" w:type="dxa"/>
            </w:tcMar>
          </w:tcPr>
          <w:p w14:paraId="2EFA66F3" w14:textId="77777777" w:rsidR="0008002E" w:rsidRPr="00EE0EEB" w:rsidRDefault="0008002E" w:rsidP="006C66C7">
            <w:pPr>
              <w:pStyle w:val="TableText"/>
              <w:keepNext/>
              <w:keepLines/>
            </w:pPr>
          </w:p>
        </w:tc>
        <w:tc>
          <w:tcPr>
            <w:tcW w:w="415" w:type="dxa"/>
            <w:tcMar>
              <w:left w:w="20" w:type="dxa"/>
              <w:right w:w="20" w:type="dxa"/>
            </w:tcMar>
          </w:tcPr>
          <w:p w14:paraId="574C4574" w14:textId="77777777" w:rsidR="0008002E" w:rsidRPr="00EE0EEB" w:rsidRDefault="0008002E" w:rsidP="006C66C7">
            <w:pPr>
              <w:pStyle w:val="TableText"/>
              <w:keepNext/>
              <w:keepLines/>
            </w:pPr>
          </w:p>
        </w:tc>
        <w:tc>
          <w:tcPr>
            <w:tcW w:w="406" w:type="dxa"/>
            <w:tcMar>
              <w:left w:w="20" w:type="dxa"/>
              <w:right w:w="20" w:type="dxa"/>
            </w:tcMar>
          </w:tcPr>
          <w:p w14:paraId="24115BEE" w14:textId="77777777" w:rsidR="0008002E" w:rsidRPr="00EE0EEB" w:rsidRDefault="0008002E" w:rsidP="006C66C7">
            <w:pPr>
              <w:pStyle w:val="TableText"/>
              <w:keepNext/>
              <w:keepLines/>
            </w:pPr>
          </w:p>
        </w:tc>
        <w:tc>
          <w:tcPr>
            <w:tcW w:w="424" w:type="dxa"/>
            <w:tcMar>
              <w:left w:w="20" w:type="dxa"/>
              <w:right w:w="20" w:type="dxa"/>
            </w:tcMar>
          </w:tcPr>
          <w:p w14:paraId="49008118" w14:textId="77777777" w:rsidR="0008002E" w:rsidRPr="00EE0EEB" w:rsidRDefault="0008002E" w:rsidP="006C66C7">
            <w:pPr>
              <w:pStyle w:val="TableText"/>
              <w:keepNext/>
              <w:keepLines/>
            </w:pPr>
          </w:p>
        </w:tc>
        <w:tc>
          <w:tcPr>
            <w:tcW w:w="415" w:type="dxa"/>
            <w:tcMar>
              <w:left w:w="20" w:type="dxa"/>
              <w:right w:w="20" w:type="dxa"/>
            </w:tcMar>
          </w:tcPr>
          <w:p w14:paraId="33654212" w14:textId="77777777" w:rsidR="0008002E" w:rsidRPr="00EE0EEB" w:rsidRDefault="0008002E" w:rsidP="006C66C7">
            <w:pPr>
              <w:pStyle w:val="TableText"/>
              <w:keepNext/>
              <w:keepLines/>
            </w:pPr>
          </w:p>
        </w:tc>
        <w:tc>
          <w:tcPr>
            <w:tcW w:w="415" w:type="dxa"/>
            <w:tcMar>
              <w:left w:w="20" w:type="dxa"/>
              <w:right w:w="20" w:type="dxa"/>
            </w:tcMar>
          </w:tcPr>
          <w:p w14:paraId="4EA489E6" w14:textId="77777777" w:rsidR="0008002E" w:rsidRPr="00EE0EEB" w:rsidRDefault="0008002E" w:rsidP="006C66C7">
            <w:pPr>
              <w:pStyle w:val="TableText"/>
              <w:keepNext/>
              <w:keepLines/>
            </w:pPr>
          </w:p>
        </w:tc>
        <w:tc>
          <w:tcPr>
            <w:tcW w:w="415" w:type="dxa"/>
            <w:tcMar>
              <w:left w:w="20" w:type="dxa"/>
              <w:right w:w="20" w:type="dxa"/>
            </w:tcMar>
          </w:tcPr>
          <w:p w14:paraId="194B22D6" w14:textId="77777777" w:rsidR="0008002E" w:rsidRPr="00EE0EEB" w:rsidRDefault="0008002E" w:rsidP="006C66C7">
            <w:pPr>
              <w:pStyle w:val="TableText"/>
              <w:keepNext/>
              <w:keepLines/>
            </w:pPr>
          </w:p>
        </w:tc>
        <w:tc>
          <w:tcPr>
            <w:tcW w:w="415" w:type="dxa"/>
            <w:tcMar>
              <w:left w:w="20" w:type="dxa"/>
              <w:right w:w="20" w:type="dxa"/>
            </w:tcMar>
          </w:tcPr>
          <w:p w14:paraId="72841CE4" w14:textId="77777777" w:rsidR="0008002E" w:rsidRPr="00EE0EEB" w:rsidRDefault="0008002E" w:rsidP="006C66C7">
            <w:pPr>
              <w:pStyle w:val="TableText"/>
              <w:keepNext/>
              <w:keepLines/>
            </w:pPr>
          </w:p>
        </w:tc>
        <w:tc>
          <w:tcPr>
            <w:tcW w:w="416" w:type="dxa"/>
            <w:tcMar>
              <w:left w:w="20" w:type="dxa"/>
              <w:right w:w="20" w:type="dxa"/>
            </w:tcMar>
          </w:tcPr>
          <w:p w14:paraId="51555D06" w14:textId="77777777" w:rsidR="0008002E" w:rsidRPr="00EE0EEB" w:rsidRDefault="0008002E" w:rsidP="006C66C7">
            <w:pPr>
              <w:pStyle w:val="TableText"/>
              <w:keepNext/>
              <w:keepLines/>
            </w:pPr>
          </w:p>
        </w:tc>
      </w:tr>
      <w:tr w:rsidR="0008002E" w:rsidRPr="00EE0EEB" w14:paraId="49E9574A" w14:textId="77777777" w:rsidTr="00E81465">
        <w:trPr>
          <w:trHeight w:val="494"/>
        </w:trPr>
        <w:tc>
          <w:tcPr>
            <w:tcW w:w="988" w:type="dxa"/>
            <w:tcMar>
              <w:left w:w="20" w:type="dxa"/>
              <w:right w:w="20" w:type="dxa"/>
            </w:tcMar>
          </w:tcPr>
          <w:p w14:paraId="4012C147" w14:textId="77777777" w:rsidR="0008002E" w:rsidRPr="00EE0EEB" w:rsidRDefault="0008002E" w:rsidP="006C66C7">
            <w:pPr>
              <w:pStyle w:val="TableText"/>
              <w:keepNext/>
              <w:keepLines/>
              <w:rPr>
                <w:b/>
                <w:bCs/>
              </w:rPr>
            </w:pPr>
            <w:r w:rsidRPr="00EE0EEB">
              <w:rPr>
                <w:b/>
              </w:rPr>
              <w:t>Proposed treatment phases in PBS listing</w:t>
            </w:r>
          </w:p>
        </w:tc>
        <w:tc>
          <w:tcPr>
            <w:tcW w:w="2693" w:type="dxa"/>
            <w:gridSpan w:val="6"/>
            <w:tcMar>
              <w:left w:w="20" w:type="dxa"/>
              <w:right w:w="20" w:type="dxa"/>
            </w:tcMar>
          </w:tcPr>
          <w:p w14:paraId="2A8DA8DF" w14:textId="77777777" w:rsidR="0008002E" w:rsidRPr="00EE0EEB" w:rsidRDefault="0008002E" w:rsidP="006C66C7">
            <w:pPr>
              <w:pStyle w:val="TableText"/>
              <w:keepNext/>
              <w:keepLines/>
            </w:pPr>
            <w:r w:rsidRPr="00EE0EEB">
              <w:t>Initial</w:t>
            </w:r>
          </w:p>
        </w:tc>
        <w:tc>
          <w:tcPr>
            <w:tcW w:w="2835" w:type="dxa"/>
            <w:gridSpan w:val="7"/>
            <w:tcMar>
              <w:left w:w="20" w:type="dxa"/>
              <w:right w:w="20" w:type="dxa"/>
            </w:tcMar>
          </w:tcPr>
          <w:p w14:paraId="179431F4" w14:textId="77777777" w:rsidR="0008002E" w:rsidRPr="00EE0EEB" w:rsidRDefault="0008002E" w:rsidP="006C66C7">
            <w:pPr>
              <w:pStyle w:val="TableText"/>
              <w:keepNext/>
              <w:keepLines/>
            </w:pPr>
            <w:r w:rsidRPr="00EE0EEB">
              <w:t>Continuation 1</w:t>
            </w:r>
          </w:p>
        </w:tc>
        <w:tc>
          <w:tcPr>
            <w:tcW w:w="2500" w:type="dxa"/>
            <w:gridSpan w:val="6"/>
            <w:tcMar>
              <w:left w:w="20" w:type="dxa"/>
              <w:right w:w="20" w:type="dxa"/>
            </w:tcMar>
          </w:tcPr>
          <w:p w14:paraId="2B4D274C" w14:textId="77777777" w:rsidR="0008002E" w:rsidRPr="00EE0EEB" w:rsidRDefault="0008002E" w:rsidP="006C66C7">
            <w:pPr>
              <w:pStyle w:val="TableText"/>
              <w:keepNext/>
              <w:keepLines/>
            </w:pPr>
            <w:r w:rsidRPr="00EE0EEB">
              <w:t>Continuation 2</w:t>
            </w:r>
          </w:p>
        </w:tc>
      </w:tr>
    </w:tbl>
    <w:p w14:paraId="17C69311" w14:textId="77777777" w:rsidR="0008002E" w:rsidRPr="00EE0EEB" w:rsidRDefault="0008002E" w:rsidP="006C66C7">
      <w:pPr>
        <w:pStyle w:val="TableFooter"/>
        <w:keepNext/>
        <w:keepLines/>
      </w:pPr>
      <w:r w:rsidRPr="00EE0EEB">
        <w:t>Source: Table 1-19, p60 of the submission.</w:t>
      </w:r>
    </w:p>
    <w:p w14:paraId="3804BD35" w14:textId="77777777" w:rsidR="0008002E" w:rsidRPr="00EE0EEB" w:rsidRDefault="0008002E" w:rsidP="006C66C7">
      <w:pPr>
        <w:pStyle w:val="TableFooter"/>
        <w:keepNext/>
        <w:keepLines/>
      </w:pPr>
      <w:r w:rsidRPr="00EE0EEB">
        <w:rPr>
          <w:bCs/>
        </w:rPr>
        <w:t>Aß PET=Amyloid beta Positron Emission Tomography; MRI=Magnetic Resonance Imaging; PI=Product Information; Q4W=every 4 weeks.</w:t>
      </w:r>
    </w:p>
    <w:p w14:paraId="28DB5F6A" w14:textId="77777777" w:rsidR="0008002E" w:rsidRPr="00EE0EEB" w:rsidRDefault="0008002E" w:rsidP="006C66C7">
      <w:pPr>
        <w:pStyle w:val="TableFooter"/>
        <w:keepNext/>
        <w:keepLines/>
      </w:pPr>
      <w:r w:rsidRPr="00EE0EEB">
        <w:rPr>
          <w:vertAlign w:val="superscript"/>
        </w:rPr>
        <w:t>a</w:t>
      </w:r>
      <w:r w:rsidRPr="00EE0EEB">
        <w:t>PET and MRI services to be performed prior of the corresponding infusion.</w:t>
      </w:r>
    </w:p>
    <w:p w14:paraId="02E83217" w14:textId="77777777" w:rsidR="0008002E" w:rsidRPr="00EE0EEB" w:rsidRDefault="0008002E" w:rsidP="006C66C7">
      <w:pPr>
        <w:pStyle w:val="TableFooter"/>
        <w:keepNext/>
        <w:keepLines/>
      </w:pPr>
      <w:r w:rsidRPr="00EE0EEB">
        <w:rPr>
          <w:vertAlign w:val="superscript"/>
        </w:rPr>
        <w:t>b</w:t>
      </w:r>
      <w:r w:rsidRPr="00EE0EEB">
        <w:t>Baseline MRI to be performed within 6 months of first infusion of donanemab</w:t>
      </w:r>
    </w:p>
    <w:p w14:paraId="20D641E6" w14:textId="242D1D88" w:rsidR="0008002E" w:rsidRPr="00630A71" w:rsidRDefault="0008002E" w:rsidP="00DD02B1">
      <w:pPr>
        <w:pStyle w:val="3-BodyText"/>
        <w:numPr>
          <w:ilvl w:val="1"/>
          <w:numId w:val="23"/>
        </w:numPr>
        <w:spacing w:before="60" w:after="60"/>
        <w:ind w:left="709" w:hanging="709"/>
      </w:pPr>
      <w:r w:rsidRPr="00630A71">
        <w:t xml:space="preserve">Overall, the submission proposed three treatment phases in the requested restriction, which would align with the assessment points for potential treatment cessation associated with plaque clearance. The three treatment phases proposed in the submission apply to both the ‘treat-to-clearance’ and 18-month fixed treatment strategies. The submission stated that this approach provides consistency in treatment phases across the two treatment strategies which ‘would also support future expansion of Aß PET capacity and accessibility’. </w:t>
      </w:r>
    </w:p>
    <w:p w14:paraId="70CBA373" w14:textId="3042F155" w:rsidR="0008002E" w:rsidRPr="00737F81" w:rsidRDefault="0008002E" w:rsidP="00DD02B1">
      <w:pPr>
        <w:pStyle w:val="3-BodyText"/>
        <w:numPr>
          <w:ilvl w:val="1"/>
          <w:numId w:val="23"/>
        </w:numPr>
        <w:spacing w:before="60" w:after="60"/>
        <w:ind w:left="709" w:hanging="709"/>
      </w:pPr>
      <w:r>
        <w:t xml:space="preserve">It is unclear </w:t>
      </w:r>
      <w:r w:rsidRPr="00737F81">
        <w:t>whether the continuation restriction should stipulate the timing for Aß PET monitoring as proposed in the submission (every 6 months</w:t>
      </w:r>
      <w:r>
        <w:t>, see paragraph</w:t>
      </w:r>
      <w:r w:rsidR="00CD4CE5">
        <w:t xml:space="preserve"> </w:t>
      </w:r>
      <w:r w:rsidR="00CD4CE5">
        <w:fldChar w:fldCharType="begin"/>
      </w:r>
      <w:r w:rsidR="00CD4CE5">
        <w:instrText xml:space="preserve"> REF _Ref204782498 \r \h </w:instrText>
      </w:r>
      <w:r w:rsidR="00CD4CE5">
        <w:fldChar w:fldCharType="separate"/>
      </w:r>
      <w:r w:rsidR="00392423">
        <w:t>3.8</w:t>
      </w:r>
      <w:r w:rsidR="00CD4CE5">
        <w:fldChar w:fldCharType="end"/>
      </w:r>
      <w:r w:rsidRPr="00737F81">
        <w:t>) or whether the restriction should allow the clinician to test for amyloid plaque clearance at the most appropriate time, as considered necessary. Of note, is that this would be inconsistent with the fixed treatment duration strategy proposed in the submission where patients would not be required to provide evidence based on Aß PET. Over 18 months of treatment, a patient would receive 19 infusions of donanemab. For patients treated via a treat-to-clearance approach, the submission proposed that the 6-month Aß PET scan is performed prior to 7</w:t>
      </w:r>
      <w:r w:rsidRPr="00737F81">
        <w:rPr>
          <w:vertAlign w:val="superscript"/>
        </w:rPr>
        <w:t>th</w:t>
      </w:r>
      <w:r w:rsidRPr="00737F81">
        <w:t xml:space="preserve"> infusion, with treatment cessation ahead of the 7</w:t>
      </w:r>
      <w:r w:rsidRPr="00737F81">
        <w:rPr>
          <w:vertAlign w:val="superscript"/>
        </w:rPr>
        <w:t>th</w:t>
      </w:r>
      <w:r w:rsidRPr="00737F81">
        <w:t xml:space="preserve"> infusion if amyloid clearance is achieved. Similarly, the 12-month Aß PET scan is proposed to occur ahead of the 14</w:t>
      </w:r>
      <w:r w:rsidRPr="00737F81">
        <w:rPr>
          <w:vertAlign w:val="superscript"/>
        </w:rPr>
        <w:t>th</w:t>
      </w:r>
      <w:r w:rsidRPr="00737F81">
        <w:t xml:space="preserve"> infusion, with treatment cessation ahead of the 14</w:t>
      </w:r>
      <w:r w:rsidRPr="00737F81">
        <w:rPr>
          <w:vertAlign w:val="superscript"/>
        </w:rPr>
        <w:t>th</w:t>
      </w:r>
      <w:r w:rsidRPr="00737F81">
        <w:t xml:space="preserve"> infusion if amyloid clearance is achieved.</w:t>
      </w:r>
    </w:p>
    <w:p w14:paraId="4F4A6558" w14:textId="333D506E" w:rsidR="0008002E" w:rsidRPr="00630A71" w:rsidRDefault="0008002E" w:rsidP="00DD02B1">
      <w:pPr>
        <w:pStyle w:val="3-BodyText"/>
        <w:numPr>
          <w:ilvl w:val="1"/>
          <w:numId w:val="23"/>
        </w:numPr>
        <w:spacing w:before="60" w:after="60"/>
        <w:ind w:left="709" w:hanging="709"/>
      </w:pPr>
      <w:bookmarkStart w:id="7" w:name="_Ref204782498"/>
      <w:r w:rsidRPr="00630A71">
        <w:t xml:space="preserve">The restriction should specify a maximum treatment duration of 18 months. It is also uncertain whether patients and clinicians would want to </w:t>
      </w:r>
      <w:r>
        <w:t>cease</w:t>
      </w:r>
      <w:r w:rsidRPr="00630A71">
        <w:t xml:space="preserve"> donanemab treatment before they reached the full 18-month duration limit</w:t>
      </w:r>
      <w:r>
        <w:t xml:space="preserve"> if receiving the treat-to clearance strategy</w:t>
      </w:r>
      <w:r w:rsidRPr="00630A71">
        <w:t>. As a consequence, the</w:t>
      </w:r>
      <w:r w:rsidR="00D30609">
        <w:t xml:space="preserve"> DUSC considered that the</w:t>
      </w:r>
      <w:r w:rsidRPr="00630A71">
        <w:t>re may be significant additional costs beyond those being proposed in the submission.</w:t>
      </w:r>
      <w:bookmarkEnd w:id="7"/>
    </w:p>
    <w:p w14:paraId="741EB077" w14:textId="77777777" w:rsidR="0008002E" w:rsidRPr="008C2A0E" w:rsidRDefault="0008002E" w:rsidP="00DD02B1">
      <w:pPr>
        <w:pStyle w:val="3-BodyText"/>
        <w:numPr>
          <w:ilvl w:val="1"/>
          <w:numId w:val="23"/>
        </w:numPr>
        <w:spacing w:before="60" w:after="60"/>
        <w:ind w:left="709" w:hanging="709"/>
      </w:pPr>
      <w:r w:rsidRPr="00630A71">
        <w:t xml:space="preserve">The restriction should clearly state whether the 18 months is elapsed time from treatment initiation or the sum of active time on treatment (i.e. 18 months on active treatment, with </w:t>
      </w:r>
      <w:r>
        <w:t>dose interruptions</w:t>
      </w:r>
      <w:r w:rsidRPr="00630A71">
        <w:t xml:space="preserve"> </w:t>
      </w:r>
      <w:r w:rsidRPr="008C2A0E">
        <w:t xml:space="preserve">removed). Additionally, the ESCs considered that </w:t>
      </w:r>
      <w:r w:rsidRPr="008C2A0E">
        <w:lastRenderedPageBreak/>
        <w:t>the restriction should state that treatment with donanemab is once per lifetime as there is no data to support retreatment.</w:t>
      </w:r>
    </w:p>
    <w:p w14:paraId="5864BAB8" w14:textId="77777777" w:rsidR="0008002E" w:rsidRPr="00630A71" w:rsidRDefault="0008002E" w:rsidP="00DD02B1">
      <w:pPr>
        <w:pStyle w:val="3-BodyText"/>
        <w:numPr>
          <w:ilvl w:val="1"/>
          <w:numId w:val="23"/>
        </w:numPr>
        <w:spacing w:before="60" w:after="60"/>
        <w:ind w:left="709" w:hanging="709"/>
      </w:pPr>
      <w:r w:rsidRPr="00630A71">
        <w:t>The submission also requested a Grandfathering restriction for patients who initiate non-PBS subsidised treatment with donanemab prior to the PBS-listing date, conditional on these patients meeting PBS restriction criteria at the start of their non-PBS subsidised treatment, with supporting evidence provided in their medical records</w:t>
      </w:r>
    </w:p>
    <w:p w14:paraId="2B5BF77E" w14:textId="77777777" w:rsidR="0008002E" w:rsidRPr="00A60A44" w:rsidRDefault="0008002E" w:rsidP="00DD02B1">
      <w:pPr>
        <w:pStyle w:val="3-BodyText"/>
        <w:numPr>
          <w:ilvl w:val="1"/>
          <w:numId w:val="23"/>
        </w:numPr>
        <w:spacing w:before="60" w:after="60"/>
        <w:ind w:left="709" w:hanging="709"/>
      </w:pPr>
      <w:r w:rsidRPr="00630A71">
        <w:t xml:space="preserve">The submission proposed that patients must have a minimum Mini Mental State Examination </w:t>
      </w:r>
      <w:r>
        <w:t xml:space="preserve">(MMSE) or </w:t>
      </w:r>
      <w:r w:rsidRPr="00630A71">
        <w:t>standardised Mini Mental State Examination (SMMSE)</w:t>
      </w:r>
      <w:r w:rsidRPr="00630A71">
        <w:rPr>
          <w:rStyle w:val="FootnoteReference"/>
        </w:rPr>
        <w:footnoteReference w:id="5"/>
      </w:r>
      <w:r w:rsidRPr="00630A71">
        <w:t xml:space="preserve"> of 20 to be eligible for treatment in alignment with the inclusion criteria of TB-2</w:t>
      </w:r>
      <w:r>
        <w:t>, which used MMSE</w:t>
      </w:r>
      <w:r w:rsidRPr="00630A71">
        <w:t xml:space="preserve">. Enrolment into </w:t>
      </w:r>
      <w:r w:rsidRPr="00A60A44">
        <w:t xml:space="preserve">the TB-2 trial required patients to have a MMSE score of 20-28 at first visit. The submission did not propose an upper threshold for MMSE/SMMSE noting that this measure may not be sensitive to milder levels of cognitive impairment. The proposed prescribing instructions in the requested restriction note that an alternative cognitive assessment tool may also be specified if the patient’s MMSE/SMMSE score is &gt;25. </w:t>
      </w:r>
    </w:p>
    <w:p w14:paraId="04DF180E" w14:textId="03346EFB" w:rsidR="00E93D2C" w:rsidRPr="00A60A44" w:rsidRDefault="0008002E" w:rsidP="00DD02B1">
      <w:pPr>
        <w:pStyle w:val="3-BodyText"/>
        <w:numPr>
          <w:ilvl w:val="1"/>
          <w:numId w:val="23"/>
        </w:numPr>
        <w:spacing w:before="60" w:after="60"/>
        <w:ind w:left="709" w:hanging="709"/>
      </w:pPr>
      <w:r w:rsidRPr="00A60A44">
        <w:rPr>
          <w:bCs/>
        </w:rPr>
        <w:t>The ESCs noted that an</w:t>
      </w:r>
      <w:r w:rsidRPr="00A60A44">
        <w:t xml:space="preserve"> SMMSE score of 20+ is not </w:t>
      </w:r>
      <w:r w:rsidRPr="00A60A44">
        <w:rPr>
          <w:bCs/>
        </w:rPr>
        <w:t>an accurate way</w:t>
      </w:r>
      <w:r w:rsidRPr="00A60A44">
        <w:t xml:space="preserve"> to </w:t>
      </w:r>
      <w:r w:rsidRPr="00A60A44">
        <w:rPr>
          <w:bCs/>
        </w:rPr>
        <w:t>identify the patient group</w:t>
      </w:r>
      <w:r w:rsidRPr="00A60A44">
        <w:t xml:space="preserve"> with </w:t>
      </w:r>
      <w:r w:rsidRPr="00A60A44">
        <w:rPr>
          <w:bCs/>
        </w:rPr>
        <w:t>mild cognitive</w:t>
      </w:r>
      <w:r w:rsidRPr="00A60A44">
        <w:t xml:space="preserve"> disease </w:t>
      </w:r>
      <w:r w:rsidRPr="00A60A44">
        <w:rPr>
          <w:bCs/>
        </w:rPr>
        <w:t>or mild dementia.</w:t>
      </w:r>
      <w:r w:rsidRPr="00A60A44">
        <w:t xml:space="preserve"> </w:t>
      </w:r>
      <w:r w:rsidR="00A7427D" w:rsidRPr="00A60A44">
        <w:t>Further, the DUSC considered factors such as a timing of baseline assessment or repeat testing in order to achieve a relevant score could impact use within recommended restrictions.</w:t>
      </w:r>
      <w:r w:rsidR="00A7427D" w:rsidRPr="00A60A44">
        <w:rPr>
          <w:i/>
          <w:iCs/>
        </w:rPr>
        <w:t xml:space="preserve"> </w:t>
      </w:r>
      <w:r w:rsidRPr="00A60A44">
        <w:t>Donanemab is expected to have limited clinical benefit in more severe disease (i.e. SMMSE of &lt;21). The study rationale for the choice of a patient population with early AD in the TB-2 trial protocol (p8) is that there is a growing consensus that it may be necessary to initiate effective treatment that changes the underlying pathology of the disease, earlier in the course of the disease. Early in the disease, the presence of brain amyloid appears to increase the risk of conversion from MCI to AD dementia. This strategy is based on the amyloid hypothesis of AD, which postulates that the production and deposition of Aβ is an early and necessary event in the pathogenesis of AD</w:t>
      </w:r>
      <w:r w:rsidRPr="00A60A44">
        <w:rPr>
          <w:rStyle w:val="FootnoteReference"/>
        </w:rPr>
        <w:footnoteReference w:id="6"/>
      </w:r>
      <w:r w:rsidRPr="00A60A44">
        <w:rPr>
          <w:vertAlign w:val="superscript"/>
        </w:rPr>
        <w:t xml:space="preserve">, </w:t>
      </w:r>
      <w:r w:rsidRPr="00A60A44">
        <w:rPr>
          <w:rStyle w:val="FootnoteReference"/>
        </w:rPr>
        <w:footnoteReference w:id="7"/>
      </w:r>
      <w:r w:rsidRPr="00A60A44">
        <w:t>. The</w:t>
      </w:r>
      <w:r w:rsidR="00FA1558">
        <w:t xml:space="preserve"> Pre-Sub-Committee Response</w:t>
      </w:r>
      <w:r w:rsidRPr="00A60A44">
        <w:t xml:space="preserve"> </w:t>
      </w:r>
      <w:r w:rsidR="00FA1558">
        <w:t>(</w:t>
      </w:r>
      <w:r w:rsidRPr="00A60A44">
        <w:t>PSCR</w:t>
      </w:r>
      <w:r w:rsidR="00FA1558">
        <w:t>)</w:t>
      </w:r>
      <w:r w:rsidRPr="00A60A44">
        <w:t xml:space="preserve"> stated that the proposed restriction did not propose an upper limit to MMSE due to feedback from clinical advisors that some patients demonstrate a convincing history of cognitive decline despite achieving MMSE scores above 28.</w:t>
      </w:r>
      <w:r w:rsidR="00C27F63" w:rsidRPr="00A60A44">
        <w:t xml:space="preserve"> The </w:t>
      </w:r>
      <w:r w:rsidR="00E93D2C" w:rsidRPr="00A60A44">
        <w:t xml:space="preserve">DUSC </w:t>
      </w:r>
      <w:r w:rsidR="00C27F63" w:rsidRPr="00A60A44">
        <w:t>noted</w:t>
      </w:r>
      <w:r w:rsidR="00E93D2C" w:rsidRPr="00A60A44">
        <w:t xml:space="preserve"> that the restriction only indicate</w:t>
      </w:r>
      <w:r w:rsidR="00E16D74">
        <w:t>d</w:t>
      </w:r>
      <w:r w:rsidR="00E93D2C" w:rsidRPr="00A60A44">
        <w:t xml:space="preserve"> presence of MCI based on MMSE without requirement for AD or mild AD. </w:t>
      </w:r>
      <w:r w:rsidR="003729F5">
        <w:rPr>
          <w:rFonts w:cstheme="minorHAnsi"/>
          <w:lang w:val="en-GB"/>
        </w:rPr>
        <w:t>The PBAC considered that the Standardised Mini Mental State Examination (SMMSE) score was not an accurate way to identify patients with early AD and that the cause of MCI in patients with an SMMSE score above 20 may be due to many causes other than dementia.</w:t>
      </w:r>
    </w:p>
    <w:p w14:paraId="614001C5" w14:textId="6E53FFDE" w:rsidR="0008002E" w:rsidRPr="001C0597" w:rsidRDefault="0008002E" w:rsidP="00DD02B1">
      <w:pPr>
        <w:pStyle w:val="3-BodyText"/>
        <w:numPr>
          <w:ilvl w:val="1"/>
          <w:numId w:val="23"/>
        </w:numPr>
        <w:spacing w:before="60" w:after="60"/>
        <w:ind w:left="709" w:hanging="709"/>
        <w:rPr>
          <w:i/>
        </w:rPr>
      </w:pPr>
      <w:r w:rsidRPr="00A60A44">
        <w:rPr>
          <w:iCs/>
        </w:rPr>
        <w:lastRenderedPageBreak/>
        <w:t xml:space="preserve">The ESCs </w:t>
      </w:r>
      <w:r w:rsidR="00C27F63" w:rsidRPr="00A60A44">
        <w:rPr>
          <w:iCs/>
        </w:rPr>
        <w:t xml:space="preserve">and DUSC </w:t>
      </w:r>
      <w:r w:rsidRPr="00A60A44">
        <w:rPr>
          <w:iCs/>
        </w:rPr>
        <w:t>noted</w:t>
      </w:r>
      <w:r w:rsidRPr="00A60A44">
        <w:rPr>
          <w:i/>
        </w:rPr>
        <w:t xml:space="preserve"> </w:t>
      </w:r>
      <w:r w:rsidRPr="00A60A44">
        <w:t>that there are numerous</w:t>
      </w:r>
      <w:r w:rsidRPr="00630A71">
        <w:t xml:space="preserve"> causes of MCI, and many patients presenting with MCI in clinical practice do not progress to AD dementia. MCI is not always associated with AD and may resolve in many cases without progressing to dementia due to AD</w:t>
      </w:r>
      <w:r w:rsidRPr="00630A71">
        <w:rPr>
          <w:vertAlign w:val="superscript"/>
        </w:rPr>
        <w:footnoteReference w:id="8"/>
      </w:r>
      <w:r w:rsidRPr="00630A71" w:rsidDel="00445219">
        <w:t xml:space="preserve">. </w:t>
      </w:r>
      <w:r w:rsidRPr="00630A71">
        <w:t>As such, an incorrect diagnosis of these patients could lead to inappropriate use of donanemab</w:t>
      </w:r>
      <w:r w:rsidRPr="001C0597">
        <w:rPr>
          <w:i/>
        </w:rPr>
        <w:t xml:space="preserve">. </w:t>
      </w:r>
    </w:p>
    <w:p w14:paraId="2F0AC049" w14:textId="1AF48F25" w:rsidR="0008002E" w:rsidRPr="00630A71" w:rsidRDefault="0008002E" w:rsidP="00DD02B1">
      <w:pPr>
        <w:pStyle w:val="3-BodyText"/>
        <w:numPr>
          <w:ilvl w:val="1"/>
          <w:numId w:val="23"/>
        </w:numPr>
        <w:spacing w:before="60" w:after="60"/>
        <w:ind w:left="709" w:hanging="709"/>
      </w:pPr>
      <w:r w:rsidRPr="00630A71">
        <w:t xml:space="preserve">The </w:t>
      </w:r>
      <w:r w:rsidR="00F42C99">
        <w:t xml:space="preserve">DUSC noted that the </w:t>
      </w:r>
      <w:r w:rsidRPr="00630A71">
        <w:t xml:space="preserve">proposed continuation criteria </w:t>
      </w:r>
      <w:r w:rsidR="00F42C99">
        <w:t xml:space="preserve">were </w:t>
      </w:r>
      <w:r w:rsidRPr="00630A71">
        <w:t xml:space="preserve">not based on a clinically meaningful response to treatment. There </w:t>
      </w:r>
      <w:r>
        <w:t>wa</w:t>
      </w:r>
      <w:r w:rsidRPr="00630A71">
        <w:t>s no clinical evidence to suggest patients will notice an improvement in their condition, rather they will continue to decline at a potentially slower rate than without treatment. Patients whose amyloid burden has been substantially reduced or have become ‘amyloid negative’ may not benefit further from donanemab, and this criterion may represent a rational basis for treatment cessation to avoid unnecessary ARIA risk associated with continued treatment</w:t>
      </w:r>
      <w:r w:rsidRPr="00630A71">
        <w:rPr>
          <w:rStyle w:val="FootnoteReference"/>
        </w:rPr>
        <w:footnoteReference w:id="9"/>
      </w:r>
      <w:r w:rsidRPr="00630A71">
        <w:t>.</w:t>
      </w:r>
    </w:p>
    <w:p w14:paraId="4A7F8AF5" w14:textId="77777777" w:rsidR="0008002E" w:rsidRPr="00630A71" w:rsidRDefault="0008002E" w:rsidP="00DD02B1">
      <w:pPr>
        <w:pStyle w:val="3-BodyText"/>
        <w:numPr>
          <w:ilvl w:val="1"/>
          <w:numId w:val="23"/>
        </w:numPr>
        <w:spacing w:before="60" w:after="60"/>
        <w:ind w:left="709" w:hanging="709"/>
      </w:pPr>
      <w:r w:rsidRPr="00630A71">
        <w:t xml:space="preserve">A specific centiloid (CL) threshold for stopping donanemab treatment has not been proposed in the requested continuation criteria. Notably, </w:t>
      </w:r>
      <w:r w:rsidRPr="00630A71">
        <w:rPr>
          <w:bCs/>
        </w:rPr>
        <w:t>although there was some overlap between amyloid clearance and reduction to placebo (i.e. donanemab treatment cessation) criteria in TB-2, the specified CL thresholds were not identical:</w:t>
      </w:r>
    </w:p>
    <w:p w14:paraId="1A02BC10" w14:textId="77777777" w:rsidR="0008002E" w:rsidRPr="00630A71" w:rsidRDefault="0008002E" w:rsidP="00A60A44">
      <w:pPr>
        <w:pStyle w:val="PBACESParagraphBulletPoint"/>
        <w:spacing w:after="0"/>
        <w:ind w:left="1080"/>
      </w:pPr>
      <w:r w:rsidRPr="00630A71">
        <w:t>Reduction to placebo criteria: patients should meet either one of the following criteria at Week 24, 52, or 76: i) amyloid level was &lt;11 CL at any single amyloid PET scan, or ii) amyloid level was ≥11 to &lt;25 CL in two consecutive amyloid PET scans.</w:t>
      </w:r>
    </w:p>
    <w:p w14:paraId="75F56A3B" w14:textId="77777777" w:rsidR="0008002E" w:rsidRPr="00630A71" w:rsidRDefault="0008002E" w:rsidP="00A60A44">
      <w:pPr>
        <w:pStyle w:val="PBACESParagraphBulletPoint"/>
        <w:ind w:left="1080"/>
      </w:pPr>
      <w:r w:rsidRPr="00630A71">
        <w:t>Amyloid clearance criterion: amyloid plaque level of less than 24.1 CL.</w:t>
      </w:r>
    </w:p>
    <w:p w14:paraId="62F95104" w14:textId="4A8878E5" w:rsidR="0008002E" w:rsidRPr="008C2A0E" w:rsidRDefault="0008002E" w:rsidP="00DD02B1">
      <w:pPr>
        <w:pStyle w:val="3-BodyText"/>
        <w:numPr>
          <w:ilvl w:val="1"/>
          <w:numId w:val="23"/>
        </w:numPr>
        <w:spacing w:before="60" w:after="60"/>
        <w:ind w:left="709" w:hanging="709"/>
      </w:pPr>
      <w:r w:rsidRPr="00630A71">
        <w:t xml:space="preserve">The </w:t>
      </w:r>
      <w:r w:rsidR="00F42C99">
        <w:t>DUSC</w:t>
      </w:r>
      <w:r w:rsidR="00251C55">
        <w:t xml:space="preserve"> and PBAC</w:t>
      </w:r>
      <w:r w:rsidR="00F42C99">
        <w:t xml:space="preserve"> noted that the </w:t>
      </w:r>
      <w:r w:rsidRPr="00630A71">
        <w:t xml:space="preserve">requested restriction may require clear stopping rules to aid clinicians’ discussion with carers and patients about ceasing treatment with donanemab. </w:t>
      </w:r>
      <w:r w:rsidR="00F42C99">
        <w:t>The DUSC considered that i</w:t>
      </w:r>
      <w:r w:rsidRPr="00630A71">
        <w:t>t might be appropriate to include more specific criteria based on response or cessation of treatment upon progression to a severe disease stage (or a stopping rule for patients who no longer have 'early' AD) are required.</w:t>
      </w:r>
      <w:r>
        <w:t xml:space="preserve"> </w:t>
      </w:r>
      <w:r w:rsidRPr="008C2A0E">
        <w:t>The PSCR stated that as donanemab is not indicated in patients who have progressed beyond mild AD, it is assumed that clinicians will cease treatment in patients who progress to moderate AD. Additionally, the PSCR stated that patients with an amyloid clearance &lt; 24.1 CL should also discontinue treatment.</w:t>
      </w:r>
      <w:r w:rsidR="00FA4D77">
        <w:t xml:space="preserve"> </w:t>
      </w:r>
      <w:r w:rsidR="00FA4D77" w:rsidRPr="00A20AF4">
        <w:rPr>
          <w:rFonts w:cstheme="minorHAnsi"/>
          <w:lang w:val="en-GB"/>
        </w:rPr>
        <w:t xml:space="preserve">The </w:t>
      </w:r>
      <w:r w:rsidR="00FA4D77">
        <w:rPr>
          <w:rFonts w:cstheme="minorHAnsi"/>
          <w:lang w:val="en-GB"/>
        </w:rPr>
        <w:t xml:space="preserve">PBAC advised the </w:t>
      </w:r>
      <w:r w:rsidR="00FA4D77" w:rsidRPr="00A20AF4">
        <w:rPr>
          <w:rFonts w:cstheme="minorHAnsi"/>
          <w:lang w:val="en-GB"/>
        </w:rPr>
        <w:t>benefit-risk of treatment should be reassessed at regular intervals on an individual basis and if the patient progresses to moderate Alzheimer’s disease.</w:t>
      </w:r>
    </w:p>
    <w:p w14:paraId="11A602C3" w14:textId="5F18BF8A" w:rsidR="0008002E" w:rsidRPr="005E379B" w:rsidRDefault="0008002E" w:rsidP="00DD02B1">
      <w:pPr>
        <w:pStyle w:val="3-BodyText"/>
        <w:numPr>
          <w:ilvl w:val="1"/>
          <w:numId w:val="23"/>
        </w:numPr>
        <w:spacing w:before="60" w:after="60"/>
        <w:ind w:left="709" w:hanging="709"/>
      </w:pPr>
      <w:r w:rsidRPr="00630A71">
        <w:t xml:space="preserve">The TB-2 trial enrolled patients who were 60–85 years of age (inclusive). The submission did not propose a lower (or upper) age limit in the requested restriction. The justification provided in the submission was that clinical advice received from the sponsor’s Advisory Board indicated that </w:t>
      </w:r>
      <w:r w:rsidRPr="00A60A44">
        <w:t>there were ethical concerns regarding an age criterion given the lack of available treatments, and that the proportion of eligible patients below the age of 60 years is only around 10%.</w:t>
      </w:r>
      <w:r w:rsidR="003D2AF4" w:rsidRPr="00A60A44">
        <w:t xml:space="preserve"> The DUSC noted that the efficacy in patients aged &lt;60 is unknown. Trial subgroup analysis show</w:t>
      </w:r>
      <w:r w:rsidR="00E84E39" w:rsidRPr="00A60A44">
        <w:t>ed</w:t>
      </w:r>
      <w:r w:rsidR="003D2AF4" w:rsidRPr="00A60A44">
        <w:t xml:space="preserve"> some benefit (</w:t>
      </w:r>
      <w:r w:rsidR="003D2AF4" w:rsidRPr="005E379B">
        <w:t>not significant) in the 60-65 years subgroup.</w:t>
      </w:r>
    </w:p>
    <w:p w14:paraId="28C4B36E" w14:textId="28AAAEDE" w:rsidR="0008002E" w:rsidRPr="005E379B" w:rsidRDefault="0008002E" w:rsidP="00DD02B1">
      <w:pPr>
        <w:pStyle w:val="3-BodyText"/>
        <w:numPr>
          <w:ilvl w:val="1"/>
          <w:numId w:val="23"/>
        </w:numPr>
        <w:spacing w:before="60" w:after="60"/>
        <w:ind w:left="709" w:hanging="709"/>
      </w:pPr>
      <w:r w:rsidRPr="005E379B">
        <w:lastRenderedPageBreak/>
        <w:t xml:space="preserve">In the TGA Delegate’s Overview for donanemab, the sponsor noted that the relative percent slowing of disease progression associated with donanemab was lower in the high tau population likely because of downstream pathological processes that have already been initiated. The sponsor also stated that </w:t>
      </w:r>
      <w:r w:rsidR="00D10887" w:rsidRPr="0055418C">
        <w:rPr>
          <w:color w:val="000000"/>
          <w:w w:val="60"/>
          <w:shd w:val="solid" w:color="000000" w:fill="000000"/>
          <w:fitText w:val="469" w:id="-623664128"/>
          <w14:textFill>
            <w14:solidFill>
              <w14:srgbClr w14:val="000000">
                <w14:alpha w14:val="100000"/>
              </w14:srgbClr>
            </w14:solidFill>
          </w14:textFill>
        </w:rPr>
        <w:t>|||  ||</w:t>
      </w:r>
      <w:r w:rsidR="00D10887" w:rsidRPr="0055418C">
        <w:rPr>
          <w:color w:val="000000"/>
          <w:spacing w:val="5"/>
          <w:w w:val="60"/>
          <w:shd w:val="solid" w:color="000000" w:fill="000000"/>
          <w:fitText w:val="469" w:id="-623664128"/>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7"/>
          <w14:textFill>
            <w14:solidFill>
              <w14:srgbClr w14:val="000000">
                <w14:alpha w14:val="100000"/>
              </w14:srgbClr>
            </w14:solidFill>
          </w14:textFill>
        </w:rPr>
        <w:t>|||  ||</w:t>
      </w:r>
      <w:r w:rsidR="00D10887" w:rsidRPr="0055418C">
        <w:rPr>
          <w:color w:val="000000"/>
          <w:spacing w:val="4"/>
          <w:w w:val="60"/>
          <w:shd w:val="solid" w:color="000000" w:fill="000000"/>
          <w:fitText w:val="468" w:id="-623664127"/>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6"/>
          <w14:textFill>
            <w14:solidFill>
              <w14:srgbClr w14:val="000000">
                <w14:alpha w14:val="100000"/>
              </w14:srgbClr>
            </w14:solidFill>
          </w14:textFill>
        </w:rPr>
        <w:t>|||  ||</w:t>
      </w:r>
      <w:r w:rsidR="00D10887" w:rsidRPr="0055418C">
        <w:rPr>
          <w:color w:val="000000"/>
          <w:spacing w:val="4"/>
          <w:w w:val="60"/>
          <w:shd w:val="solid" w:color="000000" w:fill="000000"/>
          <w:fitText w:val="468" w:id="-623664126"/>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25"/>
          <w14:textFill>
            <w14:solidFill>
              <w14:srgbClr w14:val="000000">
                <w14:alpha w14:val="100000"/>
              </w14:srgbClr>
            </w14:solidFill>
          </w14:textFill>
        </w:rPr>
        <w:t>|||  ||</w:t>
      </w:r>
      <w:r w:rsidR="00D10887" w:rsidRPr="0055418C">
        <w:rPr>
          <w:color w:val="000000"/>
          <w:spacing w:val="5"/>
          <w:w w:val="60"/>
          <w:shd w:val="solid" w:color="000000" w:fill="000000"/>
          <w:fitText w:val="469" w:id="-623664125"/>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4"/>
          <w14:textFill>
            <w14:solidFill>
              <w14:srgbClr w14:val="000000">
                <w14:alpha w14:val="100000"/>
              </w14:srgbClr>
            </w14:solidFill>
          </w14:textFill>
        </w:rPr>
        <w:t>|||  ||</w:t>
      </w:r>
      <w:r w:rsidR="00D10887" w:rsidRPr="0055418C">
        <w:rPr>
          <w:color w:val="000000"/>
          <w:spacing w:val="4"/>
          <w:w w:val="60"/>
          <w:shd w:val="solid" w:color="000000" w:fill="000000"/>
          <w:fitText w:val="468" w:id="-623664124"/>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3"/>
          <w14:textFill>
            <w14:solidFill>
              <w14:srgbClr w14:val="000000">
                <w14:alpha w14:val="100000"/>
              </w14:srgbClr>
            </w14:solidFill>
          </w14:textFill>
        </w:rPr>
        <w:t>|||  ||</w:t>
      </w:r>
      <w:r w:rsidR="00D10887" w:rsidRPr="0055418C">
        <w:rPr>
          <w:color w:val="000000"/>
          <w:spacing w:val="4"/>
          <w:w w:val="60"/>
          <w:shd w:val="solid" w:color="000000" w:fill="000000"/>
          <w:fitText w:val="468" w:id="-623664123"/>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2"/>
          <w14:textFill>
            <w14:solidFill>
              <w14:srgbClr w14:val="000000">
                <w14:alpha w14:val="100000"/>
              </w14:srgbClr>
            </w14:solidFill>
          </w14:textFill>
        </w:rPr>
        <w:t>|||  ||</w:t>
      </w:r>
      <w:r w:rsidR="00D10887" w:rsidRPr="0055418C">
        <w:rPr>
          <w:color w:val="000000"/>
          <w:spacing w:val="4"/>
          <w:w w:val="60"/>
          <w:shd w:val="solid" w:color="000000" w:fill="000000"/>
          <w:fitText w:val="468" w:id="-623664122"/>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1"/>
          <w14:textFill>
            <w14:solidFill>
              <w14:srgbClr w14:val="000000">
                <w14:alpha w14:val="100000"/>
              </w14:srgbClr>
            </w14:solidFill>
          </w14:textFill>
        </w:rPr>
        <w:t>|||  ||</w:t>
      </w:r>
      <w:r w:rsidR="00D10887" w:rsidRPr="0055418C">
        <w:rPr>
          <w:color w:val="000000"/>
          <w:spacing w:val="4"/>
          <w:w w:val="60"/>
          <w:shd w:val="solid" w:color="000000" w:fill="000000"/>
          <w:fitText w:val="468" w:id="-623664121"/>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20"/>
          <w14:textFill>
            <w14:solidFill>
              <w14:srgbClr w14:val="000000">
                <w14:alpha w14:val="100000"/>
              </w14:srgbClr>
            </w14:solidFill>
          </w14:textFill>
        </w:rPr>
        <w:t>|||  ||</w:t>
      </w:r>
      <w:r w:rsidR="00D10887" w:rsidRPr="0055418C">
        <w:rPr>
          <w:color w:val="000000"/>
          <w:spacing w:val="3"/>
          <w:w w:val="62"/>
          <w:shd w:val="solid" w:color="000000" w:fill="000000"/>
          <w:fitText w:val="481" w:id="-623664120"/>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9"/>
          <w14:textFill>
            <w14:solidFill>
              <w14:srgbClr w14:val="000000">
                <w14:alpha w14:val="100000"/>
              </w14:srgbClr>
            </w14:solidFill>
          </w14:textFill>
        </w:rPr>
        <w:t>|||  ||</w:t>
      </w:r>
      <w:r w:rsidR="00D10887" w:rsidRPr="0055418C">
        <w:rPr>
          <w:color w:val="000000"/>
          <w:spacing w:val="5"/>
          <w:w w:val="60"/>
          <w:shd w:val="solid" w:color="000000" w:fill="000000"/>
          <w:fitText w:val="469" w:id="-623664119"/>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18"/>
          <w14:textFill>
            <w14:solidFill>
              <w14:srgbClr w14:val="000000">
                <w14:alpha w14:val="100000"/>
              </w14:srgbClr>
            </w14:solidFill>
          </w14:textFill>
        </w:rPr>
        <w:t>|||  ||</w:t>
      </w:r>
      <w:r w:rsidR="00D10887" w:rsidRPr="0055418C">
        <w:rPr>
          <w:color w:val="000000"/>
          <w:spacing w:val="3"/>
          <w:w w:val="62"/>
          <w:shd w:val="solid" w:color="000000" w:fill="000000"/>
          <w:fitText w:val="481" w:id="-623664118"/>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7"/>
          <w14:textFill>
            <w14:solidFill>
              <w14:srgbClr w14:val="000000">
                <w14:alpha w14:val="100000"/>
              </w14:srgbClr>
            </w14:solidFill>
          </w14:textFill>
        </w:rPr>
        <w:t>|||  ||</w:t>
      </w:r>
      <w:r w:rsidR="00D10887" w:rsidRPr="0055418C">
        <w:rPr>
          <w:color w:val="000000"/>
          <w:spacing w:val="5"/>
          <w:w w:val="60"/>
          <w:shd w:val="solid" w:color="000000" w:fill="000000"/>
          <w:fitText w:val="469" w:id="-623664117"/>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6"/>
          <w14:textFill>
            <w14:solidFill>
              <w14:srgbClr w14:val="000000">
                <w14:alpha w14:val="100000"/>
              </w14:srgbClr>
            </w14:solidFill>
          </w14:textFill>
        </w:rPr>
        <w:t>|||  ||</w:t>
      </w:r>
      <w:r w:rsidR="00D10887" w:rsidRPr="0055418C">
        <w:rPr>
          <w:color w:val="000000"/>
          <w:spacing w:val="5"/>
          <w:w w:val="60"/>
          <w:shd w:val="solid" w:color="000000" w:fill="000000"/>
          <w:fitText w:val="469" w:id="-623664116"/>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5"/>
          <w14:textFill>
            <w14:solidFill>
              <w14:srgbClr w14:val="000000">
                <w14:alpha w14:val="100000"/>
              </w14:srgbClr>
            </w14:solidFill>
          </w14:textFill>
        </w:rPr>
        <w:t>|||  ||</w:t>
      </w:r>
      <w:r w:rsidR="00D10887" w:rsidRPr="0055418C">
        <w:rPr>
          <w:color w:val="000000"/>
          <w:spacing w:val="4"/>
          <w:w w:val="60"/>
          <w:shd w:val="solid" w:color="000000" w:fill="000000"/>
          <w:fitText w:val="468" w:id="-623664115"/>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4"/>
          <w14:textFill>
            <w14:solidFill>
              <w14:srgbClr w14:val="000000">
                <w14:alpha w14:val="100000"/>
              </w14:srgbClr>
            </w14:solidFill>
          </w14:textFill>
        </w:rPr>
        <w:t>|||  ||</w:t>
      </w:r>
      <w:r w:rsidR="00D10887" w:rsidRPr="0055418C">
        <w:rPr>
          <w:color w:val="000000"/>
          <w:spacing w:val="5"/>
          <w:w w:val="60"/>
          <w:shd w:val="solid" w:color="000000" w:fill="000000"/>
          <w:fitText w:val="469" w:id="-623664114"/>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3"/>
          <w14:textFill>
            <w14:solidFill>
              <w14:srgbClr w14:val="000000">
                <w14:alpha w14:val="100000"/>
              </w14:srgbClr>
            </w14:solidFill>
          </w14:textFill>
        </w:rPr>
        <w:t>|||  ||</w:t>
      </w:r>
      <w:r w:rsidR="00D10887" w:rsidRPr="0055418C">
        <w:rPr>
          <w:color w:val="000000"/>
          <w:spacing w:val="4"/>
          <w:w w:val="60"/>
          <w:shd w:val="solid" w:color="000000" w:fill="000000"/>
          <w:fitText w:val="468" w:id="-623664113"/>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12"/>
          <w14:textFill>
            <w14:solidFill>
              <w14:srgbClr w14:val="000000">
                <w14:alpha w14:val="100000"/>
              </w14:srgbClr>
            </w14:solidFill>
          </w14:textFill>
        </w:rPr>
        <w:t>|||  ||</w:t>
      </w:r>
      <w:r w:rsidR="00D10887" w:rsidRPr="0055418C">
        <w:rPr>
          <w:color w:val="000000"/>
          <w:spacing w:val="3"/>
          <w:w w:val="62"/>
          <w:shd w:val="solid" w:color="000000" w:fill="000000"/>
          <w:fitText w:val="481" w:id="-623664112"/>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8"/>
          <w14:textFill>
            <w14:solidFill>
              <w14:srgbClr w14:val="000000">
                <w14:alpha w14:val="100000"/>
              </w14:srgbClr>
            </w14:solidFill>
          </w14:textFill>
        </w:rPr>
        <w:t>|||  ||</w:t>
      </w:r>
      <w:r w:rsidR="00D10887" w:rsidRPr="0055418C">
        <w:rPr>
          <w:color w:val="000000"/>
          <w:spacing w:val="4"/>
          <w:w w:val="60"/>
          <w:shd w:val="solid" w:color="000000" w:fill="000000"/>
          <w:fitText w:val="468" w:id="-623664128"/>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7"/>
          <w14:textFill>
            <w14:solidFill>
              <w14:srgbClr w14:val="000000">
                <w14:alpha w14:val="100000"/>
              </w14:srgbClr>
            </w14:solidFill>
          </w14:textFill>
        </w:rPr>
        <w:t>|||  ||</w:t>
      </w:r>
      <w:r w:rsidR="00D10887" w:rsidRPr="0055418C">
        <w:rPr>
          <w:color w:val="000000"/>
          <w:spacing w:val="4"/>
          <w:w w:val="60"/>
          <w:shd w:val="solid" w:color="000000" w:fill="000000"/>
          <w:fitText w:val="468" w:id="-623664127"/>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6"/>
          <w14:textFill>
            <w14:solidFill>
              <w14:srgbClr w14:val="000000">
                <w14:alpha w14:val="100000"/>
              </w14:srgbClr>
            </w14:solidFill>
          </w14:textFill>
        </w:rPr>
        <w:t>|||  ||</w:t>
      </w:r>
      <w:r w:rsidR="00D10887" w:rsidRPr="0055418C">
        <w:rPr>
          <w:color w:val="000000"/>
          <w:spacing w:val="4"/>
          <w:w w:val="60"/>
          <w:shd w:val="solid" w:color="000000" w:fill="000000"/>
          <w:fitText w:val="468" w:id="-623664126"/>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5"/>
          <w14:textFill>
            <w14:solidFill>
              <w14:srgbClr w14:val="000000">
                <w14:alpha w14:val="100000"/>
              </w14:srgbClr>
            </w14:solidFill>
          </w14:textFill>
        </w:rPr>
        <w:t>|||  ||</w:t>
      </w:r>
      <w:r w:rsidR="00D10887" w:rsidRPr="0055418C">
        <w:rPr>
          <w:color w:val="000000"/>
          <w:spacing w:val="4"/>
          <w:w w:val="60"/>
          <w:shd w:val="solid" w:color="000000" w:fill="000000"/>
          <w:fitText w:val="468" w:id="-623664125"/>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4"/>
          <w14:textFill>
            <w14:solidFill>
              <w14:srgbClr w14:val="000000">
                <w14:alpha w14:val="100000"/>
              </w14:srgbClr>
            </w14:solidFill>
          </w14:textFill>
        </w:rPr>
        <w:t>|||  ||</w:t>
      </w:r>
      <w:r w:rsidR="00D10887" w:rsidRPr="0055418C">
        <w:rPr>
          <w:color w:val="000000"/>
          <w:spacing w:val="4"/>
          <w:w w:val="60"/>
          <w:shd w:val="solid" w:color="000000" w:fill="000000"/>
          <w:fitText w:val="468" w:id="-623664124"/>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3"/>
          <w14:textFill>
            <w14:solidFill>
              <w14:srgbClr w14:val="000000">
                <w14:alpha w14:val="100000"/>
              </w14:srgbClr>
            </w14:solidFill>
          </w14:textFill>
        </w:rPr>
        <w:t>|||  ||</w:t>
      </w:r>
      <w:r w:rsidR="00D10887" w:rsidRPr="0055418C">
        <w:rPr>
          <w:color w:val="000000"/>
          <w:spacing w:val="4"/>
          <w:w w:val="60"/>
          <w:shd w:val="solid" w:color="000000" w:fill="000000"/>
          <w:fitText w:val="468" w:id="-623664123"/>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2"/>
          <w14:textFill>
            <w14:solidFill>
              <w14:srgbClr w14:val="000000">
                <w14:alpha w14:val="100000"/>
              </w14:srgbClr>
            </w14:solidFill>
          </w14:textFill>
        </w:rPr>
        <w:t>|||  ||</w:t>
      </w:r>
      <w:r w:rsidR="00D10887" w:rsidRPr="0055418C">
        <w:rPr>
          <w:color w:val="000000"/>
          <w:spacing w:val="4"/>
          <w:w w:val="60"/>
          <w:shd w:val="solid" w:color="000000" w:fill="000000"/>
          <w:fitText w:val="468" w:id="-623664122"/>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21"/>
          <w14:textFill>
            <w14:solidFill>
              <w14:srgbClr w14:val="000000">
                <w14:alpha w14:val="100000"/>
              </w14:srgbClr>
            </w14:solidFill>
          </w14:textFill>
        </w:rPr>
        <w:t>|||  ||</w:t>
      </w:r>
      <w:r w:rsidR="00D10887" w:rsidRPr="0055418C">
        <w:rPr>
          <w:color w:val="000000"/>
          <w:spacing w:val="3"/>
          <w:w w:val="62"/>
          <w:shd w:val="solid" w:color="000000" w:fill="000000"/>
          <w:fitText w:val="481" w:id="-623664121"/>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20"/>
          <w14:textFill>
            <w14:solidFill>
              <w14:srgbClr w14:val="000000">
                <w14:alpha w14:val="100000"/>
              </w14:srgbClr>
            </w14:solidFill>
          </w14:textFill>
        </w:rPr>
        <w:t>|||  ||</w:t>
      </w:r>
      <w:r w:rsidR="00D10887" w:rsidRPr="0055418C">
        <w:rPr>
          <w:color w:val="000000"/>
          <w:spacing w:val="5"/>
          <w:w w:val="60"/>
          <w:shd w:val="solid" w:color="000000" w:fill="000000"/>
          <w:fitText w:val="469" w:id="-623664120"/>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19"/>
          <w14:textFill>
            <w14:solidFill>
              <w14:srgbClr w14:val="000000">
                <w14:alpha w14:val="100000"/>
              </w14:srgbClr>
            </w14:solidFill>
          </w14:textFill>
        </w:rPr>
        <w:t>|||  ||</w:t>
      </w:r>
      <w:r w:rsidR="00D10887" w:rsidRPr="0055418C">
        <w:rPr>
          <w:color w:val="000000"/>
          <w:spacing w:val="3"/>
          <w:w w:val="62"/>
          <w:shd w:val="solid" w:color="000000" w:fill="000000"/>
          <w:fitText w:val="481" w:id="-623664119"/>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8"/>
          <w14:textFill>
            <w14:solidFill>
              <w14:srgbClr w14:val="000000">
                <w14:alpha w14:val="100000"/>
              </w14:srgbClr>
            </w14:solidFill>
          </w14:textFill>
        </w:rPr>
        <w:t>|||  ||</w:t>
      </w:r>
      <w:r w:rsidR="00D10887" w:rsidRPr="0055418C">
        <w:rPr>
          <w:color w:val="000000"/>
          <w:spacing w:val="5"/>
          <w:w w:val="60"/>
          <w:shd w:val="solid" w:color="000000" w:fill="000000"/>
          <w:fitText w:val="469" w:id="-623664118"/>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7"/>
          <w14:textFill>
            <w14:solidFill>
              <w14:srgbClr w14:val="000000">
                <w14:alpha w14:val="100000"/>
              </w14:srgbClr>
            </w14:solidFill>
          </w14:textFill>
        </w:rPr>
        <w:t>|||  ||</w:t>
      </w:r>
      <w:r w:rsidR="00D10887" w:rsidRPr="0055418C">
        <w:rPr>
          <w:color w:val="000000"/>
          <w:spacing w:val="5"/>
          <w:w w:val="60"/>
          <w:shd w:val="solid" w:color="000000" w:fill="000000"/>
          <w:fitText w:val="469" w:id="-623664117"/>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6"/>
          <w14:textFill>
            <w14:solidFill>
              <w14:srgbClr w14:val="000000">
                <w14:alpha w14:val="100000"/>
              </w14:srgbClr>
            </w14:solidFill>
          </w14:textFill>
        </w:rPr>
        <w:t>|||  ||</w:t>
      </w:r>
      <w:r w:rsidR="00D10887" w:rsidRPr="0055418C">
        <w:rPr>
          <w:color w:val="000000"/>
          <w:spacing w:val="4"/>
          <w:w w:val="60"/>
          <w:shd w:val="solid" w:color="000000" w:fill="000000"/>
          <w:fitText w:val="468" w:id="-623664116"/>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5"/>
          <w14:textFill>
            <w14:solidFill>
              <w14:srgbClr w14:val="000000">
                <w14:alpha w14:val="100000"/>
              </w14:srgbClr>
            </w14:solidFill>
          </w14:textFill>
        </w:rPr>
        <w:t>|||  ||</w:t>
      </w:r>
      <w:r w:rsidR="00D10887" w:rsidRPr="0055418C">
        <w:rPr>
          <w:color w:val="000000"/>
          <w:spacing w:val="5"/>
          <w:w w:val="60"/>
          <w:shd w:val="solid" w:color="000000" w:fill="000000"/>
          <w:fitText w:val="469" w:id="-623664115"/>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4"/>
          <w14:textFill>
            <w14:solidFill>
              <w14:srgbClr w14:val="000000">
                <w14:alpha w14:val="100000"/>
              </w14:srgbClr>
            </w14:solidFill>
          </w14:textFill>
        </w:rPr>
        <w:t>|||  ||</w:t>
      </w:r>
      <w:r w:rsidR="00D10887" w:rsidRPr="0055418C">
        <w:rPr>
          <w:color w:val="000000"/>
          <w:spacing w:val="4"/>
          <w:w w:val="60"/>
          <w:shd w:val="solid" w:color="000000" w:fill="000000"/>
          <w:fitText w:val="468" w:id="-623664114"/>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13"/>
          <w14:textFill>
            <w14:solidFill>
              <w14:srgbClr w14:val="000000">
                <w14:alpha w14:val="100000"/>
              </w14:srgbClr>
            </w14:solidFill>
          </w14:textFill>
        </w:rPr>
        <w:t>|||  ||</w:t>
      </w:r>
      <w:r w:rsidR="00D10887" w:rsidRPr="0055418C">
        <w:rPr>
          <w:color w:val="000000"/>
          <w:spacing w:val="3"/>
          <w:w w:val="62"/>
          <w:shd w:val="solid" w:color="000000" w:fill="000000"/>
          <w:fitText w:val="481" w:id="-623664113"/>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2"/>
          <w14:textFill>
            <w14:solidFill>
              <w14:srgbClr w14:val="000000">
                <w14:alpha w14:val="100000"/>
              </w14:srgbClr>
            </w14:solidFill>
          </w14:textFill>
        </w:rPr>
        <w:t>|||  ||</w:t>
      </w:r>
      <w:r w:rsidR="00D10887" w:rsidRPr="0055418C">
        <w:rPr>
          <w:color w:val="000000"/>
          <w:spacing w:val="4"/>
          <w:w w:val="60"/>
          <w:shd w:val="solid" w:color="000000" w:fill="000000"/>
          <w:fitText w:val="468" w:id="-623664112"/>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8"/>
          <w14:textFill>
            <w14:solidFill>
              <w14:srgbClr w14:val="000000">
                <w14:alpha w14:val="100000"/>
              </w14:srgbClr>
            </w14:solidFill>
          </w14:textFill>
        </w:rPr>
        <w:t>|||  ||</w:t>
      </w:r>
      <w:r w:rsidR="00D10887" w:rsidRPr="0055418C">
        <w:rPr>
          <w:color w:val="000000"/>
          <w:spacing w:val="4"/>
          <w:w w:val="60"/>
          <w:shd w:val="solid" w:color="000000" w:fill="000000"/>
          <w:fitText w:val="468" w:id="-623664128"/>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7"/>
          <w14:textFill>
            <w14:solidFill>
              <w14:srgbClr w14:val="000000">
                <w14:alpha w14:val="100000"/>
              </w14:srgbClr>
            </w14:solidFill>
          </w14:textFill>
        </w:rPr>
        <w:t>|||  ||</w:t>
      </w:r>
      <w:r w:rsidR="00D10887" w:rsidRPr="0055418C">
        <w:rPr>
          <w:color w:val="000000"/>
          <w:spacing w:val="4"/>
          <w:w w:val="60"/>
          <w:shd w:val="solid" w:color="000000" w:fill="000000"/>
          <w:fitText w:val="468" w:id="-623664127"/>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6"/>
          <w14:textFill>
            <w14:solidFill>
              <w14:srgbClr w14:val="000000">
                <w14:alpha w14:val="100000"/>
              </w14:srgbClr>
            </w14:solidFill>
          </w14:textFill>
        </w:rPr>
        <w:t>|||  ||</w:t>
      </w:r>
      <w:r w:rsidR="00D10887" w:rsidRPr="0055418C">
        <w:rPr>
          <w:color w:val="000000"/>
          <w:spacing w:val="4"/>
          <w:w w:val="60"/>
          <w:shd w:val="solid" w:color="000000" w:fill="000000"/>
          <w:fitText w:val="468" w:id="-623664126"/>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5"/>
          <w14:textFill>
            <w14:solidFill>
              <w14:srgbClr w14:val="000000">
                <w14:alpha w14:val="100000"/>
              </w14:srgbClr>
            </w14:solidFill>
          </w14:textFill>
        </w:rPr>
        <w:t>|||  ||</w:t>
      </w:r>
      <w:r w:rsidR="00D10887" w:rsidRPr="0055418C">
        <w:rPr>
          <w:color w:val="000000"/>
          <w:spacing w:val="4"/>
          <w:w w:val="60"/>
          <w:shd w:val="solid" w:color="000000" w:fill="000000"/>
          <w:fitText w:val="468" w:id="-623664125"/>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4"/>
          <w14:textFill>
            <w14:solidFill>
              <w14:srgbClr w14:val="000000">
                <w14:alpha w14:val="100000"/>
              </w14:srgbClr>
            </w14:solidFill>
          </w14:textFill>
        </w:rPr>
        <w:t>|||  ||</w:t>
      </w:r>
      <w:r w:rsidR="00D10887" w:rsidRPr="0055418C">
        <w:rPr>
          <w:color w:val="000000"/>
          <w:spacing w:val="4"/>
          <w:w w:val="60"/>
          <w:shd w:val="solid" w:color="000000" w:fill="000000"/>
          <w:fitText w:val="468" w:id="-623664124"/>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3"/>
          <w14:textFill>
            <w14:solidFill>
              <w14:srgbClr w14:val="000000">
                <w14:alpha w14:val="100000"/>
              </w14:srgbClr>
            </w14:solidFill>
          </w14:textFill>
        </w:rPr>
        <w:t>|||  ||</w:t>
      </w:r>
      <w:r w:rsidR="00D10887" w:rsidRPr="0055418C">
        <w:rPr>
          <w:color w:val="000000"/>
          <w:spacing w:val="4"/>
          <w:w w:val="60"/>
          <w:shd w:val="solid" w:color="000000" w:fill="000000"/>
          <w:fitText w:val="468" w:id="-623664123"/>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22"/>
          <w14:textFill>
            <w14:solidFill>
              <w14:srgbClr w14:val="000000">
                <w14:alpha w14:val="100000"/>
              </w14:srgbClr>
            </w14:solidFill>
          </w14:textFill>
        </w:rPr>
        <w:t>|||  ||</w:t>
      </w:r>
      <w:r w:rsidR="00D10887" w:rsidRPr="0055418C">
        <w:rPr>
          <w:color w:val="000000"/>
          <w:spacing w:val="3"/>
          <w:w w:val="62"/>
          <w:shd w:val="solid" w:color="000000" w:fill="000000"/>
          <w:fitText w:val="481" w:id="-623664122"/>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21"/>
          <w14:textFill>
            <w14:solidFill>
              <w14:srgbClr w14:val="000000">
                <w14:alpha w14:val="100000"/>
              </w14:srgbClr>
            </w14:solidFill>
          </w14:textFill>
        </w:rPr>
        <w:t>|||  ||</w:t>
      </w:r>
      <w:r w:rsidR="00D10887" w:rsidRPr="0055418C">
        <w:rPr>
          <w:color w:val="000000"/>
          <w:spacing w:val="5"/>
          <w:w w:val="60"/>
          <w:shd w:val="solid" w:color="000000" w:fill="000000"/>
          <w:fitText w:val="469" w:id="-623664121"/>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20"/>
          <w14:textFill>
            <w14:solidFill>
              <w14:srgbClr w14:val="000000">
                <w14:alpha w14:val="100000"/>
              </w14:srgbClr>
            </w14:solidFill>
          </w14:textFill>
        </w:rPr>
        <w:t>|||  ||</w:t>
      </w:r>
      <w:r w:rsidR="00D10887" w:rsidRPr="0055418C">
        <w:rPr>
          <w:color w:val="000000"/>
          <w:spacing w:val="3"/>
          <w:w w:val="62"/>
          <w:shd w:val="solid" w:color="000000" w:fill="000000"/>
          <w:fitText w:val="481" w:id="-623664120"/>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9"/>
          <w14:textFill>
            <w14:solidFill>
              <w14:srgbClr w14:val="000000">
                <w14:alpha w14:val="100000"/>
              </w14:srgbClr>
            </w14:solidFill>
          </w14:textFill>
        </w:rPr>
        <w:t>|||  ||</w:t>
      </w:r>
      <w:r w:rsidR="00D10887" w:rsidRPr="0055418C">
        <w:rPr>
          <w:color w:val="000000"/>
          <w:spacing w:val="5"/>
          <w:w w:val="60"/>
          <w:shd w:val="solid" w:color="000000" w:fill="000000"/>
          <w:fitText w:val="469" w:id="-623664119"/>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8"/>
          <w14:textFill>
            <w14:solidFill>
              <w14:srgbClr w14:val="000000">
                <w14:alpha w14:val="100000"/>
              </w14:srgbClr>
            </w14:solidFill>
          </w14:textFill>
        </w:rPr>
        <w:t>|||  ||</w:t>
      </w:r>
      <w:r w:rsidR="00D10887" w:rsidRPr="0055418C">
        <w:rPr>
          <w:color w:val="000000"/>
          <w:spacing w:val="5"/>
          <w:w w:val="60"/>
          <w:shd w:val="solid" w:color="000000" w:fill="000000"/>
          <w:fitText w:val="469" w:id="-623664118"/>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7"/>
          <w14:textFill>
            <w14:solidFill>
              <w14:srgbClr w14:val="000000">
                <w14:alpha w14:val="100000"/>
              </w14:srgbClr>
            </w14:solidFill>
          </w14:textFill>
        </w:rPr>
        <w:t>|||  ||</w:t>
      </w:r>
      <w:r w:rsidR="00D10887" w:rsidRPr="0055418C">
        <w:rPr>
          <w:color w:val="000000"/>
          <w:spacing w:val="4"/>
          <w:w w:val="60"/>
          <w:shd w:val="solid" w:color="000000" w:fill="000000"/>
          <w:fitText w:val="468" w:id="-623664117"/>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16"/>
          <w14:textFill>
            <w14:solidFill>
              <w14:srgbClr w14:val="000000">
                <w14:alpha w14:val="100000"/>
              </w14:srgbClr>
            </w14:solidFill>
          </w14:textFill>
        </w:rPr>
        <w:t>|||  ||</w:t>
      </w:r>
      <w:r w:rsidR="00D10887" w:rsidRPr="0055418C">
        <w:rPr>
          <w:color w:val="000000"/>
          <w:spacing w:val="5"/>
          <w:w w:val="60"/>
          <w:shd w:val="solid" w:color="000000" w:fill="000000"/>
          <w:fitText w:val="469" w:id="-623664116"/>
          <w14:textFill>
            <w14:solidFill>
              <w14:srgbClr w14:val="000000">
                <w14:alpha w14:val="100000"/>
              </w14:srgbClr>
            </w14:solidFill>
          </w14:textFill>
        </w:rPr>
        <w:t>|</w:t>
      </w:r>
      <w:r w:rsidR="00D10887" w:rsidRPr="00D10887">
        <w:t xml:space="preserve"> </w:t>
      </w:r>
      <w:r w:rsidR="00D10887" w:rsidRPr="00AF6F08">
        <w:rPr>
          <w:color w:val="000000"/>
          <w:w w:val="60"/>
          <w:shd w:val="solid" w:color="000000" w:fill="000000"/>
          <w:fitText w:val="468" w:id="-623664115"/>
          <w14:textFill>
            <w14:solidFill>
              <w14:srgbClr w14:val="000000">
                <w14:alpha w14:val="100000"/>
              </w14:srgbClr>
            </w14:solidFill>
          </w14:textFill>
        </w:rPr>
        <w:t>|||  |||</w:t>
      </w:r>
      <w:r w:rsidR="00D10887" w:rsidRPr="00D10887">
        <w:t xml:space="preserve"> </w:t>
      </w:r>
      <w:r w:rsidR="00D10887" w:rsidRPr="0055418C">
        <w:rPr>
          <w:color w:val="000000"/>
          <w:w w:val="62"/>
          <w:shd w:val="solid" w:color="000000" w:fill="000000"/>
          <w:fitText w:val="481" w:id="-623664114"/>
          <w14:textFill>
            <w14:solidFill>
              <w14:srgbClr w14:val="000000">
                <w14:alpha w14:val="100000"/>
              </w14:srgbClr>
            </w14:solidFill>
          </w14:textFill>
        </w:rPr>
        <w:t>|||  ||</w:t>
      </w:r>
      <w:r w:rsidR="00D10887" w:rsidRPr="0055418C">
        <w:rPr>
          <w:color w:val="000000"/>
          <w:spacing w:val="3"/>
          <w:w w:val="62"/>
          <w:shd w:val="solid" w:color="000000" w:fill="000000"/>
          <w:fitText w:val="481" w:id="-623664114"/>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3"/>
          <w14:textFill>
            <w14:solidFill>
              <w14:srgbClr w14:val="000000">
                <w14:alpha w14:val="100000"/>
              </w14:srgbClr>
            </w14:solidFill>
          </w14:textFill>
        </w:rPr>
        <w:t>|||  ||</w:t>
      </w:r>
      <w:r w:rsidR="00D10887" w:rsidRPr="0055418C">
        <w:rPr>
          <w:color w:val="000000"/>
          <w:spacing w:val="4"/>
          <w:w w:val="60"/>
          <w:shd w:val="solid" w:color="000000" w:fill="000000"/>
          <w:fitText w:val="468" w:id="-623664113"/>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12"/>
          <w14:textFill>
            <w14:solidFill>
              <w14:srgbClr w14:val="000000">
                <w14:alpha w14:val="100000"/>
              </w14:srgbClr>
            </w14:solidFill>
          </w14:textFill>
        </w:rPr>
        <w:t>|||  ||</w:t>
      </w:r>
      <w:r w:rsidR="00D10887" w:rsidRPr="0055418C">
        <w:rPr>
          <w:color w:val="000000"/>
          <w:spacing w:val="4"/>
          <w:w w:val="60"/>
          <w:shd w:val="solid" w:color="000000" w:fill="000000"/>
          <w:fitText w:val="468" w:id="-623664112"/>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8"/>
          <w14:textFill>
            <w14:solidFill>
              <w14:srgbClr w14:val="000000">
                <w14:alpha w14:val="100000"/>
              </w14:srgbClr>
            </w14:solidFill>
          </w14:textFill>
        </w:rPr>
        <w:t>|||  ||</w:t>
      </w:r>
      <w:r w:rsidR="00D10887" w:rsidRPr="0055418C">
        <w:rPr>
          <w:color w:val="000000"/>
          <w:spacing w:val="4"/>
          <w:w w:val="60"/>
          <w:shd w:val="solid" w:color="000000" w:fill="000000"/>
          <w:fitText w:val="468" w:id="-623664128"/>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7"/>
          <w14:textFill>
            <w14:solidFill>
              <w14:srgbClr w14:val="000000">
                <w14:alpha w14:val="100000"/>
              </w14:srgbClr>
            </w14:solidFill>
          </w14:textFill>
        </w:rPr>
        <w:t>|||  ||</w:t>
      </w:r>
      <w:r w:rsidR="00D10887" w:rsidRPr="0055418C">
        <w:rPr>
          <w:color w:val="000000"/>
          <w:spacing w:val="4"/>
          <w:w w:val="60"/>
          <w:shd w:val="solid" w:color="000000" w:fill="000000"/>
          <w:fitText w:val="468" w:id="-623664127"/>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6"/>
          <w14:textFill>
            <w14:solidFill>
              <w14:srgbClr w14:val="000000">
                <w14:alpha w14:val="100000"/>
              </w14:srgbClr>
            </w14:solidFill>
          </w14:textFill>
        </w:rPr>
        <w:t>|||  ||</w:t>
      </w:r>
      <w:r w:rsidR="00D10887" w:rsidRPr="0055418C">
        <w:rPr>
          <w:color w:val="000000"/>
          <w:spacing w:val="4"/>
          <w:w w:val="60"/>
          <w:shd w:val="solid" w:color="000000" w:fill="000000"/>
          <w:fitText w:val="468" w:id="-623664126"/>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5"/>
          <w14:textFill>
            <w14:solidFill>
              <w14:srgbClr w14:val="000000">
                <w14:alpha w14:val="100000"/>
              </w14:srgbClr>
            </w14:solidFill>
          </w14:textFill>
        </w:rPr>
        <w:t>|||  ||</w:t>
      </w:r>
      <w:r w:rsidR="00D10887" w:rsidRPr="0055418C">
        <w:rPr>
          <w:color w:val="000000"/>
          <w:spacing w:val="4"/>
          <w:w w:val="60"/>
          <w:shd w:val="solid" w:color="000000" w:fill="000000"/>
          <w:fitText w:val="468" w:id="-623664125"/>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24"/>
          <w14:textFill>
            <w14:solidFill>
              <w14:srgbClr w14:val="000000">
                <w14:alpha w14:val="100000"/>
              </w14:srgbClr>
            </w14:solidFill>
          </w14:textFill>
        </w:rPr>
        <w:t>|||  ||</w:t>
      </w:r>
      <w:r w:rsidR="00D10887" w:rsidRPr="0055418C">
        <w:rPr>
          <w:color w:val="000000"/>
          <w:spacing w:val="3"/>
          <w:w w:val="62"/>
          <w:shd w:val="solid" w:color="000000" w:fill="000000"/>
          <w:fitText w:val="481" w:id="-623664124"/>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3"/>
          <w14:textFill>
            <w14:solidFill>
              <w14:srgbClr w14:val="000000">
                <w14:alpha w14:val="100000"/>
              </w14:srgbClr>
            </w14:solidFill>
          </w14:textFill>
        </w:rPr>
        <w:t>|||  ||</w:t>
      </w:r>
      <w:r w:rsidR="00D10887" w:rsidRPr="0055418C">
        <w:rPr>
          <w:color w:val="000000"/>
          <w:spacing w:val="4"/>
          <w:w w:val="60"/>
          <w:shd w:val="solid" w:color="000000" w:fill="000000"/>
          <w:fitText w:val="468" w:id="-623664123"/>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8" w:id="-623664122"/>
          <w14:textFill>
            <w14:solidFill>
              <w14:srgbClr w14:val="000000">
                <w14:alpha w14:val="100000"/>
              </w14:srgbClr>
            </w14:solidFill>
          </w14:textFill>
        </w:rPr>
        <w:t>|||  ||</w:t>
      </w:r>
      <w:r w:rsidR="00D10887" w:rsidRPr="0055418C">
        <w:rPr>
          <w:color w:val="000000"/>
          <w:spacing w:val="4"/>
          <w:w w:val="60"/>
          <w:shd w:val="solid" w:color="000000" w:fill="000000"/>
          <w:fitText w:val="468" w:id="-623664122"/>
          <w14:textFill>
            <w14:solidFill>
              <w14:srgbClr w14:val="000000">
                <w14:alpha w14:val="100000"/>
              </w14:srgbClr>
            </w14:solidFill>
          </w14:textFill>
        </w:rPr>
        <w:t>|</w:t>
      </w:r>
      <w:r w:rsidR="00D10887" w:rsidRPr="00D10887">
        <w:t xml:space="preserve"> </w:t>
      </w:r>
      <w:r w:rsidR="00D10887" w:rsidRPr="0055418C">
        <w:rPr>
          <w:color w:val="000000"/>
          <w:w w:val="62"/>
          <w:shd w:val="solid" w:color="000000" w:fill="000000"/>
          <w:fitText w:val="481" w:id="-623664121"/>
          <w14:textFill>
            <w14:solidFill>
              <w14:srgbClr w14:val="000000">
                <w14:alpha w14:val="100000"/>
              </w14:srgbClr>
            </w14:solidFill>
          </w14:textFill>
        </w:rPr>
        <w:t>|||  ||</w:t>
      </w:r>
      <w:r w:rsidR="00D10887" w:rsidRPr="0055418C">
        <w:rPr>
          <w:color w:val="000000"/>
          <w:spacing w:val="3"/>
          <w:w w:val="62"/>
          <w:shd w:val="solid" w:color="000000" w:fill="000000"/>
          <w:fitText w:val="481" w:id="-623664121"/>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4120"/>
          <w14:textFill>
            <w14:solidFill>
              <w14:srgbClr w14:val="000000">
                <w14:alpha w14:val="100000"/>
              </w14:srgbClr>
            </w14:solidFill>
          </w14:textFill>
        </w:rPr>
        <w:t>|||  ||</w:t>
      </w:r>
      <w:r w:rsidR="00D10887" w:rsidRPr="0055418C">
        <w:rPr>
          <w:color w:val="000000"/>
          <w:spacing w:val="5"/>
          <w:w w:val="60"/>
          <w:shd w:val="solid" w:color="000000" w:fill="000000"/>
          <w:fitText w:val="469" w:id="-623664120"/>
          <w14:textFill>
            <w14:solidFill>
              <w14:srgbClr w14:val="000000">
                <w14:alpha w14:val="100000"/>
              </w14:srgbClr>
            </w14:solidFill>
          </w14:textFill>
        </w:rPr>
        <w:t>|</w:t>
      </w:r>
      <w:r w:rsidRPr="005E379B">
        <w:t>.</w:t>
      </w:r>
    </w:p>
    <w:p w14:paraId="6D615A93" w14:textId="0EF84033" w:rsidR="00CF3ABC" w:rsidRPr="00630A71" w:rsidRDefault="0008002E" w:rsidP="00DD02B1">
      <w:pPr>
        <w:pStyle w:val="3-BodyText"/>
        <w:numPr>
          <w:ilvl w:val="1"/>
          <w:numId w:val="23"/>
        </w:numPr>
        <w:spacing w:before="60" w:after="60"/>
        <w:ind w:left="709" w:hanging="709"/>
      </w:pPr>
      <w:r w:rsidRPr="00630A71">
        <w:t>The requested restriction specifies that the patient must be treated by a neurologist, geriatrician, or psychiatrist. This is reasonable given the nature of the diagnostic testing, monitoring requirements, administration of donanemab and it being a novel therapy. Donanemab should be administered in specialised centres under the supervision of a multidisciplinary team trained in detection, monitoring and management of ARIA, and experienced in detecting and managing infusion related reactions.</w:t>
      </w:r>
    </w:p>
    <w:p w14:paraId="2CB2F08D" w14:textId="77777777" w:rsidR="009E51BB" w:rsidRPr="009E51BB" w:rsidRDefault="009E51BB" w:rsidP="009E51BB">
      <w:pPr>
        <w:pStyle w:val="3-BodyText"/>
        <w:numPr>
          <w:ilvl w:val="0"/>
          <w:numId w:val="0"/>
        </w:numPr>
        <w:spacing w:before="60" w:after="60"/>
        <w:ind w:left="709"/>
        <w:rPr>
          <w:i/>
          <w:iCs/>
        </w:rPr>
      </w:pPr>
      <w:r w:rsidRPr="009E51BB">
        <w:rPr>
          <w:rFonts w:cstheme="minorHAnsi"/>
          <w:i/>
          <w:iCs/>
        </w:rPr>
        <w:t>For more detail on PBAC’s view, see section 7 PBAC outcome.</w:t>
      </w:r>
    </w:p>
    <w:p w14:paraId="65E196AA" w14:textId="77777777" w:rsidR="0008002E" w:rsidRPr="00EE0EEB" w:rsidRDefault="0008002E" w:rsidP="00DD02B1">
      <w:pPr>
        <w:pStyle w:val="PBACESHeading1"/>
        <w:numPr>
          <w:ilvl w:val="0"/>
          <w:numId w:val="23"/>
        </w:numPr>
        <w:ind w:left="709" w:hanging="709"/>
        <w:rPr>
          <w:bCs/>
        </w:rPr>
      </w:pPr>
      <w:r w:rsidRPr="00E52458">
        <w:t>Population</w:t>
      </w:r>
      <w:r w:rsidRPr="00EE0EEB">
        <w:rPr>
          <w:bCs/>
        </w:rPr>
        <w:t xml:space="preserve"> and disease</w:t>
      </w:r>
    </w:p>
    <w:p w14:paraId="1A5DE767" w14:textId="77777777" w:rsidR="0008002E" w:rsidRPr="00630A71" w:rsidRDefault="0008002E" w:rsidP="00DD02B1">
      <w:pPr>
        <w:pStyle w:val="3-BodyText"/>
        <w:numPr>
          <w:ilvl w:val="1"/>
          <w:numId w:val="23"/>
        </w:numPr>
        <w:spacing w:before="60" w:after="60"/>
        <w:ind w:left="709" w:hanging="709"/>
      </w:pPr>
      <w:r w:rsidRPr="00EE0EEB">
        <w:t xml:space="preserve">The target population in this codependent submission is patients with a clinical </w:t>
      </w:r>
      <w:r w:rsidRPr="00630A71">
        <w:t xml:space="preserve">diagnosis of MCI due to AD or mild AD dementia that are subsequently confirmed as being </w:t>
      </w:r>
      <w:r w:rsidRPr="00480662">
        <w:rPr>
          <w:i/>
          <w:iCs/>
        </w:rPr>
        <w:t>APOE4</w:t>
      </w:r>
      <w:r w:rsidRPr="00630A71">
        <w:t xml:space="preserve"> heterozygous or non-carriers, Aß-positive, and with no evidence of superficial siderosis or the presence of more than 2 microhaemorrhages. The requested target population in this submission aligns with the proposed TGA indication. In the key TB-2 trial, 80% (1,395 patients) of the overall population (N=1,736) met the </w:t>
      </w:r>
      <w:r>
        <w:t xml:space="preserve">targeted population </w:t>
      </w:r>
      <w:r w:rsidRPr="00630A71">
        <w:t>criteria.</w:t>
      </w:r>
    </w:p>
    <w:p w14:paraId="1F83269F" w14:textId="06A68336" w:rsidR="0008002E" w:rsidRPr="00630A71" w:rsidRDefault="0008002E" w:rsidP="00DD02B1">
      <w:pPr>
        <w:pStyle w:val="3-BodyText"/>
        <w:numPr>
          <w:ilvl w:val="1"/>
          <w:numId w:val="23"/>
        </w:numPr>
        <w:spacing w:before="60" w:after="60"/>
        <w:ind w:left="709" w:hanging="709"/>
      </w:pPr>
      <w:r w:rsidRPr="00630A71">
        <w:t>The definitions of MCI due to AD or mild AD dementia are largely based on the National Institute on Aging and Alzheimer</w:t>
      </w:r>
      <w:r w:rsidR="00F4444C">
        <w:t>’s</w:t>
      </w:r>
      <w:r w:rsidRPr="00630A71">
        <w:t xml:space="preserve"> Association (NIA-AA) and International Working Group (IWG) guidelines, which recommend core criteria for AD, clinical assessments, and structural imaging of the brain. There have been recent updates of the previous 2018 research framework for these guidelines in response to several recent developments</w:t>
      </w:r>
      <w:r w:rsidRPr="00630A71">
        <w:rPr>
          <w:rStyle w:val="FootnoteReference"/>
        </w:rPr>
        <w:footnoteReference w:id="10"/>
      </w:r>
      <w:r w:rsidRPr="00630A71">
        <w:t>.</w:t>
      </w:r>
    </w:p>
    <w:p w14:paraId="056D7131" w14:textId="77777777" w:rsidR="0008002E" w:rsidRPr="00630A71" w:rsidRDefault="0008002E" w:rsidP="00DD02B1">
      <w:pPr>
        <w:pStyle w:val="3-BodyText"/>
        <w:numPr>
          <w:ilvl w:val="1"/>
          <w:numId w:val="23"/>
        </w:numPr>
        <w:spacing w:before="60" w:after="60"/>
        <w:ind w:left="709" w:hanging="709"/>
      </w:pPr>
      <w:r w:rsidRPr="00630A71">
        <w:t>AD is a progressive neurodegenerative brain disease affecting cognition (memory, language, executive function e.g., problem-solving), and visuospatial function. Changes in behaviour (mood and personality), along with decreased or poor judgment and sleep disturbances, also occur.</w:t>
      </w:r>
    </w:p>
    <w:p w14:paraId="529C0698" w14:textId="320EBDCC" w:rsidR="0008002E" w:rsidRPr="00630A71" w:rsidRDefault="0008002E" w:rsidP="00DD02B1">
      <w:pPr>
        <w:pStyle w:val="3-BodyText"/>
        <w:numPr>
          <w:ilvl w:val="1"/>
          <w:numId w:val="23"/>
        </w:numPr>
        <w:spacing w:before="60" w:after="60"/>
        <w:ind w:left="709" w:hanging="709"/>
      </w:pPr>
      <w:r w:rsidRPr="00630A71">
        <w:t>AD has been associated with several risk factors including non-modifiable risk factors such as age and genetics.  However, in most cases, AD is influenced by multiple genes in combination with lifestyle and environmental factors</w:t>
      </w:r>
      <w:r w:rsidRPr="00630A71">
        <w:rPr>
          <w:rStyle w:val="FootnoteReference"/>
        </w:rPr>
        <w:footnoteReference w:id="11"/>
      </w:r>
      <w:r w:rsidRPr="00630A71">
        <w:t xml:space="preserve">. The </w:t>
      </w:r>
      <w:r w:rsidRPr="00480662">
        <w:rPr>
          <w:i/>
          <w:iCs/>
        </w:rPr>
        <w:t xml:space="preserve">APOE4 </w:t>
      </w:r>
      <w:r w:rsidRPr="00630A71">
        <w:t xml:space="preserve">allele is the most significant genetic risk factor for late-onset AD and is associated with an increased risk </w:t>
      </w:r>
      <w:r w:rsidRPr="00630A71">
        <w:lastRenderedPageBreak/>
        <w:t xml:space="preserve">of developing the disease. Up to 25% of the population and approximately 60-75% of AD patients in clinical studies are </w:t>
      </w:r>
      <w:r w:rsidRPr="00480662">
        <w:rPr>
          <w:i/>
          <w:iCs/>
        </w:rPr>
        <w:t>APOE4</w:t>
      </w:r>
      <w:r w:rsidRPr="00630A71">
        <w:t xml:space="preserve"> carriers</w:t>
      </w:r>
      <w:r w:rsidRPr="00630A71">
        <w:rPr>
          <w:rStyle w:val="FootnoteReference"/>
        </w:rPr>
        <w:footnoteReference w:id="12"/>
      </w:r>
      <w:r w:rsidRPr="00630A71">
        <w:t xml:space="preserve">. Heterozygous carriers of </w:t>
      </w:r>
      <w:r w:rsidRPr="00480662">
        <w:rPr>
          <w:i/>
          <w:iCs/>
        </w:rPr>
        <w:t xml:space="preserve">APOE4 </w:t>
      </w:r>
      <w:r w:rsidRPr="00630A71">
        <w:t xml:space="preserve">have a 3–4-fold increased risk of developing late-onset AD, while homozygous carriers have a 9–15-fold higher risk, compared with having the </w:t>
      </w:r>
      <w:r w:rsidRPr="00480662">
        <w:rPr>
          <w:i/>
          <w:iCs/>
        </w:rPr>
        <w:t>APOE ԑ3</w:t>
      </w:r>
      <w:r w:rsidRPr="00630A71">
        <w:t xml:space="preserve"> (</w:t>
      </w:r>
      <w:r w:rsidRPr="00480662">
        <w:rPr>
          <w:i/>
          <w:iCs/>
        </w:rPr>
        <w:t>APOE3</w:t>
      </w:r>
      <w:r w:rsidRPr="00630A71">
        <w:t>) allele</w:t>
      </w:r>
      <w:r w:rsidRPr="00630A71">
        <w:rPr>
          <w:rStyle w:val="FootnoteReference"/>
        </w:rPr>
        <w:footnoteReference w:id="13"/>
      </w:r>
      <w:r w:rsidRPr="00630A71">
        <w:t>.</w:t>
      </w:r>
    </w:p>
    <w:p w14:paraId="46B5CBFC" w14:textId="45279EBC" w:rsidR="0008002E" w:rsidRPr="00630A71" w:rsidRDefault="0008002E" w:rsidP="00DD02B1">
      <w:pPr>
        <w:pStyle w:val="3-BodyText"/>
        <w:numPr>
          <w:ilvl w:val="1"/>
          <w:numId w:val="23"/>
        </w:numPr>
        <w:spacing w:before="60" w:after="60"/>
        <w:ind w:left="709" w:hanging="709"/>
      </w:pPr>
      <w:r w:rsidRPr="00630A71">
        <w:t xml:space="preserve">AD is identified by the accumulation of Aβ in senile plaques within the brain parenchyma, alongside the buildup of phosphorylated tau in neurofibrillary tangles found in cerebral neurons. Development of Aβ plaques and neurofibrillary tangles, made up of hyperphosphorylated </w:t>
      </w:r>
      <w:r w:rsidR="000B7C6B">
        <w:t>t</w:t>
      </w:r>
      <w:r w:rsidRPr="00630A71">
        <w:t>au, within the grey matter occurs in a preclinical phase of AD</w:t>
      </w:r>
      <w:r w:rsidRPr="00630A71">
        <w:rPr>
          <w:rStyle w:val="FootnoteReference"/>
        </w:rPr>
        <w:footnoteReference w:id="14"/>
      </w:r>
      <w:r w:rsidRPr="00630A71">
        <w:rPr>
          <w:vertAlign w:val="superscript"/>
        </w:rPr>
        <w:t>,</w:t>
      </w:r>
      <w:r w:rsidRPr="00630A71">
        <w:rPr>
          <w:rStyle w:val="FootnoteReference"/>
        </w:rPr>
        <w:footnoteReference w:id="15"/>
      </w:r>
      <w:r w:rsidRPr="00630A71">
        <w:t>. In turn, this triggers an inflammatory response that activates microglia and astrocytes to release cytokines and other inflammatory agents</w:t>
      </w:r>
      <w:r w:rsidRPr="00630A71">
        <w:rPr>
          <w:rStyle w:val="FootnoteReference"/>
        </w:rPr>
        <w:footnoteReference w:id="16"/>
      </w:r>
      <w:r w:rsidRPr="00630A71">
        <w:t>.</w:t>
      </w:r>
    </w:p>
    <w:p w14:paraId="475F696C" w14:textId="5D4E932B" w:rsidR="0008002E" w:rsidRPr="00630A71" w:rsidRDefault="0008002E" w:rsidP="00DD02B1">
      <w:pPr>
        <w:pStyle w:val="3-BodyText"/>
        <w:numPr>
          <w:ilvl w:val="1"/>
          <w:numId w:val="23"/>
        </w:numPr>
        <w:spacing w:before="60" w:after="60"/>
        <w:ind w:left="709" w:hanging="709"/>
      </w:pPr>
      <w:r w:rsidRPr="00630A71">
        <w:t xml:space="preserve">Whilst there is a link between the presence of Aβ plaques and the development of AD, </w:t>
      </w:r>
      <w:r w:rsidRPr="00116F28">
        <w:t>the ESCs noted that</w:t>
      </w:r>
      <w:r>
        <w:t xml:space="preserve"> </w:t>
      </w:r>
      <w:r w:rsidRPr="00630A71">
        <w:t xml:space="preserve">it is not absolute. Not all individuals with Aβ plaques will develop AD. Additionally, Aβ plaques are present for many years prior to symptom development, suggesting that long-term damage to the brain may have already occurred by the time AD is diagnosed. The </w:t>
      </w:r>
      <w:r w:rsidR="008E5651">
        <w:t>long term trajectory</w:t>
      </w:r>
      <w:r w:rsidRPr="00630A71">
        <w:t xml:space="preserve"> of disease after removal of Aβ plaques from the brain has yet to be established.</w:t>
      </w:r>
    </w:p>
    <w:p w14:paraId="325C3D23" w14:textId="563FCF72" w:rsidR="0008002E" w:rsidRPr="00630A71" w:rsidRDefault="0008002E" w:rsidP="00DD02B1">
      <w:pPr>
        <w:pStyle w:val="3-BodyText"/>
        <w:numPr>
          <w:ilvl w:val="1"/>
          <w:numId w:val="23"/>
        </w:numPr>
        <w:spacing w:before="60" w:after="60"/>
        <w:ind w:left="709" w:hanging="709"/>
      </w:pPr>
      <w:r w:rsidRPr="00630A71">
        <w:t>AD is the second leading cause of death in Australia, most commonly due to secondary infections such as aspiration pneumonia. The AD continuum ranges from preclinical brain changes to changes that negatively impact memory and eventually physical functioning. On this continuum, there are five broad phases: Preclinical AD, MCI due to AD, Mild Dementia due to AD, Moderate Dementia due to AD, and Severe Dementia due to AD</w:t>
      </w:r>
      <w:r w:rsidRPr="00630A71">
        <w:rPr>
          <w:rStyle w:val="FootnoteReference"/>
        </w:rPr>
        <w:footnoteReference w:id="17"/>
      </w:r>
      <w:r w:rsidRPr="00630A71">
        <w:t xml:space="preserve">. Moderate and then Severe AD dementia ultimately result in the complete inability to communicate, inability to live unassisted, and deterioration in physical abilities. </w:t>
      </w:r>
      <w:r w:rsidR="000B11AF">
        <w:fldChar w:fldCharType="begin"/>
      </w:r>
      <w:r w:rsidR="000B11AF">
        <w:instrText xml:space="preserve"> REF _Ref204780409 \h </w:instrText>
      </w:r>
      <w:r w:rsidR="000B11AF">
        <w:fldChar w:fldCharType="separate"/>
      </w:r>
      <w:r w:rsidR="00392423">
        <w:t xml:space="preserve">Figure </w:t>
      </w:r>
      <w:r w:rsidR="00392423">
        <w:rPr>
          <w:noProof/>
        </w:rPr>
        <w:t>1</w:t>
      </w:r>
      <w:r w:rsidR="000B11AF">
        <w:fldChar w:fldCharType="end"/>
      </w:r>
      <w:r w:rsidRPr="00630A71">
        <w:t xml:space="preserve"> depicts the broad clinical stages of AD.</w:t>
      </w:r>
    </w:p>
    <w:p w14:paraId="17A22695" w14:textId="5CF6D1CE" w:rsidR="0008002E" w:rsidRPr="00EE0EEB" w:rsidRDefault="000B11AF" w:rsidP="000B11AF">
      <w:pPr>
        <w:pStyle w:val="Caption"/>
      </w:pPr>
      <w:bookmarkStart w:id="8" w:name="_Ref204780409"/>
      <w:r>
        <w:lastRenderedPageBreak/>
        <w:t xml:space="preserve">Figure </w:t>
      </w:r>
      <w:r>
        <w:fldChar w:fldCharType="begin"/>
      </w:r>
      <w:r>
        <w:instrText xml:space="preserve"> SEQ Figure \* ARABIC </w:instrText>
      </w:r>
      <w:r>
        <w:fldChar w:fldCharType="separate"/>
      </w:r>
      <w:r w:rsidR="00392423">
        <w:rPr>
          <w:noProof/>
        </w:rPr>
        <w:t>1</w:t>
      </w:r>
      <w:r>
        <w:fldChar w:fldCharType="end"/>
      </w:r>
      <w:bookmarkEnd w:id="8"/>
      <w:r w:rsidR="00564839">
        <w:t xml:space="preserve">: </w:t>
      </w:r>
      <w:r w:rsidR="0008002E" w:rsidRPr="00EE0EEB">
        <w:t>Broad clinical stages of the AD continuum</w:t>
      </w:r>
    </w:p>
    <w:p w14:paraId="4A8CF2BA" w14:textId="6591F9E3" w:rsidR="0008002E" w:rsidRPr="00EE0EEB" w:rsidRDefault="0008002E" w:rsidP="0008002E">
      <w:pPr>
        <w:pStyle w:val="TableFooter"/>
      </w:pPr>
      <w:r w:rsidRPr="00EE0EEB">
        <w:rPr>
          <w:noProof/>
        </w:rPr>
        <w:drawing>
          <wp:inline distT="0" distB="0" distL="0" distR="0" wp14:anchorId="090CCA7A" wp14:editId="618627F3">
            <wp:extent cx="5731510" cy="1967865"/>
            <wp:effectExtent l="0" t="0" r="2540" b="0"/>
            <wp:docPr id="1908288052" name="Picture 1908288052" descr="Figure 1: Broad clinical stages of the AD continu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88052" name="Picture 1908288052" descr="Figure 1: Broad clinical stages of the AD continuum"/>
                    <pic:cNvPicPr/>
                  </pic:nvPicPr>
                  <pic:blipFill>
                    <a:blip r:embed="rId11"/>
                    <a:stretch>
                      <a:fillRect/>
                    </a:stretch>
                  </pic:blipFill>
                  <pic:spPr>
                    <a:xfrm>
                      <a:off x="0" y="0"/>
                      <a:ext cx="5731510" cy="1967865"/>
                    </a:xfrm>
                    <a:prstGeom prst="rect">
                      <a:avLst/>
                    </a:prstGeom>
                  </pic:spPr>
                </pic:pic>
              </a:graphicData>
            </a:graphic>
          </wp:inline>
        </w:drawing>
      </w:r>
      <w:r w:rsidRPr="00EE0EEB">
        <w:t>Source: Figure 1, p1602, Better, MA (2023)</w:t>
      </w:r>
    </w:p>
    <w:p w14:paraId="1C48AA61" w14:textId="04966FF4" w:rsidR="0008002E" w:rsidRPr="00C175F0" w:rsidRDefault="002721CB" w:rsidP="00DD02B1">
      <w:pPr>
        <w:pStyle w:val="3-BodyText"/>
        <w:numPr>
          <w:ilvl w:val="1"/>
          <w:numId w:val="23"/>
        </w:numPr>
        <w:spacing w:before="60" w:after="60"/>
        <w:ind w:left="709" w:hanging="709"/>
        <w:rPr>
          <w:iCs/>
        </w:rPr>
      </w:pPr>
      <w:bookmarkStart w:id="9" w:name="_Ref204778627"/>
      <w:r>
        <w:rPr>
          <w:iCs/>
        </w:rPr>
        <w:t>T</w:t>
      </w:r>
      <w:r w:rsidR="0008002E" w:rsidRPr="00630A71">
        <w:rPr>
          <w:iCs/>
        </w:rPr>
        <w:t xml:space="preserve">he symptoms of MCI can be subtle and therefore </w:t>
      </w:r>
      <w:r w:rsidR="00C11897">
        <w:rPr>
          <w:iCs/>
        </w:rPr>
        <w:t xml:space="preserve">MCI </w:t>
      </w:r>
      <w:r w:rsidR="0008002E" w:rsidRPr="00630A71">
        <w:rPr>
          <w:iCs/>
        </w:rPr>
        <w:t xml:space="preserve">can be difficult to diagnose. </w:t>
      </w:r>
      <w:r w:rsidR="0008002E" w:rsidRPr="00C175F0">
        <w:rPr>
          <w:iCs/>
        </w:rPr>
        <w:t>The ESCs noted that</w:t>
      </w:r>
      <w:r w:rsidR="0008002E">
        <w:rPr>
          <w:iCs/>
        </w:rPr>
        <w:t xml:space="preserve"> m</w:t>
      </w:r>
      <w:r w:rsidR="0008002E" w:rsidRPr="00630A71">
        <w:rPr>
          <w:iCs/>
        </w:rPr>
        <w:t>any people with MCI will improve, and most will not progress to dementia. Managing co-morbidities and exercising are likely to be the best treatment options</w:t>
      </w:r>
      <w:r w:rsidR="0008002E" w:rsidRPr="00630A71">
        <w:rPr>
          <w:rStyle w:val="FootnoteReference"/>
          <w:iCs/>
        </w:rPr>
        <w:footnoteReference w:id="18"/>
      </w:r>
      <w:r w:rsidR="0008002E" w:rsidRPr="00630A71">
        <w:rPr>
          <w:iCs/>
        </w:rPr>
        <w:t>. With limited evidence for effective interventions and uncertainty as to the prognostic value of the condition, the benefit of diagnosing MCI remains unclear (Wang et al 2021</w:t>
      </w:r>
      <w:r w:rsidR="0008002E" w:rsidRPr="00630A71">
        <w:rPr>
          <w:iCs/>
          <w:vertAlign w:val="superscript"/>
        </w:rPr>
        <w:footnoteReference w:id="19"/>
      </w:r>
      <w:r w:rsidR="0008002E" w:rsidRPr="00630A71">
        <w:rPr>
          <w:iCs/>
        </w:rPr>
        <w:t xml:space="preserve">). As there are numerous causes of MCI, and many patients presenting with MCI in clinical practice do not progress to AD dementia, </w:t>
      </w:r>
      <w:r w:rsidR="0008002E" w:rsidRPr="000365C8">
        <w:rPr>
          <w:iCs/>
        </w:rPr>
        <w:t>the ESCs noted that</w:t>
      </w:r>
      <w:r w:rsidR="0008002E">
        <w:rPr>
          <w:iCs/>
        </w:rPr>
        <w:t xml:space="preserve"> </w:t>
      </w:r>
      <w:r w:rsidR="0008002E" w:rsidRPr="00630A71">
        <w:rPr>
          <w:iCs/>
        </w:rPr>
        <w:t xml:space="preserve">an incorrect diagnosis of these patients </w:t>
      </w:r>
      <w:r w:rsidR="0008002E" w:rsidRPr="00C175F0">
        <w:rPr>
          <w:iCs/>
        </w:rPr>
        <w:t>could lead to unnecessary testing and imaging and inappropriate use of donanemab.</w:t>
      </w:r>
      <w:bookmarkEnd w:id="9"/>
      <w:r w:rsidR="0008002E" w:rsidRPr="00C175F0">
        <w:rPr>
          <w:iCs/>
        </w:rPr>
        <w:t xml:space="preserve"> </w:t>
      </w:r>
    </w:p>
    <w:p w14:paraId="2ABD18CA" w14:textId="77777777" w:rsidR="0008002E" w:rsidRPr="00630A71" w:rsidRDefault="0008002E" w:rsidP="00DD02B1">
      <w:pPr>
        <w:pStyle w:val="3-BodyText"/>
        <w:numPr>
          <w:ilvl w:val="1"/>
          <w:numId w:val="23"/>
        </w:numPr>
        <w:spacing w:before="60" w:after="60"/>
        <w:ind w:left="709" w:hanging="709"/>
        <w:rPr>
          <w:iCs/>
        </w:rPr>
      </w:pPr>
      <w:r w:rsidRPr="00630A71">
        <w:rPr>
          <w:iCs/>
        </w:rPr>
        <w:t>The severity of cognitive impairment or dementia can be staged using several clinical cognitive or neuropsychological assessments, including (non-exhaustive) Mini Mental State Examination or Standardised MMSE (SMMSE), clinical dementia rating (global) (CDR-G), the Montreal Cognitive Assessment (MoCA), General Practitioner Assessment of Cognition (GPCOG), and the Clock Drawing tool (CDT).</w:t>
      </w:r>
    </w:p>
    <w:p w14:paraId="336CD726" w14:textId="08B9E99A" w:rsidR="0008002E" w:rsidRPr="00630A71" w:rsidRDefault="0008002E" w:rsidP="00DD02B1">
      <w:pPr>
        <w:pStyle w:val="3-BodyText"/>
        <w:numPr>
          <w:ilvl w:val="1"/>
          <w:numId w:val="23"/>
        </w:numPr>
        <w:spacing w:before="60" w:after="60"/>
        <w:ind w:left="709" w:hanging="709"/>
        <w:rPr>
          <w:iCs/>
        </w:rPr>
      </w:pPr>
      <w:r w:rsidRPr="00630A71">
        <w:rPr>
          <w:iCs/>
        </w:rPr>
        <w:t>The submission reported that in Australia, the number of people with AD, including both MCI and Alzheimer</w:t>
      </w:r>
      <w:r w:rsidR="002E7D04">
        <w:rPr>
          <w:iCs/>
        </w:rPr>
        <w:t>’s</w:t>
      </w:r>
      <w:r w:rsidRPr="00630A71">
        <w:rPr>
          <w:iCs/>
        </w:rPr>
        <w:t xml:space="preserve"> dementia, is expected to double from approximately 600,000 in 2024 to 1,200,000 by 2050 as a result of an ageing and a growing population</w:t>
      </w:r>
      <w:r w:rsidRPr="00630A71">
        <w:rPr>
          <w:rStyle w:val="FootnoteReference"/>
          <w:iCs/>
        </w:rPr>
        <w:footnoteReference w:id="20"/>
      </w:r>
      <w:r w:rsidRPr="00630A71">
        <w:rPr>
          <w:iCs/>
        </w:rPr>
        <w:t>.</w:t>
      </w:r>
    </w:p>
    <w:p w14:paraId="71869781" w14:textId="156D7D58" w:rsidR="0008002E" w:rsidRPr="00630A71" w:rsidRDefault="0008002E" w:rsidP="00DD02B1">
      <w:pPr>
        <w:pStyle w:val="3-BodyText"/>
        <w:numPr>
          <w:ilvl w:val="1"/>
          <w:numId w:val="23"/>
        </w:numPr>
        <w:spacing w:before="60" w:after="60"/>
        <w:ind w:left="709" w:hanging="709"/>
        <w:rPr>
          <w:iCs/>
        </w:rPr>
      </w:pPr>
      <w:r w:rsidRPr="00630A71">
        <w:rPr>
          <w:iCs/>
        </w:rPr>
        <w:t>The submission proposed the use of two alternative diagnostic modalities to test for the presence of Aß pathology and determine eligibility for PBS-subsidised donanemab treatment, Aß PET or CSF AD protein biomarker testing</w:t>
      </w:r>
      <w:r w:rsidR="00CB6A58">
        <w:rPr>
          <w:iCs/>
        </w:rPr>
        <w:t xml:space="preserve"> (</w:t>
      </w:r>
      <w:r w:rsidR="005E38C9">
        <w:rPr>
          <w:iCs/>
        </w:rPr>
        <w:t xml:space="preserve">with CSF sampling </w:t>
      </w:r>
      <w:r w:rsidR="0051470B">
        <w:rPr>
          <w:iCs/>
        </w:rPr>
        <w:t>requiring</w:t>
      </w:r>
      <w:r w:rsidR="00CB6A58">
        <w:rPr>
          <w:iCs/>
        </w:rPr>
        <w:t xml:space="preserve"> lumbar puncture)</w:t>
      </w:r>
      <w:r w:rsidRPr="00630A71">
        <w:rPr>
          <w:iCs/>
        </w:rPr>
        <w:t>.</w:t>
      </w:r>
    </w:p>
    <w:p w14:paraId="536F33BC" w14:textId="3446674F" w:rsidR="0008002E" w:rsidRPr="00C175F0" w:rsidRDefault="0008002E" w:rsidP="00DD02B1">
      <w:pPr>
        <w:pStyle w:val="3-BodyText"/>
        <w:numPr>
          <w:ilvl w:val="1"/>
          <w:numId w:val="23"/>
        </w:numPr>
        <w:spacing w:before="60" w:after="60"/>
        <w:ind w:left="709" w:hanging="709"/>
        <w:rPr>
          <w:iCs/>
        </w:rPr>
      </w:pPr>
      <w:r w:rsidRPr="00630A71">
        <w:rPr>
          <w:iCs/>
        </w:rPr>
        <w:t xml:space="preserve">PET imaging biomarker such as Aβ-PET can be used to </w:t>
      </w:r>
      <w:r w:rsidRPr="00630A71">
        <w:rPr>
          <w:rFonts w:cs="Calibri"/>
          <w:iCs/>
        </w:rPr>
        <w:t>confirm the accumulation of Aβ plaque in the brain. Similarly, d</w:t>
      </w:r>
      <w:r w:rsidRPr="00630A71">
        <w:rPr>
          <w:rFonts w:cstheme="minorHAnsi"/>
          <w:iCs/>
        </w:rPr>
        <w:t xml:space="preserve">ifferent core </w:t>
      </w:r>
      <w:r w:rsidRPr="00630A71">
        <w:rPr>
          <w:iCs/>
        </w:rPr>
        <w:t>CSF AD biomarkers such as CSF Aβ42, t-</w:t>
      </w:r>
      <w:r w:rsidRPr="00630A71">
        <w:rPr>
          <w:iCs/>
        </w:rPr>
        <w:lastRenderedPageBreak/>
        <w:t>tau and p-tau can also allow detection of preclinical AD before the onset of clinical symptoms</w:t>
      </w:r>
      <w:r>
        <w:rPr>
          <w:iCs/>
        </w:rPr>
        <w:t xml:space="preserve">; </w:t>
      </w:r>
      <w:r w:rsidRPr="00C175F0">
        <w:rPr>
          <w:iCs/>
        </w:rPr>
        <w:t>however, tau testing is not available in Australia.</w:t>
      </w:r>
    </w:p>
    <w:p w14:paraId="2649ED47" w14:textId="106B9E8C" w:rsidR="009E51BB" w:rsidRDefault="0008002E" w:rsidP="00DD02B1">
      <w:pPr>
        <w:pStyle w:val="3-BodyText"/>
        <w:numPr>
          <w:ilvl w:val="1"/>
          <w:numId w:val="23"/>
        </w:numPr>
        <w:spacing w:before="60" w:after="60"/>
        <w:ind w:left="709" w:hanging="709"/>
        <w:rPr>
          <w:iCs/>
        </w:rPr>
      </w:pPr>
      <w:r w:rsidRPr="00630A71">
        <w:rPr>
          <w:iCs/>
        </w:rPr>
        <w:t xml:space="preserve">There are currently no </w:t>
      </w:r>
      <w:r w:rsidR="00FD7985">
        <w:rPr>
          <w:iCs/>
        </w:rPr>
        <w:t xml:space="preserve">other </w:t>
      </w:r>
      <w:r w:rsidRPr="00630A71">
        <w:rPr>
          <w:iCs/>
        </w:rPr>
        <w:t xml:space="preserve">registered agents in this therapeutic class in Australia, but other agents have been developed with the intent of removing amyloid and/or reducing amyloid deposition from the brain of patients with AD. These include other anti-amyloid mAbs, such as aducanumab, lecanemab and solanezumab, as well as a variety of small-molecule agents targeting the biochemistry of amyloid formation. </w:t>
      </w:r>
    </w:p>
    <w:p w14:paraId="68116AB5" w14:textId="162F0E72" w:rsidR="009E51BB" w:rsidRPr="009E51BB" w:rsidRDefault="009E51BB" w:rsidP="009E51BB">
      <w:pPr>
        <w:pStyle w:val="3-BodyText"/>
        <w:numPr>
          <w:ilvl w:val="0"/>
          <w:numId w:val="0"/>
        </w:numPr>
        <w:spacing w:before="60" w:after="60"/>
        <w:ind w:left="709"/>
        <w:rPr>
          <w:iCs/>
        </w:rPr>
      </w:pPr>
      <w:r w:rsidRPr="009E51BB">
        <w:rPr>
          <w:rFonts w:cstheme="minorHAnsi"/>
          <w:i/>
          <w:iCs/>
        </w:rPr>
        <w:t>For more detail on PBAC’s view, see section 7 PBAC outcome.</w:t>
      </w:r>
    </w:p>
    <w:p w14:paraId="3BC71BDD" w14:textId="77777777" w:rsidR="0008002E" w:rsidRPr="00EE0EEB" w:rsidRDefault="0008002E" w:rsidP="00DD02B1">
      <w:pPr>
        <w:pStyle w:val="PBACESHeading1"/>
        <w:numPr>
          <w:ilvl w:val="0"/>
          <w:numId w:val="23"/>
        </w:numPr>
        <w:ind w:left="709" w:hanging="709"/>
      </w:pPr>
      <w:r w:rsidRPr="00EE0EEB">
        <w:t>Comparator</w:t>
      </w:r>
    </w:p>
    <w:p w14:paraId="4322F1E1" w14:textId="74CB3695" w:rsidR="0008002E" w:rsidRPr="00630A71" w:rsidRDefault="0008002E" w:rsidP="00DD02B1">
      <w:pPr>
        <w:pStyle w:val="3-BodyText"/>
        <w:numPr>
          <w:ilvl w:val="1"/>
          <w:numId w:val="23"/>
        </w:numPr>
        <w:spacing w:before="60" w:after="60"/>
        <w:ind w:left="709" w:hanging="709"/>
      </w:pPr>
      <w:r w:rsidRPr="00C175F0">
        <w:t>The ESC considered that the nominated comparator, standard of care (SoC)</w:t>
      </w:r>
      <w:r w:rsidR="00EF5630">
        <w:t xml:space="preserve"> alone</w:t>
      </w:r>
      <w:r w:rsidRPr="00C175F0">
        <w:t>, was reasonable.</w:t>
      </w:r>
      <w:r w:rsidRPr="00630A71">
        <w:t xml:space="preserve"> SoC encompasses non-pharmaceutical brain health optimisation strategies including exercise, nutrition, mentally challenging activities, social engagement, and symptomatic treatments. </w:t>
      </w:r>
      <w:r w:rsidRPr="00C175F0">
        <w:rPr>
          <w:iCs/>
        </w:rPr>
        <w:t>It was unclear whether the key trial, TB-2, included non-pharmaceutical strategies.</w:t>
      </w:r>
      <w:r w:rsidRPr="00630A71">
        <w:t xml:space="preserve"> Symptomatic treatments for AD are limited to those focussed on providing relief, including AChEIs and memantine. In Australia, AChEIs are PBS reimbursed for the treatment of mild to moderately severe AD and memantine is reimbursed for moderately severe AD. The submission noted that market research indicated that AChEIs are prescribed in 72% of mild AD patients and 15% of MCI patients, and use of memantine was reported in 2% of both MCI and mild AD patients.</w:t>
      </w:r>
    </w:p>
    <w:p w14:paraId="2EA625C6" w14:textId="4458775B" w:rsidR="0008002E" w:rsidRPr="00630A71" w:rsidRDefault="0008002E" w:rsidP="00DD02B1">
      <w:pPr>
        <w:pStyle w:val="3-BodyText"/>
        <w:numPr>
          <w:ilvl w:val="1"/>
          <w:numId w:val="23"/>
        </w:numPr>
        <w:spacing w:before="60" w:after="60"/>
        <w:ind w:left="709" w:hanging="709"/>
      </w:pPr>
      <w:r w:rsidRPr="00630A71">
        <w:t xml:space="preserve">As donanemab </w:t>
      </w:r>
      <w:r w:rsidR="00EF5630">
        <w:t>w</w:t>
      </w:r>
      <w:r w:rsidRPr="00630A71">
        <w:t xml:space="preserve">ould be prescribed concurrently with SoC, the appropriate comparator </w:t>
      </w:r>
      <w:r w:rsidR="00DB5AE0">
        <w:t>is</w:t>
      </w:r>
      <w:r w:rsidRPr="00630A71">
        <w:t xml:space="preserve"> no active therapy</w:t>
      </w:r>
      <w:r w:rsidR="006D7ABF">
        <w:t xml:space="preserve"> </w:t>
      </w:r>
      <w:r w:rsidR="0072639A">
        <w:t>added to SoC</w:t>
      </w:r>
      <w:r w:rsidRPr="00630A71">
        <w:t>. In the key head-to-head TB-2 trial, placebo represents a proxy for no active therapy.</w:t>
      </w:r>
    </w:p>
    <w:p w14:paraId="3703D906" w14:textId="77777777" w:rsidR="0008002E" w:rsidRPr="00EE0EEB" w:rsidRDefault="0008002E" w:rsidP="00DD02B1">
      <w:pPr>
        <w:pStyle w:val="PBACESHeading1"/>
        <w:numPr>
          <w:ilvl w:val="0"/>
          <w:numId w:val="23"/>
        </w:numPr>
        <w:ind w:left="709" w:hanging="709"/>
      </w:pPr>
      <w:r w:rsidRPr="00EE0EEB">
        <w:t>Consideration of the evidence</w:t>
      </w:r>
    </w:p>
    <w:p w14:paraId="167F1EB9" w14:textId="77777777" w:rsidR="00C7203E" w:rsidRPr="00C7203E" w:rsidRDefault="00C7203E" w:rsidP="00C7203E">
      <w:pPr>
        <w:pStyle w:val="4-SubsectionHeading"/>
      </w:pPr>
      <w:bookmarkStart w:id="10" w:name="_Hlk76375935"/>
      <w:r w:rsidRPr="00C7203E">
        <w:t>Sponsor hearing</w:t>
      </w:r>
    </w:p>
    <w:p w14:paraId="29222EB6" w14:textId="713105DD" w:rsidR="00C7203E" w:rsidRPr="00A756DC" w:rsidRDefault="00C7203E" w:rsidP="00DD02B1">
      <w:pPr>
        <w:pStyle w:val="ListParagraph"/>
        <w:widowControl w:val="0"/>
        <w:numPr>
          <w:ilvl w:val="1"/>
          <w:numId w:val="23"/>
        </w:numPr>
        <w:spacing w:before="0" w:after="120"/>
        <w:ind w:left="720" w:hanging="720"/>
        <w:rPr>
          <w:rFonts w:ascii="Calibri" w:hAnsi="Calibri" w:cs="Calibri"/>
          <w:bCs/>
          <w:snapToGrid w:val="0"/>
        </w:rPr>
      </w:pPr>
      <w:bookmarkStart w:id="11" w:name="_Hlk76382586"/>
      <w:r w:rsidRPr="00A756DC">
        <w:rPr>
          <w:rFonts w:cs="Arial"/>
          <w:bCs/>
          <w:snapToGrid w:val="0"/>
        </w:rPr>
        <w:t xml:space="preserve">The sponsor requested a hearing for this item.  The clinician </w:t>
      </w:r>
      <w:r w:rsidR="00DA5112" w:rsidRPr="00A756DC">
        <w:rPr>
          <w:rFonts w:cs="Arial"/>
          <w:bCs/>
          <w:snapToGrid w:val="0"/>
        </w:rPr>
        <w:t xml:space="preserve">supported the hypothesis that amyloid reduction improves the symptoms of </w:t>
      </w:r>
      <w:r w:rsidR="00B3565B" w:rsidRPr="00A756DC">
        <w:rPr>
          <w:rFonts w:cs="Arial"/>
          <w:bCs/>
          <w:snapToGrid w:val="0"/>
        </w:rPr>
        <w:t xml:space="preserve">MCI and mild AD, stating that </w:t>
      </w:r>
      <w:r w:rsidR="000A2FCB" w:rsidRPr="00A756DC">
        <w:rPr>
          <w:rFonts w:cs="Arial"/>
          <w:bCs/>
          <w:snapToGrid w:val="0"/>
        </w:rPr>
        <w:t xml:space="preserve">the totality of the data </w:t>
      </w:r>
      <w:r w:rsidR="00682C50" w:rsidRPr="00A756DC">
        <w:rPr>
          <w:rFonts w:cs="Arial"/>
          <w:bCs/>
          <w:snapToGrid w:val="0"/>
        </w:rPr>
        <w:t xml:space="preserve">for amyloid-reduction therapies suggests </w:t>
      </w:r>
      <w:r w:rsidR="00B3565B" w:rsidRPr="00A756DC">
        <w:rPr>
          <w:rFonts w:cs="Arial"/>
          <w:bCs/>
          <w:snapToGrid w:val="0"/>
        </w:rPr>
        <w:t xml:space="preserve">the </w:t>
      </w:r>
      <w:r w:rsidR="006A0236" w:rsidRPr="00A756DC">
        <w:rPr>
          <w:rFonts w:cs="Arial"/>
          <w:bCs/>
          <w:snapToGrid w:val="0"/>
        </w:rPr>
        <w:t>more a drug can lower amyloid</w:t>
      </w:r>
      <w:r w:rsidR="002C47DF" w:rsidRPr="00A756DC">
        <w:rPr>
          <w:rFonts w:cs="Arial"/>
          <w:bCs/>
          <w:snapToGrid w:val="0"/>
        </w:rPr>
        <w:t xml:space="preserve">, the greater the cognitive change will be. The clinician noted that </w:t>
      </w:r>
      <w:r w:rsidR="00D95114" w:rsidRPr="00A756DC">
        <w:rPr>
          <w:rFonts w:cs="Arial"/>
          <w:bCs/>
          <w:snapToGrid w:val="0"/>
        </w:rPr>
        <w:t xml:space="preserve">improvements in symptoms are difficult to measure </w:t>
      </w:r>
      <w:r w:rsidR="009F102E" w:rsidRPr="00A756DC">
        <w:rPr>
          <w:rFonts w:cs="Arial"/>
          <w:bCs/>
          <w:snapToGrid w:val="0"/>
        </w:rPr>
        <w:t xml:space="preserve">but highlighted that a </w:t>
      </w:r>
      <w:r w:rsidR="00A756DC" w:rsidRPr="00A756DC">
        <w:rPr>
          <w:rFonts w:cs="Arial"/>
          <w:bCs/>
          <w:snapToGrid w:val="0"/>
        </w:rPr>
        <w:t>25% reduction in cognitive decline is frequently cited as an appropriate benchmark for clinical meaningfulness</w:t>
      </w:r>
      <w:r w:rsidR="00A756DC">
        <w:rPr>
          <w:rStyle w:val="FootnoteReference"/>
          <w:rFonts w:cs="Arial"/>
          <w:bCs/>
          <w:snapToGrid w:val="0"/>
        </w:rPr>
        <w:footnoteReference w:id="21"/>
      </w:r>
      <w:r w:rsidR="002E5EFA">
        <w:rPr>
          <w:rFonts w:cs="Arial"/>
          <w:bCs/>
          <w:snapToGrid w:val="0"/>
        </w:rPr>
        <w:t xml:space="preserve"> and a </w:t>
      </w:r>
      <w:r w:rsidR="009F102E" w:rsidRPr="00A756DC">
        <w:rPr>
          <w:rFonts w:cs="Arial"/>
          <w:bCs/>
          <w:snapToGrid w:val="0"/>
        </w:rPr>
        <w:t>difference of 2 points on the CDR-SB scale was clinically significant</w:t>
      </w:r>
      <w:r w:rsidR="00791B48" w:rsidRPr="00A756DC">
        <w:rPr>
          <w:rFonts w:cs="Arial"/>
          <w:bCs/>
          <w:snapToGrid w:val="0"/>
        </w:rPr>
        <w:t xml:space="preserve">. The clinician highlighted that </w:t>
      </w:r>
      <w:r w:rsidR="00D95114" w:rsidRPr="00A756DC">
        <w:rPr>
          <w:rFonts w:cs="Arial"/>
          <w:bCs/>
          <w:snapToGrid w:val="0"/>
        </w:rPr>
        <w:t xml:space="preserve">any </w:t>
      </w:r>
      <w:r w:rsidR="007F151A" w:rsidRPr="00A756DC">
        <w:rPr>
          <w:rFonts w:cs="Arial"/>
          <w:bCs/>
          <w:snapToGrid w:val="0"/>
        </w:rPr>
        <w:t>delay in progression should be considered in the context that the median time to death following diagnosis is 4 years</w:t>
      </w:r>
      <w:r w:rsidR="00791B48" w:rsidRPr="00A756DC">
        <w:rPr>
          <w:rFonts w:cs="Arial"/>
          <w:bCs/>
          <w:snapToGrid w:val="0"/>
        </w:rPr>
        <w:t xml:space="preserve"> and that </w:t>
      </w:r>
      <w:r w:rsidR="00A63831" w:rsidRPr="00A756DC">
        <w:rPr>
          <w:rFonts w:cs="Arial"/>
          <w:bCs/>
          <w:snapToGrid w:val="0"/>
        </w:rPr>
        <w:t xml:space="preserve">the goal of treatment is </w:t>
      </w:r>
      <w:r w:rsidR="00143F3E" w:rsidRPr="00A756DC">
        <w:rPr>
          <w:rFonts w:cs="Arial"/>
          <w:bCs/>
          <w:snapToGrid w:val="0"/>
        </w:rPr>
        <w:t xml:space="preserve">to maximise </w:t>
      </w:r>
      <w:r w:rsidR="00E84D9E" w:rsidRPr="00A756DC">
        <w:rPr>
          <w:rFonts w:cs="Arial"/>
          <w:bCs/>
          <w:snapToGrid w:val="0"/>
        </w:rPr>
        <w:t>independence</w:t>
      </w:r>
      <w:r w:rsidR="00C91C9A" w:rsidRPr="00A756DC">
        <w:rPr>
          <w:rFonts w:cs="Arial"/>
          <w:bCs/>
          <w:snapToGrid w:val="0"/>
        </w:rPr>
        <w:t xml:space="preserve"> and </w:t>
      </w:r>
      <w:r w:rsidR="004431FF" w:rsidRPr="00A756DC">
        <w:rPr>
          <w:rFonts w:cs="Arial"/>
          <w:bCs/>
          <w:snapToGrid w:val="0"/>
        </w:rPr>
        <w:t>time with minimal dysfunction</w:t>
      </w:r>
      <w:bookmarkEnd w:id="11"/>
      <w:r w:rsidR="00791B48" w:rsidRPr="00A756DC">
        <w:rPr>
          <w:rFonts w:cs="Arial"/>
          <w:bCs/>
          <w:snapToGrid w:val="0"/>
        </w:rPr>
        <w:t>.</w:t>
      </w:r>
      <w:r w:rsidR="00834805">
        <w:rPr>
          <w:rFonts w:cs="Arial"/>
          <w:bCs/>
          <w:snapToGrid w:val="0"/>
        </w:rPr>
        <w:t xml:space="preserve"> The PBAC confirmed that </w:t>
      </w:r>
      <w:r w:rsidR="001A2D52">
        <w:rPr>
          <w:rFonts w:cs="Arial"/>
          <w:bCs/>
          <w:snapToGrid w:val="0"/>
        </w:rPr>
        <w:t xml:space="preserve">there was no long-term evidence available and </w:t>
      </w:r>
      <w:r w:rsidR="001A2D52">
        <w:rPr>
          <w:rFonts w:cs="Arial"/>
          <w:bCs/>
          <w:snapToGrid w:val="0"/>
        </w:rPr>
        <w:lastRenderedPageBreak/>
        <w:t xml:space="preserve">that </w:t>
      </w:r>
      <w:r w:rsidR="005D5BFC">
        <w:rPr>
          <w:rFonts w:cs="Arial"/>
          <w:bCs/>
          <w:snapToGrid w:val="0"/>
        </w:rPr>
        <w:t xml:space="preserve">the </w:t>
      </w:r>
      <w:r w:rsidR="00EA2D4E">
        <w:rPr>
          <w:rFonts w:cs="Arial"/>
          <w:bCs/>
          <w:snapToGrid w:val="0"/>
        </w:rPr>
        <w:t xml:space="preserve">meaningfulness of </w:t>
      </w:r>
      <w:r w:rsidR="0073671B">
        <w:rPr>
          <w:rFonts w:cs="Arial"/>
          <w:bCs/>
          <w:snapToGrid w:val="0"/>
        </w:rPr>
        <w:t>any delay in progression</w:t>
      </w:r>
      <w:r w:rsidR="00EA2D4E">
        <w:rPr>
          <w:rFonts w:cs="Arial"/>
          <w:bCs/>
          <w:snapToGrid w:val="0"/>
        </w:rPr>
        <w:t xml:space="preserve"> </w:t>
      </w:r>
      <w:r w:rsidR="005D5BFC">
        <w:rPr>
          <w:rFonts w:cs="Arial"/>
          <w:bCs/>
          <w:snapToGrid w:val="0"/>
        </w:rPr>
        <w:t>was based on modelling.</w:t>
      </w:r>
    </w:p>
    <w:p w14:paraId="1F66B24B" w14:textId="77777777" w:rsidR="00C7203E" w:rsidRPr="006E1229" w:rsidRDefault="00C7203E" w:rsidP="00C7203E">
      <w:pPr>
        <w:pStyle w:val="4-SubsectionHeading"/>
      </w:pPr>
      <w:r w:rsidRPr="006E1229">
        <w:t>Consumer comments</w:t>
      </w:r>
    </w:p>
    <w:p w14:paraId="41D2A73C" w14:textId="0297802C" w:rsidR="00C7203E" w:rsidRPr="007366B2" w:rsidRDefault="00C7203E" w:rsidP="00DD02B1">
      <w:pPr>
        <w:widowControl w:val="0"/>
        <w:numPr>
          <w:ilvl w:val="1"/>
          <w:numId w:val="23"/>
        </w:numPr>
        <w:spacing w:before="0" w:after="120"/>
        <w:ind w:left="720" w:hanging="720"/>
        <w:rPr>
          <w:rFonts w:cs="Arial"/>
          <w:bCs/>
          <w:snapToGrid w:val="0"/>
        </w:rPr>
      </w:pPr>
      <w:bookmarkStart w:id="12" w:name="_Hlk76382618"/>
      <w:r w:rsidRPr="007366B2">
        <w:rPr>
          <w:rFonts w:cs="Arial"/>
          <w:bCs/>
          <w:snapToGrid w:val="0"/>
        </w:rPr>
        <w:t>The PBAC noted and welcomed the input from individuals (</w:t>
      </w:r>
      <w:r w:rsidR="00464659" w:rsidRPr="007366B2">
        <w:rPr>
          <w:rFonts w:cs="Arial"/>
          <w:bCs/>
          <w:snapToGrid w:val="0"/>
        </w:rPr>
        <w:t>12</w:t>
      </w:r>
      <w:r w:rsidRPr="007366B2">
        <w:rPr>
          <w:rFonts w:cs="Arial"/>
          <w:bCs/>
          <w:snapToGrid w:val="0"/>
        </w:rPr>
        <w:t>)</w:t>
      </w:r>
      <w:r w:rsidR="00464659" w:rsidRPr="007366B2">
        <w:rPr>
          <w:rFonts w:cs="Arial"/>
          <w:bCs/>
          <w:snapToGrid w:val="0"/>
        </w:rPr>
        <w:t xml:space="preserve"> </w:t>
      </w:r>
      <w:r w:rsidRPr="007366B2">
        <w:rPr>
          <w:rFonts w:cs="Arial"/>
          <w:bCs/>
          <w:snapToGrid w:val="0"/>
        </w:rPr>
        <w:t>and organisations (</w:t>
      </w:r>
      <w:r w:rsidR="00464659" w:rsidRPr="007366B2">
        <w:rPr>
          <w:rFonts w:cs="Arial"/>
          <w:bCs/>
          <w:snapToGrid w:val="0"/>
        </w:rPr>
        <w:t>3</w:t>
      </w:r>
      <w:r w:rsidRPr="007366B2">
        <w:rPr>
          <w:rFonts w:cs="Arial"/>
          <w:bCs/>
          <w:snapToGrid w:val="0"/>
        </w:rPr>
        <w:t xml:space="preserve">) via the Consumer Comments facility on the PBS website.  The comments described </w:t>
      </w:r>
      <w:r w:rsidR="00B90191" w:rsidRPr="007366B2">
        <w:rPr>
          <w:rFonts w:cs="Arial"/>
          <w:bCs/>
          <w:snapToGrid w:val="0"/>
        </w:rPr>
        <w:t xml:space="preserve">the high unmet need for </w:t>
      </w:r>
      <w:r w:rsidR="004E7BC1" w:rsidRPr="007366B2">
        <w:rPr>
          <w:rFonts w:cs="Arial"/>
          <w:bCs/>
          <w:snapToGrid w:val="0"/>
        </w:rPr>
        <w:t xml:space="preserve">efficacious therapies, the impacts of AD on patients and their families and </w:t>
      </w:r>
      <w:r w:rsidR="0031631B" w:rsidRPr="007366B2">
        <w:rPr>
          <w:rFonts w:cs="Arial"/>
          <w:bCs/>
          <w:snapToGrid w:val="0"/>
        </w:rPr>
        <w:t xml:space="preserve">the hope offered by donanemab </w:t>
      </w:r>
      <w:r w:rsidR="004E7BC1" w:rsidRPr="007366B2">
        <w:rPr>
          <w:rFonts w:cs="Arial"/>
          <w:bCs/>
          <w:snapToGrid w:val="0"/>
        </w:rPr>
        <w:t>to</w:t>
      </w:r>
      <w:r w:rsidR="00604D14" w:rsidRPr="007366B2">
        <w:rPr>
          <w:rFonts w:cs="Arial"/>
          <w:bCs/>
          <w:snapToGrid w:val="0"/>
        </w:rPr>
        <w:t xml:space="preserve"> potentially enabl</w:t>
      </w:r>
      <w:r w:rsidR="004E7BC1" w:rsidRPr="007366B2">
        <w:rPr>
          <w:rFonts w:cs="Arial"/>
          <w:bCs/>
          <w:snapToGrid w:val="0"/>
        </w:rPr>
        <w:t>e</w:t>
      </w:r>
      <w:r w:rsidR="00604D14" w:rsidRPr="007366B2">
        <w:rPr>
          <w:rFonts w:cs="Arial"/>
          <w:bCs/>
          <w:snapToGrid w:val="0"/>
        </w:rPr>
        <w:t xml:space="preserve"> </w:t>
      </w:r>
      <w:r w:rsidR="00F3779B" w:rsidRPr="007366B2">
        <w:rPr>
          <w:rFonts w:cs="Arial"/>
          <w:bCs/>
          <w:snapToGrid w:val="0"/>
        </w:rPr>
        <w:t xml:space="preserve">individuals to sustain their contribution to society, remain independent </w:t>
      </w:r>
      <w:r w:rsidR="00CA136E" w:rsidRPr="007366B2">
        <w:rPr>
          <w:rFonts w:cs="Arial"/>
          <w:bCs/>
          <w:snapToGrid w:val="0"/>
        </w:rPr>
        <w:t xml:space="preserve">and have more time to enjoy activities with family and friends. </w:t>
      </w:r>
      <w:r w:rsidR="00DD3F19">
        <w:rPr>
          <w:rFonts w:cs="Arial"/>
          <w:bCs/>
          <w:snapToGrid w:val="0"/>
        </w:rPr>
        <w:t>Some comments</w:t>
      </w:r>
      <w:r w:rsidR="004A1E0B">
        <w:rPr>
          <w:rFonts w:cs="Arial"/>
          <w:bCs/>
          <w:snapToGrid w:val="0"/>
        </w:rPr>
        <w:t xml:space="preserve"> focussed on the perceived benefits of the drug, noting</w:t>
      </w:r>
      <w:r w:rsidR="00CA136E" w:rsidRPr="007366B2">
        <w:rPr>
          <w:rFonts w:cs="Arial"/>
          <w:bCs/>
          <w:snapToGrid w:val="0"/>
        </w:rPr>
        <w:t xml:space="preserve"> that th</w:t>
      </w:r>
      <w:r w:rsidR="00A82704" w:rsidRPr="007366B2">
        <w:rPr>
          <w:rFonts w:cs="Arial"/>
          <w:bCs/>
          <w:snapToGrid w:val="0"/>
        </w:rPr>
        <w:t>at by delaying disease progression</w:t>
      </w:r>
      <w:r w:rsidR="00047184" w:rsidRPr="007366B2">
        <w:rPr>
          <w:rFonts w:cs="Arial"/>
          <w:bCs/>
          <w:snapToGrid w:val="0"/>
        </w:rPr>
        <w:t xml:space="preserve">, donanemab would potentially improve </w:t>
      </w:r>
      <w:r w:rsidR="00D73344" w:rsidRPr="007366B2">
        <w:rPr>
          <w:rFonts w:cs="Arial"/>
          <w:bCs/>
          <w:snapToGrid w:val="0"/>
        </w:rPr>
        <w:t>the quality of life experience</w:t>
      </w:r>
      <w:r w:rsidR="0073671B" w:rsidRPr="007366B2">
        <w:rPr>
          <w:rFonts w:cs="Arial"/>
          <w:bCs/>
          <w:snapToGrid w:val="0"/>
        </w:rPr>
        <w:t>d</w:t>
      </w:r>
      <w:r w:rsidR="00D73344" w:rsidRPr="007366B2">
        <w:rPr>
          <w:rFonts w:cs="Arial"/>
          <w:bCs/>
          <w:snapToGrid w:val="0"/>
        </w:rPr>
        <w:t xml:space="preserve"> by patients and their families and carers.</w:t>
      </w:r>
      <w:r w:rsidR="004148EE">
        <w:rPr>
          <w:rFonts w:cs="Arial"/>
          <w:bCs/>
          <w:snapToGrid w:val="0"/>
        </w:rPr>
        <w:t xml:space="preserve"> Some contributors were concerned</w:t>
      </w:r>
      <w:r w:rsidR="00FC6DE1">
        <w:rPr>
          <w:rFonts w:cs="Arial"/>
          <w:bCs/>
          <w:snapToGrid w:val="0"/>
        </w:rPr>
        <w:t xml:space="preserve"> about the potential side effects of treatment with one noting the severity of the risks associated with treatment may outweigh the benefits</w:t>
      </w:r>
      <w:r w:rsidR="00494FA5">
        <w:rPr>
          <w:rFonts w:cs="Arial"/>
          <w:bCs/>
          <w:snapToGrid w:val="0"/>
        </w:rPr>
        <w:t xml:space="preserve">. Others emphasised the importance of medical professionals being clear with patients about the severity of some side effects, and one </w:t>
      </w:r>
      <w:r w:rsidR="00613D2B">
        <w:rPr>
          <w:rFonts w:cs="Arial"/>
          <w:bCs/>
          <w:snapToGrid w:val="0"/>
        </w:rPr>
        <w:t xml:space="preserve">individual suggested that people with dementia may not wish to </w:t>
      </w:r>
      <w:r w:rsidR="0070218E">
        <w:rPr>
          <w:rFonts w:cs="Arial"/>
          <w:bCs/>
          <w:snapToGrid w:val="0"/>
        </w:rPr>
        <w:t>take the drug, preferring to wait until further studies clarified and potentially mitigated the side effects</w:t>
      </w:r>
      <w:r w:rsidR="009D2EAB" w:rsidRPr="007366B2">
        <w:rPr>
          <w:rFonts w:cs="Arial"/>
          <w:bCs/>
          <w:snapToGrid w:val="0"/>
        </w:rPr>
        <w:t>.</w:t>
      </w:r>
      <w:r w:rsidR="00DD3F19">
        <w:rPr>
          <w:rFonts w:cs="Arial"/>
          <w:bCs/>
          <w:snapToGrid w:val="0"/>
        </w:rPr>
        <w:t xml:space="preserve"> </w:t>
      </w:r>
      <w:r w:rsidR="00CA136E" w:rsidRPr="007366B2">
        <w:rPr>
          <w:rFonts w:cs="Arial"/>
          <w:bCs/>
          <w:snapToGrid w:val="0"/>
        </w:rPr>
        <w:t xml:space="preserve"> </w:t>
      </w:r>
    </w:p>
    <w:p w14:paraId="7D60B0DD" w14:textId="375CBFEC" w:rsidR="00C7203E" w:rsidRDefault="00C7203E" w:rsidP="00DD02B1">
      <w:pPr>
        <w:widowControl w:val="0"/>
        <w:numPr>
          <w:ilvl w:val="1"/>
          <w:numId w:val="23"/>
        </w:numPr>
        <w:spacing w:before="0" w:after="120"/>
        <w:ind w:left="720" w:hanging="720"/>
        <w:rPr>
          <w:rFonts w:cs="Arial"/>
          <w:bCs/>
          <w:snapToGrid w:val="0"/>
        </w:rPr>
      </w:pPr>
      <w:r w:rsidRPr="00143C64">
        <w:rPr>
          <w:rFonts w:cs="Arial"/>
          <w:bCs/>
          <w:snapToGrid w:val="0"/>
        </w:rPr>
        <w:t>The PBAC noted the advice received from</w:t>
      </w:r>
      <w:r w:rsidR="00143C64" w:rsidRPr="00143C64">
        <w:rPr>
          <w:rFonts w:cs="Arial"/>
          <w:bCs/>
          <w:snapToGrid w:val="0"/>
        </w:rPr>
        <w:t xml:space="preserve"> </w:t>
      </w:r>
      <w:r w:rsidR="005864FB" w:rsidRPr="00143C64">
        <w:rPr>
          <w:rFonts w:cs="Arial"/>
          <w:bCs/>
          <w:snapToGrid w:val="0"/>
        </w:rPr>
        <w:t>the Australian Dementia Network</w:t>
      </w:r>
      <w:r w:rsidR="0016061A">
        <w:rPr>
          <w:rFonts w:cs="Arial"/>
          <w:bCs/>
          <w:snapToGrid w:val="0"/>
        </w:rPr>
        <w:t xml:space="preserve"> (ADNet)</w:t>
      </w:r>
      <w:r w:rsidRPr="00143C64">
        <w:rPr>
          <w:rFonts w:cs="Arial"/>
          <w:bCs/>
          <w:snapToGrid w:val="0"/>
        </w:rPr>
        <w:t xml:space="preserve"> </w:t>
      </w:r>
      <w:r w:rsidR="000C40DC">
        <w:rPr>
          <w:rFonts w:cs="Arial"/>
          <w:bCs/>
          <w:snapToGrid w:val="0"/>
        </w:rPr>
        <w:t xml:space="preserve">highlighted </w:t>
      </w:r>
      <w:r w:rsidR="004C7DE5" w:rsidRPr="00143C64">
        <w:rPr>
          <w:rFonts w:cs="Arial"/>
          <w:bCs/>
          <w:snapToGrid w:val="0"/>
        </w:rPr>
        <w:t xml:space="preserve">the </w:t>
      </w:r>
      <w:r w:rsidR="009D53B4" w:rsidRPr="00143C64">
        <w:rPr>
          <w:rFonts w:cs="Arial"/>
          <w:bCs/>
          <w:snapToGrid w:val="0"/>
        </w:rPr>
        <w:t>clinical value and public health importance of ensuring equitable access to treatments such as don</w:t>
      </w:r>
      <w:r w:rsidR="00512FF9" w:rsidRPr="00143C64">
        <w:rPr>
          <w:rFonts w:cs="Arial"/>
          <w:bCs/>
          <w:snapToGrid w:val="0"/>
        </w:rPr>
        <w:t xml:space="preserve">anemab. </w:t>
      </w:r>
      <w:r w:rsidR="0016061A">
        <w:rPr>
          <w:rFonts w:cs="Arial"/>
          <w:bCs/>
          <w:snapToGrid w:val="0"/>
        </w:rPr>
        <w:t>ADNet</w:t>
      </w:r>
      <w:r w:rsidR="00512FF9" w:rsidRPr="00143C64">
        <w:rPr>
          <w:rFonts w:cs="Arial"/>
          <w:bCs/>
          <w:snapToGrid w:val="0"/>
        </w:rPr>
        <w:t xml:space="preserve"> highlighted the results of the TB-2 trial and noted that there are now practical ways to manage ARIA and other adverse events</w:t>
      </w:r>
      <w:r w:rsidR="00143C64">
        <w:rPr>
          <w:rFonts w:cs="Arial"/>
          <w:bCs/>
          <w:snapToGrid w:val="0"/>
        </w:rPr>
        <w:t xml:space="preserve">. </w:t>
      </w:r>
      <w:r w:rsidR="009A3BDD">
        <w:rPr>
          <w:rFonts w:cs="Arial"/>
          <w:bCs/>
          <w:snapToGrid w:val="0"/>
        </w:rPr>
        <w:t xml:space="preserve">ADNET also </w:t>
      </w:r>
      <w:r w:rsidR="0043007D">
        <w:rPr>
          <w:rFonts w:cs="Arial"/>
          <w:bCs/>
          <w:snapToGrid w:val="0"/>
        </w:rPr>
        <w:t xml:space="preserve">offered assistance with roll out and monitoring of </w:t>
      </w:r>
      <w:r w:rsidR="005A217E">
        <w:rPr>
          <w:rFonts w:cs="Arial"/>
          <w:bCs/>
          <w:snapToGrid w:val="0"/>
        </w:rPr>
        <w:t xml:space="preserve">the disease modifying therapies. </w:t>
      </w:r>
      <w:r w:rsidR="00143C64">
        <w:rPr>
          <w:rFonts w:cs="Arial"/>
          <w:bCs/>
          <w:snapToGrid w:val="0"/>
        </w:rPr>
        <w:t xml:space="preserve">Dementia Australia also supported the submission, noting that there are </w:t>
      </w:r>
      <w:r w:rsidR="00EE28DB">
        <w:rPr>
          <w:rFonts w:cs="Arial"/>
          <w:bCs/>
          <w:snapToGrid w:val="0"/>
        </w:rPr>
        <w:t>currently limited treatment options</w:t>
      </w:r>
      <w:r w:rsidR="0017065B">
        <w:rPr>
          <w:rFonts w:cs="Arial"/>
          <w:bCs/>
          <w:snapToGrid w:val="0"/>
        </w:rPr>
        <w:t xml:space="preserve"> available. Dementia Australia </w:t>
      </w:r>
      <w:r w:rsidR="00A0667F">
        <w:rPr>
          <w:rFonts w:cs="Arial"/>
          <w:bCs/>
          <w:snapToGrid w:val="0"/>
        </w:rPr>
        <w:t>also highlighted</w:t>
      </w:r>
      <w:r w:rsidR="0017065B">
        <w:rPr>
          <w:rFonts w:cs="Arial"/>
          <w:bCs/>
          <w:snapToGrid w:val="0"/>
        </w:rPr>
        <w:t xml:space="preserve"> that </w:t>
      </w:r>
      <w:r w:rsidR="00E63E25">
        <w:rPr>
          <w:rFonts w:cs="Arial"/>
          <w:bCs/>
          <w:snapToGrid w:val="0"/>
        </w:rPr>
        <w:t>the benefits of donanemab will only be realised if people can access it in a timely and equitable way</w:t>
      </w:r>
      <w:r w:rsidR="005A0060">
        <w:rPr>
          <w:rFonts w:cs="Arial"/>
          <w:bCs/>
          <w:snapToGrid w:val="0"/>
        </w:rPr>
        <w:t xml:space="preserve"> and this requires access to appropriate diagnostic testing and affordable access to the treatment itself through the PBS. </w:t>
      </w:r>
      <w:r w:rsidR="00D07ECB">
        <w:rPr>
          <w:rFonts w:cs="Arial"/>
          <w:bCs/>
          <w:snapToGrid w:val="0"/>
        </w:rPr>
        <w:t>Further, Dementia Australia noted that access must be designed to ensure that people in rural and remote areas, Aborigin</w:t>
      </w:r>
      <w:r w:rsidR="004148EE">
        <w:rPr>
          <w:rFonts w:cs="Arial"/>
          <w:bCs/>
          <w:snapToGrid w:val="0"/>
        </w:rPr>
        <w:t xml:space="preserve">al and Torres Strait Islander communities, culturally and linguistically diverse groups, and people with younger onset dementia are not excluded due to cost, geography, or complexity of access pathways. </w:t>
      </w:r>
      <w:r w:rsidR="003957B8">
        <w:rPr>
          <w:rFonts w:cs="Arial"/>
          <w:bCs/>
          <w:snapToGrid w:val="0"/>
        </w:rPr>
        <w:t>Professionals with Alzheimer</w:t>
      </w:r>
      <w:r w:rsidR="00A84D6C">
        <w:rPr>
          <w:rFonts w:cs="Arial"/>
          <w:bCs/>
          <w:snapToGrid w:val="0"/>
        </w:rPr>
        <w:t>’s</w:t>
      </w:r>
      <w:r w:rsidR="003957B8">
        <w:rPr>
          <w:rFonts w:cs="Arial"/>
          <w:bCs/>
          <w:snapToGrid w:val="0"/>
        </w:rPr>
        <w:t xml:space="preserve"> and related diseases</w:t>
      </w:r>
      <w:r w:rsidR="0067743E">
        <w:rPr>
          <w:rFonts w:cs="Arial"/>
          <w:bCs/>
          <w:snapToGrid w:val="0"/>
        </w:rPr>
        <w:t xml:space="preserve"> (PALZ)</w:t>
      </w:r>
      <w:r w:rsidR="008C72F9">
        <w:rPr>
          <w:rFonts w:cs="Arial"/>
          <w:bCs/>
          <w:snapToGrid w:val="0"/>
        </w:rPr>
        <w:t xml:space="preserve"> highlighted </w:t>
      </w:r>
      <w:r w:rsidR="00520F24">
        <w:rPr>
          <w:rFonts w:cs="Arial"/>
          <w:bCs/>
          <w:snapToGrid w:val="0"/>
        </w:rPr>
        <w:t xml:space="preserve">the progressive symptoms of </w:t>
      </w:r>
      <w:r w:rsidR="00D11E5C">
        <w:rPr>
          <w:rFonts w:cs="Arial"/>
          <w:bCs/>
          <w:snapToGrid w:val="0"/>
        </w:rPr>
        <w:t>AD and the burden placed on caregivers.</w:t>
      </w:r>
    </w:p>
    <w:p w14:paraId="2BAD26A9" w14:textId="1467A962" w:rsidR="00354395" w:rsidRPr="00087216" w:rsidRDefault="00354395" w:rsidP="00DD02B1">
      <w:pPr>
        <w:widowControl w:val="0"/>
        <w:numPr>
          <w:ilvl w:val="1"/>
          <w:numId w:val="23"/>
        </w:numPr>
        <w:spacing w:before="0" w:after="120"/>
        <w:ind w:left="720" w:hanging="720"/>
        <w:rPr>
          <w:rFonts w:cs="Arial"/>
          <w:bCs/>
          <w:snapToGrid w:val="0"/>
        </w:rPr>
      </w:pPr>
      <w:r w:rsidRPr="0001664F">
        <w:rPr>
          <w:rFonts w:cstheme="minorHAnsi"/>
          <w:snapToGrid w:val="0"/>
          <w:szCs w:val="24"/>
          <w:lang w:val="en-GB"/>
        </w:rPr>
        <w:t xml:space="preserve">The PBAC </w:t>
      </w:r>
      <w:r w:rsidR="006379C2" w:rsidRPr="0001664F">
        <w:rPr>
          <w:rFonts w:cstheme="minorHAnsi"/>
          <w:snapToGrid w:val="0"/>
          <w:szCs w:val="24"/>
          <w:lang w:val="en-GB"/>
        </w:rPr>
        <w:t xml:space="preserve">acknowledged the </w:t>
      </w:r>
      <w:r w:rsidR="0001664F" w:rsidRPr="0001664F">
        <w:rPr>
          <w:rFonts w:cstheme="minorHAnsi"/>
          <w:snapToGrid w:val="0"/>
          <w:szCs w:val="24"/>
          <w:lang w:val="en-GB"/>
        </w:rPr>
        <w:t>inputs e</w:t>
      </w:r>
      <w:r w:rsidR="006379C2" w:rsidRPr="006379C2">
        <w:rPr>
          <w:rFonts w:cstheme="minorHAnsi"/>
          <w:snapToGrid w:val="0"/>
          <w:szCs w:val="24"/>
          <w:lang w:val="en-GB"/>
        </w:rPr>
        <w:t xml:space="preserve">mphasised </w:t>
      </w:r>
      <w:r w:rsidR="0001664F" w:rsidRPr="0001664F">
        <w:rPr>
          <w:rFonts w:cstheme="minorHAnsi"/>
          <w:snapToGrid w:val="0"/>
          <w:szCs w:val="24"/>
          <w:lang w:val="en-GB"/>
        </w:rPr>
        <w:t xml:space="preserve">the </w:t>
      </w:r>
      <w:r w:rsidR="006379C2" w:rsidRPr="006379C2">
        <w:rPr>
          <w:rFonts w:cstheme="minorHAnsi"/>
          <w:snapToGrid w:val="0"/>
          <w:szCs w:val="24"/>
          <w:lang w:val="en-GB"/>
        </w:rPr>
        <w:t xml:space="preserve">devastating impacts of dementia and </w:t>
      </w:r>
      <w:r w:rsidR="0001664F" w:rsidRPr="0001664F">
        <w:rPr>
          <w:rFonts w:cstheme="minorHAnsi"/>
          <w:snapToGrid w:val="0"/>
          <w:szCs w:val="24"/>
          <w:lang w:val="en-GB"/>
        </w:rPr>
        <w:t xml:space="preserve">the </w:t>
      </w:r>
      <w:r w:rsidR="006379C2" w:rsidRPr="006379C2">
        <w:rPr>
          <w:rFonts w:cstheme="minorHAnsi"/>
          <w:snapToGrid w:val="0"/>
          <w:szCs w:val="24"/>
          <w:lang w:val="en-GB"/>
        </w:rPr>
        <w:t>high unmet need for efficacious therapies</w:t>
      </w:r>
      <w:r w:rsidR="0001664F" w:rsidRPr="0001664F">
        <w:rPr>
          <w:rFonts w:cstheme="minorHAnsi"/>
          <w:snapToGrid w:val="0"/>
          <w:szCs w:val="24"/>
          <w:lang w:val="en-GB"/>
        </w:rPr>
        <w:t>.</w:t>
      </w:r>
      <w:r w:rsidR="0001664F">
        <w:rPr>
          <w:rFonts w:cstheme="minorHAnsi"/>
          <w:snapToGrid w:val="0"/>
          <w:szCs w:val="24"/>
          <w:lang w:val="en-GB"/>
        </w:rPr>
        <w:t xml:space="preserve"> The PBAC </w:t>
      </w:r>
      <w:r w:rsidRPr="0001664F">
        <w:rPr>
          <w:rFonts w:cstheme="minorHAnsi"/>
          <w:snapToGrid w:val="0"/>
          <w:szCs w:val="24"/>
          <w:lang w:val="en-GB"/>
        </w:rPr>
        <w:t xml:space="preserve">also noted that several inputs perceived the treatment efficacy </w:t>
      </w:r>
      <w:r w:rsidR="0001664F">
        <w:rPr>
          <w:rFonts w:cstheme="minorHAnsi"/>
          <w:snapToGrid w:val="0"/>
          <w:szCs w:val="24"/>
          <w:lang w:val="en-GB"/>
        </w:rPr>
        <w:t xml:space="preserve">of donanemab </w:t>
      </w:r>
      <w:r w:rsidRPr="0001664F">
        <w:rPr>
          <w:rFonts w:cstheme="minorHAnsi"/>
          <w:snapToGrid w:val="0"/>
          <w:szCs w:val="24"/>
          <w:lang w:val="en-GB"/>
        </w:rPr>
        <w:t>as exceeding what the trial data would suggest.</w:t>
      </w:r>
    </w:p>
    <w:p w14:paraId="4CB7A3E2" w14:textId="77777777" w:rsidR="00087216" w:rsidRPr="00087216" w:rsidRDefault="00087216" w:rsidP="00087216">
      <w:pPr>
        <w:pStyle w:val="4-SubsectionHeading"/>
      </w:pPr>
      <w:r w:rsidRPr="00087216">
        <w:t>Overview of the evidence base</w:t>
      </w:r>
    </w:p>
    <w:p w14:paraId="3C16E188" w14:textId="78CDAD2E" w:rsidR="00087216" w:rsidRPr="00630A71" w:rsidRDefault="00087216" w:rsidP="00087216">
      <w:pPr>
        <w:pStyle w:val="3-BodyText"/>
        <w:numPr>
          <w:ilvl w:val="1"/>
          <w:numId w:val="23"/>
        </w:numPr>
        <w:spacing w:before="60" w:after="60"/>
        <w:ind w:left="709" w:hanging="709"/>
      </w:pPr>
      <w:r w:rsidRPr="00630A71">
        <w:t xml:space="preserve">The populations and tests are mostly transferable across the linked evidence. </w:t>
      </w:r>
      <w:r w:rsidR="004610B5">
        <w:fldChar w:fldCharType="begin"/>
      </w:r>
      <w:r w:rsidR="004610B5">
        <w:instrText xml:space="preserve"> REF _Ref204779754 \h </w:instrText>
      </w:r>
      <w:r w:rsidR="004610B5">
        <w:fldChar w:fldCharType="separate"/>
      </w:r>
      <w:r w:rsidR="00392423">
        <w:t xml:space="preserve">Table </w:t>
      </w:r>
      <w:r w:rsidR="00392423">
        <w:rPr>
          <w:noProof/>
        </w:rPr>
        <w:t>3</w:t>
      </w:r>
      <w:r w:rsidR="004610B5">
        <w:fldChar w:fldCharType="end"/>
      </w:r>
      <w:r w:rsidRPr="00630A71">
        <w:t xml:space="preserve"> summarises the linked evidence approach taken in the submission. </w:t>
      </w:r>
    </w:p>
    <w:p w14:paraId="54D6EA02" w14:textId="2D3A741C" w:rsidR="00087216" w:rsidRPr="00EE0EEB" w:rsidRDefault="004610B5" w:rsidP="00087216">
      <w:pPr>
        <w:pStyle w:val="Caption"/>
        <w:rPr>
          <w:color w:val="0D0D0D" w:themeColor="text1" w:themeTint="F2"/>
        </w:rPr>
      </w:pPr>
      <w:bookmarkStart w:id="13" w:name="_Ref204779754"/>
      <w:r>
        <w:lastRenderedPageBreak/>
        <w:t xml:space="preserve">Table </w:t>
      </w:r>
      <w:r>
        <w:fldChar w:fldCharType="begin"/>
      </w:r>
      <w:r>
        <w:instrText xml:space="preserve"> SEQ Table \* ARABIC </w:instrText>
      </w:r>
      <w:r>
        <w:fldChar w:fldCharType="separate"/>
      </w:r>
      <w:r w:rsidR="00392423">
        <w:rPr>
          <w:noProof/>
        </w:rPr>
        <w:t>3</w:t>
      </w:r>
      <w:r>
        <w:fldChar w:fldCharType="end"/>
      </w:r>
      <w:bookmarkEnd w:id="13"/>
      <w:r>
        <w:t xml:space="preserve">: </w:t>
      </w:r>
      <w:r w:rsidR="00087216" w:rsidRPr="00EE0EEB">
        <w:rPr>
          <w:color w:val="0D0D0D" w:themeColor="text1" w:themeTint="F2"/>
        </w:rPr>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Summary of the linked evidence approach"/>
      </w:tblPr>
      <w:tblGrid>
        <w:gridCol w:w="1174"/>
        <w:gridCol w:w="3500"/>
        <w:gridCol w:w="1700"/>
        <w:gridCol w:w="1560"/>
        <w:gridCol w:w="1082"/>
      </w:tblGrid>
      <w:tr w:rsidR="00087216" w:rsidRPr="00630A71" w14:paraId="71D8D90C" w14:textId="77777777">
        <w:trPr>
          <w:cantSplit/>
          <w:tblHeader/>
        </w:trPr>
        <w:tc>
          <w:tcPr>
            <w:tcW w:w="651" w:type="pct"/>
            <w:tcBorders>
              <w:top w:val="single" w:sz="4" w:space="0" w:color="auto"/>
              <w:left w:val="single" w:sz="4" w:space="0" w:color="auto"/>
              <w:bottom w:val="single" w:sz="4" w:space="0" w:color="auto"/>
              <w:right w:val="single" w:sz="4" w:space="0" w:color="auto"/>
            </w:tcBorders>
            <w:vAlign w:val="bottom"/>
          </w:tcPr>
          <w:p w14:paraId="53DC3321" w14:textId="77777777" w:rsidR="00087216" w:rsidRPr="00630A71" w:rsidRDefault="00087216">
            <w:pPr>
              <w:keepNext/>
              <w:widowControl w:val="0"/>
              <w:spacing w:before="40" w:after="40"/>
              <w:jc w:val="left"/>
              <w:rPr>
                <w:rFonts w:ascii="Arial Narrow" w:hAnsi="Arial Narrow"/>
                <w:b/>
                <w:bCs/>
                <w:sz w:val="20"/>
              </w:rPr>
            </w:pPr>
            <w:r w:rsidRPr="00630A71">
              <w:rPr>
                <w:rFonts w:ascii="Arial Narrow" w:hAnsi="Arial Narrow"/>
                <w:b/>
                <w:bCs/>
                <w:sz w:val="20"/>
              </w:rPr>
              <w:t>Criterion</w:t>
            </w:r>
          </w:p>
        </w:tc>
        <w:tc>
          <w:tcPr>
            <w:tcW w:w="1941" w:type="pct"/>
            <w:tcBorders>
              <w:top w:val="single" w:sz="4" w:space="0" w:color="auto"/>
              <w:left w:val="single" w:sz="4" w:space="0" w:color="auto"/>
              <w:bottom w:val="single" w:sz="4" w:space="0" w:color="auto"/>
              <w:right w:val="single" w:sz="4" w:space="0" w:color="auto"/>
            </w:tcBorders>
            <w:vAlign w:val="bottom"/>
            <w:hideMark/>
          </w:tcPr>
          <w:p w14:paraId="41A2621D" w14:textId="77777777" w:rsidR="00087216" w:rsidRPr="00630A71" w:rsidRDefault="00087216">
            <w:pPr>
              <w:keepNext/>
              <w:widowControl w:val="0"/>
              <w:spacing w:before="40" w:after="40"/>
              <w:jc w:val="left"/>
              <w:rPr>
                <w:rFonts w:ascii="Arial Narrow" w:hAnsi="Arial Narrow"/>
                <w:b/>
                <w:bCs/>
                <w:sz w:val="20"/>
              </w:rPr>
            </w:pPr>
            <w:r w:rsidRPr="00630A71">
              <w:rPr>
                <w:rFonts w:ascii="Arial Narrow" w:hAnsi="Arial Narrow"/>
                <w:b/>
                <w:bCs/>
                <w:sz w:val="20"/>
              </w:rPr>
              <w:t>Type of evidence supplied</w:t>
            </w:r>
          </w:p>
        </w:tc>
        <w:tc>
          <w:tcPr>
            <w:tcW w:w="943" w:type="pct"/>
            <w:tcBorders>
              <w:top w:val="single" w:sz="4" w:space="0" w:color="auto"/>
              <w:left w:val="single" w:sz="4" w:space="0" w:color="auto"/>
              <w:bottom w:val="single" w:sz="4" w:space="0" w:color="auto"/>
              <w:right w:val="single" w:sz="4" w:space="0" w:color="auto"/>
            </w:tcBorders>
            <w:vAlign w:val="bottom"/>
            <w:hideMark/>
          </w:tcPr>
          <w:p w14:paraId="0D9AC64F" w14:textId="77777777" w:rsidR="00087216" w:rsidRPr="00630A71" w:rsidRDefault="00087216">
            <w:pPr>
              <w:keepNext/>
              <w:widowControl w:val="0"/>
              <w:spacing w:before="40" w:after="40"/>
              <w:jc w:val="left"/>
              <w:rPr>
                <w:rFonts w:ascii="Arial Narrow" w:hAnsi="Arial Narrow"/>
                <w:b/>
                <w:bCs/>
                <w:sz w:val="20"/>
              </w:rPr>
            </w:pPr>
            <w:r w:rsidRPr="00630A71">
              <w:rPr>
                <w:rFonts w:ascii="Arial Narrow" w:hAnsi="Arial Narrow"/>
                <w:b/>
                <w:bCs/>
                <w:sz w:val="20"/>
              </w:rPr>
              <w:t>Extent of evidence supplied</w:t>
            </w:r>
          </w:p>
        </w:tc>
        <w:tc>
          <w:tcPr>
            <w:tcW w:w="865" w:type="pct"/>
            <w:tcBorders>
              <w:top w:val="single" w:sz="4" w:space="0" w:color="auto"/>
              <w:left w:val="single" w:sz="4" w:space="0" w:color="auto"/>
              <w:bottom w:val="single" w:sz="4" w:space="0" w:color="auto"/>
              <w:right w:val="single" w:sz="4" w:space="0" w:color="auto"/>
            </w:tcBorders>
            <w:vAlign w:val="bottom"/>
            <w:hideMark/>
          </w:tcPr>
          <w:p w14:paraId="05B67B07" w14:textId="77777777" w:rsidR="00087216" w:rsidRPr="00630A71" w:rsidRDefault="00087216">
            <w:pPr>
              <w:keepNext/>
              <w:widowControl w:val="0"/>
              <w:spacing w:before="40" w:after="40"/>
              <w:jc w:val="left"/>
              <w:rPr>
                <w:rFonts w:ascii="Arial Narrow" w:hAnsi="Arial Narrow"/>
                <w:b/>
                <w:bCs/>
                <w:sz w:val="20"/>
              </w:rPr>
            </w:pPr>
            <w:r w:rsidRPr="00630A71">
              <w:rPr>
                <w:rFonts w:ascii="Arial Narrow" w:hAnsi="Arial Narrow"/>
                <w:b/>
                <w:bCs/>
                <w:sz w:val="20"/>
              </w:rPr>
              <w:t>Overall risk of bias in evidence base</w:t>
            </w:r>
          </w:p>
        </w:tc>
        <w:tc>
          <w:tcPr>
            <w:tcW w:w="600" w:type="pct"/>
            <w:tcBorders>
              <w:top w:val="single" w:sz="4" w:space="0" w:color="auto"/>
              <w:left w:val="single" w:sz="4" w:space="0" w:color="auto"/>
              <w:bottom w:val="single" w:sz="4" w:space="0" w:color="auto"/>
              <w:right w:val="single" w:sz="4" w:space="0" w:color="auto"/>
            </w:tcBorders>
          </w:tcPr>
          <w:p w14:paraId="449A631B" w14:textId="77777777" w:rsidR="00087216" w:rsidRPr="00630A71" w:rsidRDefault="00087216">
            <w:pPr>
              <w:keepNext/>
              <w:widowControl w:val="0"/>
              <w:spacing w:before="40" w:after="40"/>
              <w:jc w:val="left"/>
              <w:rPr>
                <w:rFonts w:ascii="Arial Narrow" w:hAnsi="Arial Narrow"/>
                <w:b/>
                <w:bCs/>
                <w:sz w:val="20"/>
              </w:rPr>
            </w:pPr>
            <w:r w:rsidRPr="00630A71">
              <w:rPr>
                <w:rFonts w:ascii="Arial Narrow" w:hAnsi="Arial Narrow"/>
                <w:b/>
                <w:bCs/>
                <w:sz w:val="20"/>
              </w:rPr>
              <w:t>Used in modelled evaluation</w:t>
            </w:r>
          </w:p>
        </w:tc>
      </w:tr>
      <w:tr w:rsidR="00087216" w:rsidRPr="00630A71" w14:paraId="31481237" w14:textId="77777777">
        <w:trPr>
          <w:cantSplit/>
        </w:trPr>
        <w:tc>
          <w:tcPr>
            <w:tcW w:w="651" w:type="pct"/>
            <w:tcBorders>
              <w:top w:val="single" w:sz="4" w:space="0" w:color="auto"/>
              <w:left w:val="single" w:sz="4" w:space="0" w:color="auto"/>
              <w:bottom w:val="single" w:sz="4" w:space="0" w:color="auto"/>
              <w:right w:val="single" w:sz="4" w:space="0" w:color="auto"/>
            </w:tcBorders>
            <w:hideMark/>
          </w:tcPr>
          <w:p w14:paraId="270BA430"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Accuracy and performance of the test (cross-sectional accuracy)</w:t>
            </w:r>
          </w:p>
        </w:tc>
        <w:tc>
          <w:tcPr>
            <w:tcW w:w="1941" w:type="pct"/>
            <w:tcBorders>
              <w:top w:val="single" w:sz="4" w:space="0" w:color="auto"/>
              <w:left w:val="single" w:sz="4" w:space="0" w:color="auto"/>
              <w:bottom w:val="single" w:sz="4" w:space="0" w:color="auto"/>
              <w:right w:val="single" w:sz="4" w:space="0" w:color="auto"/>
            </w:tcBorders>
            <w:hideMark/>
          </w:tcPr>
          <w:p w14:paraId="04A67E9D"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4 NHMRC level III-2 studies provided DA evidence for FMM-Aβ-PET versus the clinical utility standard.</w:t>
            </w:r>
          </w:p>
          <w:p w14:paraId="0253F0DB"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21 NHMRC level III-2 studies provided DA evidence for FMM-Aβ-PET and the clinical utility standard versus clinical diagnosis.</w:t>
            </w:r>
          </w:p>
          <w:p w14:paraId="694BAE4A"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11 NHMRC level III-3 studies provided concordance between CSF testing and Aβ-PET</w:t>
            </w:r>
          </w:p>
          <w:p w14:paraId="176A3796"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10 NHMRC level III-2 (k=8) and level III-3 (k=2) studies provided DA evidence the accuracy of </w:t>
            </w:r>
            <w:r w:rsidRPr="00AD196B">
              <w:rPr>
                <w:rFonts w:ascii="Arial Narrow" w:hAnsi="Arial Narrow"/>
                <w:i/>
                <w:iCs/>
                <w:sz w:val="20"/>
              </w:rPr>
              <w:t>APOE</w:t>
            </w:r>
            <w:r w:rsidRPr="00630A71">
              <w:rPr>
                <w:rFonts w:ascii="Arial Narrow" w:hAnsi="Arial Narrow"/>
                <w:sz w:val="20"/>
              </w:rPr>
              <w:t xml:space="preserve"> genotyping by PCR to detect the </w:t>
            </w:r>
            <w:r w:rsidRPr="00AD196B">
              <w:rPr>
                <w:rFonts w:ascii="Arial Narrow" w:hAnsi="Arial Narrow"/>
                <w:i/>
                <w:iCs/>
                <w:sz w:val="20"/>
              </w:rPr>
              <w:t>APOE4</w:t>
            </w:r>
            <w:r w:rsidRPr="00630A71">
              <w:rPr>
                <w:rFonts w:ascii="Arial Narrow" w:hAnsi="Arial Narrow"/>
                <w:sz w:val="20"/>
              </w:rPr>
              <w:t xml:space="preserve"> variant</w:t>
            </w:r>
          </w:p>
          <w:p w14:paraId="60E332C8"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6 studies provided inter-rater reliability evidence on MRI detection of ARIA.</w:t>
            </w:r>
          </w:p>
        </w:tc>
        <w:tc>
          <w:tcPr>
            <w:tcW w:w="943" w:type="pct"/>
            <w:tcBorders>
              <w:top w:val="single" w:sz="4" w:space="0" w:color="auto"/>
              <w:left w:val="single" w:sz="4" w:space="0" w:color="auto"/>
              <w:bottom w:val="single" w:sz="4" w:space="0" w:color="auto"/>
              <w:right w:val="single" w:sz="4" w:space="0" w:color="auto"/>
            </w:tcBorders>
            <w:hideMark/>
          </w:tcPr>
          <w:p w14:paraId="072012D4"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k=4</w:t>
            </w:r>
            <w:r w:rsidRPr="00630A71">
              <w:rPr>
                <w:rFonts w:ascii="Arial Narrow" w:hAnsi="Arial Narrow"/>
                <w:sz w:val="20"/>
              </w:rPr>
              <w:tab/>
              <w:t>n=602</w:t>
            </w:r>
          </w:p>
          <w:p w14:paraId="747EFF44" w14:textId="77777777" w:rsidR="00087216" w:rsidRPr="00630A71" w:rsidRDefault="00087216">
            <w:pPr>
              <w:keepNext/>
              <w:widowControl w:val="0"/>
              <w:spacing w:before="40" w:after="40"/>
              <w:jc w:val="left"/>
              <w:rPr>
                <w:rFonts w:ascii="Arial Narrow" w:hAnsi="Arial Narrow"/>
                <w:sz w:val="20"/>
              </w:rPr>
            </w:pPr>
          </w:p>
          <w:p w14:paraId="4713D302" w14:textId="77777777" w:rsidR="00087216" w:rsidRPr="00630A71" w:rsidRDefault="00087216">
            <w:pPr>
              <w:keepNext/>
              <w:widowControl w:val="0"/>
              <w:spacing w:before="40" w:after="12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k=21</w:t>
            </w:r>
            <w:r w:rsidRPr="00630A71">
              <w:rPr>
                <w:rFonts w:ascii="Arial Narrow" w:hAnsi="Arial Narrow"/>
                <w:sz w:val="20"/>
              </w:rPr>
              <w:tab/>
              <w:t>n=1,377</w:t>
            </w:r>
          </w:p>
          <w:p w14:paraId="5E92BE94"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k=6</w:t>
            </w:r>
            <w:r w:rsidRPr="00630A71">
              <w:rPr>
                <w:rFonts w:ascii="Arial Narrow" w:hAnsi="Arial Narrow"/>
                <w:sz w:val="20"/>
              </w:rPr>
              <w:tab/>
              <w:t>n=2,185</w:t>
            </w:r>
          </w:p>
          <w:p w14:paraId="3EA61F37" w14:textId="77777777" w:rsidR="00087216" w:rsidRPr="00630A71" w:rsidRDefault="00087216">
            <w:pPr>
              <w:keepNext/>
              <w:widowControl w:val="0"/>
              <w:spacing w:before="40" w:after="40"/>
              <w:jc w:val="left"/>
              <w:rPr>
                <w:rFonts w:ascii="Arial Narrow" w:hAnsi="Arial Narrow"/>
                <w:sz w:val="20"/>
              </w:rPr>
            </w:pPr>
          </w:p>
          <w:p w14:paraId="06084698"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k=10</w:t>
            </w:r>
            <w:r w:rsidRPr="00630A71">
              <w:rPr>
                <w:rFonts w:ascii="Arial Narrow" w:hAnsi="Arial Narrow"/>
                <w:sz w:val="20"/>
              </w:rPr>
              <w:tab/>
              <w:t>n=3,279</w:t>
            </w:r>
          </w:p>
          <w:p w14:paraId="0688DEE2" w14:textId="77777777" w:rsidR="00087216" w:rsidRPr="00630A71" w:rsidRDefault="00087216">
            <w:pPr>
              <w:keepNext/>
              <w:widowControl w:val="0"/>
              <w:spacing w:before="40" w:after="120"/>
              <w:jc w:val="left"/>
              <w:rPr>
                <w:rFonts w:ascii="Arial Narrow" w:hAnsi="Arial Narrow"/>
                <w:sz w:val="20"/>
              </w:rPr>
            </w:pPr>
          </w:p>
          <w:p w14:paraId="4BDB3747"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k=6</w:t>
            </w:r>
            <w:r w:rsidRPr="00630A71">
              <w:rPr>
                <w:rFonts w:ascii="Arial Narrow" w:hAnsi="Arial Narrow"/>
                <w:sz w:val="20"/>
              </w:rPr>
              <w:tab/>
              <w:t>n=455</w:t>
            </w:r>
          </w:p>
        </w:tc>
        <w:tc>
          <w:tcPr>
            <w:tcW w:w="865" w:type="pct"/>
            <w:tcBorders>
              <w:top w:val="single" w:sz="4" w:space="0" w:color="auto"/>
              <w:left w:val="single" w:sz="4" w:space="0" w:color="auto"/>
              <w:bottom w:val="single" w:sz="4" w:space="0" w:color="auto"/>
              <w:right w:val="single" w:sz="4" w:space="0" w:color="auto"/>
            </w:tcBorders>
            <w:hideMark/>
          </w:tcPr>
          <w:p w14:paraId="33E47AF5"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High for patient selection, low for tests and timing</w:t>
            </w:r>
          </w:p>
          <w:p w14:paraId="5F4DCC83"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assessed </w:t>
            </w:r>
          </w:p>
          <w:p w14:paraId="46ABB0AE" w14:textId="77777777" w:rsidR="00087216" w:rsidRPr="00630A71" w:rsidRDefault="00087216">
            <w:pPr>
              <w:keepNext/>
              <w:widowControl w:val="0"/>
              <w:spacing w:before="40" w:after="40"/>
              <w:jc w:val="left"/>
              <w:rPr>
                <w:rFonts w:ascii="Arial Narrow" w:hAnsi="Arial Narrow"/>
                <w:sz w:val="20"/>
              </w:rPr>
            </w:pPr>
          </w:p>
          <w:p w14:paraId="43A5DD0D"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Low risk of bias</w:t>
            </w:r>
          </w:p>
          <w:p w14:paraId="4D1E0D65" w14:textId="77777777" w:rsidR="00087216" w:rsidRPr="00630A71" w:rsidRDefault="00087216">
            <w:pPr>
              <w:keepNext/>
              <w:widowControl w:val="0"/>
              <w:spacing w:before="40" w:after="40"/>
              <w:jc w:val="left"/>
              <w:rPr>
                <w:rFonts w:ascii="Arial Narrow" w:hAnsi="Arial Narrow"/>
                <w:sz w:val="20"/>
              </w:rPr>
            </w:pPr>
          </w:p>
          <w:p w14:paraId="14F4B515" w14:textId="77777777" w:rsidR="00087216" w:rsidRPr="00630A71" w:rsidRDefault="00087216">
            <w:pPr>
              <w:keepNext/>
              <w:widowControl w:val="0"/>
              <w:spacing w:before="40" w:after="40"/>
              <w:jc w:val="left"/>
              <w:rPr>
                <w:rFonts w:ascii="Arial Narrow" w:hAnsi="Arial Narrow"/>
                <w:sz w:val="20"/>
              </w:rPr>
            </w:pPr>
          </w:p>
          <w:p w14:paraId="0AD3B4DC"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assessed </w:t>
            </w:r>
          </w:p>
          <w:p w14:paraId="76CE014F" w14:textId="77777777" w:rsidR="00087216" w:rsidRPr="00630A71" w:rsidRDefault="00087216">
            <w:pPr>
              <w:keepNext/>
              <w:widowControl w:val="0"/>
              <w:spacing w:before="40" w:after="40"/>
              <w:jc w:val="left"/>
              <w:rPr>
                <w:rFonts w:ascii="Arial Narrow" w:hAnsi="Arial Narrow"/>
                <w:sz w:val="20"/>
              </w:rPr>
            </w:pPr>
          </w:p>
          <w:p w14:paraId="5815260A"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assessed </w:t>
            </w:r>
          </w:p>
        </w:tc>
        <w:tc>
          <w:tcPr>
            <w:tcW w:w="600" w:type="pct"/>
            <w:tcBorders>
              <w:top w:val="single" w:sz="4" w:space="0" w:color="auto"/>
              <w:left w:val="single" w:sz="4" w:space="0" w:color="auto"/>
              <w:bottom w:val="single" w:sz="4" w:space="0" w:color="auto"/>
              <w:right w:val="single" w:sz="4" w:space="0" w:color="auto"/>
            </w:tcBorders>
          </w:tcPr>
          <w:p w14:paraId="3E612EAA"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modelled. </w:t>
            </w:r>
          </w:p>
        </w:tc>
      </w:tr>
      <w:tr w:rsidR="00087216" w:rsidRPr="00630A71" w14:paraId="4D0DB70E" w14:textId="77777777">
        <w:trPr>
          <w:cantSplit/>
        </w:trPr>
        <w:tc>
          <w:tcPr>
            <w:tcW w:w="651" w:type="pct"/>
            <w:tcBorders>
              <w:top w:val="single" w:sz="4" w:space="0" w:color="auto"/>
              <w:left w:val="single" w:sz="4" w:space="0" w:color="auto"/>
              <w:bottom w:val="single" w:sz="4" w:space="0" w:color="auto"/>
              <w:right w:val="single" w:sz="4" w:space="0" w:color="auto"/>
            </w:tcBorders>
            <w:hideMark/>
          </w:tcPr>
          <w:p w14:paraId="34EF9562"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Prognostic evidence (longitudinal accuracy)</w:t>
            </w:r>
          </w:p>
        </w:tc>
        <w:tc>
          <w:tcPr>
            <w:tcW w:w="1941" w:type="pct"/>
            <w:tcBorders>
              <w:top w:val="single" w:sz="4" w:space="0" w:color="auto"/>
              <w:left w:val="single" w:sz="4" w:space="0" w:color="auto"/>
              <w:bottom w:val="single" w:sz="4" w:space="0" w:color="auto"/>
              <w:right w:val="single" w:sz="4" w:space="0" w:color="auto"/>
            </w:tcBorders>
            <w:hideMark/>
          </w:tcPr>
          <w:p w14:paraId="66429C6D"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25 studies provided prognostic evidence.</w:t>
            </w:r>
          </w:p>
          <w:p w14:paraId="2477FAE9" w14:textId="77777777" w:rsidR="00087216" w:rsidRPr="00630A71" w:rsidRDefault="00087216">
            <w:pPr>
              <w:keepNext/>
              <w:widowControl w:val="0"/>
              <w:spacing w:before="40" w:after="40"/>
              <w:ind w:left="241"/>
              <w:jc w:val="left"/>
              <w:rPr>
                <w:rFonts w:ascii="Arial Narrow" w:hAnsi="Arial Narrow"/>
                <w:sz w:val="20"/>
              </w:rPr>
            </w:pPr>
            <w:r w:rsidRPr="00630A71">
              <w:rPr>
                <w:rFonts w:ascii="Arial Narrow" w:hAnsi="Arial Narrow"/>
                <w:sz w:val="20"/>
              </w:rPr>
              <w:t>1 SR</w:t>
            </w:r>
          </w:p>
          <w:p w14:paraId="29E1730B" w14:textId="77777777" w:rsidR="00087216" w:rsidRPr="00630A71" w:rsidRDefault="00087216">
            <w:pPr>
              <w:keepNext/>
              <w:widowControl w:val="0"/>
              <w:spacing w:before="40" w:after="40"/>
              <w:ind w:left="241"/>
              <w:jc w:val="left"/>
              <w:rPr>
                <w:rFonts w:ascii="Arial Narrow" w:hAnsi="Arial Narrow"/>
                <w:sz w:val="20"/>
              </w:rPr>
            </w:pPr>
            <w:r w:rsidRPr="00630A71">
              <w:rPr>
                <w:rFonts w:ascii="Arial Narrow" w:hAnsi="Arial Narrow"/>
                <w:sz w:val="20"/>
              </w:rPr>
              <w:t>17 were NHMRC level II studies.</w:t>
            </w:r>
          </w:p>
          <w:p w14:paraId="490741E4" w14:textId="77777777" w:rsidR="00087216" w:rsidRPr="00630A71" w:rsidRDefault="00087216">
            <w:pPr>
              <w:keepNext/>
              <w:widowControl w:val="0"/>
              <w:spacing w:before="40" w:after="40"/>
              <w:ind w:left="241"/>
              <w:jc w:val="left"/>
              <w:rPr>
                <w:rFonts w:ascii="Arial Narrow" w:hAnsi="Arial Narrow"/>
                <w:sz w:val="20"/>
              </w:rPr>
            </w:pPr>
            <w:r w:rsidRPr="00630A71">
              <w:rPr>
                <w:rFonts w:ascii="Arial Narrow" w:hAnsi="Arial Narrow"/>
                <w:sz w:val="20"/>
              </w:rPr>
              <w:t>7 was NHMRC level III-3 studies</w:t>
            </w:r>
          </w:p>
        </w:tc>
        <w:tc>
          <w:tcPr>
            <w:tcW w:w="943" w:type="pct"/>
            <w:tcBorders>
              <w:top w:val="single" w:sz="4" w:space="0" w:color="auto"/>
              <w:left w:val="single" w:sz="4" w:space="0" w:color="auto"/>
              <w:bottom w:val="single" w:sz="4" w:space="0" w:color="auto"/>
              <w:right w:val="single" w:sz="4" w:space="0" w:color="auto"/>
            </w:tcBorders>
            <w:hideMark/>
          </w:tcPr>
          <w:p w14:paraId="367799F3"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k=25</w:t>
            </w:r>
            <w:r w:rsidRPr="00630A71">
              <w:rPr>
                <w:rFonts w:ascii="Arial Narrow" w:hAnsi="Arial Narrow"/>
                <w:sz w:val="20"/>
              </w:rPr>
              <w:tab/>
              <w:t>n=9,928</w:t>
            </w:r>
          </w:p>
        </w:tc>
        <w:tc>
          <w:tcPr>
            <w:tcW w:w="865" w:type="pct"/>
            <w:tcBorders>
              <w:top w:val="single" w:sz="4" w:space="0" w:color="auto"/>
              <w:left w:val="single" w:sz="4" w:space="0" w:color="auto"/>
              <w:bottom w:val="single" w:sz="4" w:space="0" w:color="auto"/>
              <w:right w:val="single" w:sz="4" w:space="0" w:color="auto"/>
            </w:tcBorders>
            <w:hideMark/>
          </w:tcPr>
          <w:p w14:paraId="2559DC1E"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assessed </w:t>
            </w:r>
          </w:p>
        </w:tc>
        <w:tc>
          <w:tcPr>
            <w:tcW w:w="600" w:type="pct"/>
            <w:tcBorders>
              <w:top w:val="single" w:sz="4" w:space="0" w:color="auto"/>
              <w:left w:val="single" w:sz="4" w:space="0" w:color="auto"/>
              <w:bottom w:val="single" w:sz="4" w:space="0" w:color="auto"/>
              <w:right w:val="single" w:sz="4" w:space="0" w:color="auto"/>
            </w:tcBorders>
          </w:tcPr>
          <w:p w14:paraId="035E2067"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modelled. </w:t>
            </w:r>
          </w:p>
        </w:tc>
      </w:tr>
      <w:tr w:rsidR="00087216" w:rsidRPr="00630A71" w14:paraId="76B70A96" w14:textId="77777777">
        <w:trPr>
          <w:cantSplit/>
        </w:trPr>
        <w:tc>
          <w:tcPr>
            <w:tcW w:w="651" w:type="pct"/>
            <w:tcBorders>
              <w:top w:val="single" w:sz="4" w:space="0" w:color="auto"/>
              <w:left w:val="single" w:sz="4" w:space="0" w:color="auto"/>
              <w:bottom w:val="single" w:sz="4" w:space="0" w:color="auto"/>
              <w:right w:val="single" w:sz="4" w:space="0" w:color="auto"/>
            </w:tcBorders>
            <w:hideMark/>
          </w:tcPr>
          <w:p w14:paraId="2234714D"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Change in patient management </w:t>
            </w:r>
          </w:p>
        </w:tc>
        <w:tc>
          <w:tcPr>
            <w:tcW w:w="1941" w:type="pct"/>
            <w:tcBorders>
              <w:top w:val="single" w:sz="4" w:space="0" w:color="auto"/>
              <w:left w:val="single" w:sz="4" w:space="0" w:color="auto"/>
              <w:bottom w:val="single" w:sz="4" w:space="0" w:color="auto"/>
              <w:right w:val="single" w:sz="4" w:space="0" w:color="auto"/>
            </w:tcBorders>
            <w:hideMark/>
          </w:tcPr>
          <w:p w14:paraId="50EB48F3"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2 studies provided evidence for a change in management</w:t>
            </w:r>
          </w:p>
          <w:p w14:paraId="6D5A7209" w14:textId="77777777" w:rsidR="00087216" w:rsidRPr="00630A71" w:rsidRDefault="00087216">
            <w:pPr>
              <w:keepNext/>
              <w:widowControl w:val="0"/>
              <w:spacing w:before="40" w:after="40"/>
              <w:ind w:left="270"/>
              <w:jc w:val="left"/>
              <w:rPr>
                <w:rFonts w:ascii="Arial Narrow" w:hAnsi="Arial Narrow"/>
                <w:sz w:val="20"/>
              </w:rPr>
            </w:pPr>
            <w:r w:rsidRPr="00630A71">
              <w:rPr>
                <w:rFonts w:ascii="Arial Narrow" w:hAnsi="Arial Narrow"/>
                <w:sz w:val="20"/>
              </w:rPr>
              <w:t>1 cross-sectional survey</w:t>
            </w:r>
          </w:p>
          <w:p w14:paraId="41D5A25B" w14:textId="77777777" w:rsidR="00087216" w:rsidRPr="00630A71" w:rsidRDefault="00087216">
            <w:pPr>
              <w:keepNext/>
              <w:widowControl w:val="0"/>
              <w:spacing w:before="40" w:after="40"/>
              <w:ind w:left="270"/>
              <w:jc w:val="left"/>
              <w:rPr>
                <w:rFonts w:ascii="Arial Narrow" w:hAnsi="Arial Narrow"/>
                <w:sz w:val="20"/>
              </w:rPr>
            </w:pPr>
            <w:r w:rsidRPr="00630A71">
              <w:rPr>
                <w:rFonts w:ascii="Arial Narrow" w:hAnsi="Arial Narrow"/>
                <w:sz w:val="20"/>
              </w:rPr>
              <w:t>1 prospective cohort study</w:t>
            </w:r>
          </w:p>
        </w:tc>
        <w:tc>
          <w:tcPr>
            <w:tcW w:w="943" w:type="pct"/>
            <w:tcBorders>
              <w:top w:val="single" w:sz="4" w:space="0" w:color="auto"/>
              <w:left w:val="single" w:sz="4" w:space="0" w:color="auto"/>
              <w:bottom w:val="single" w:sz="4" w:space="0" w:color="auto"/>
              <w:right w:val="single" w:sz="4" w:space="0" w:color="auto"/>
            </w:tcBorders>
            <w:hideMark/>
          </w:tcPr>
          <w:p w14:paraId="3BC243DE"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k=2</w:t>
            </w:r>
            <w:r w:rsidRPr="00630A71">
              <w:rPr>
                <w:rFonts w:ascii="Arial Narrow" w:hAnsi="Arial Narrow"/>
                <w:sz w:val="20"/>
              </w:rPr>
              <w:tab/>
              <w:t>n=215 centres, 99 patients</w:t>
            </w:r>
          </w:p>
        </w:tc>
        <w:tc>
          <w:tcPr>
            <w:tcW w:w="865" w:type="pct"/>
            <w:tcBorders>
              <w:top w:val="single" w:sz="4" w:space="0" w:color="auto"/>
              <w:left w:val="single" w:sz="4" w:space="0" w:color="auto"/>
              <w:bottom w:val="single" w:sz="4" w:space="0" w:color="auto"/>
              <w:right w:val="single" w:sz="4" w:space="0" w:color="auto"/>
            </w:tcBorders>
            <w:hideMark/>
          </w:tcPr>
          <w:p w14:paraId="26B26814"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assessed </w:t>
            </w:r>
          </w:p>
        </w:tc>
        <w:tc>
          <w:tcPr>
            <w:tcW w:w="600" w:type="pct"/>
            <w:tcBorders>
              <w:top w:val="single" w:sz="4" w:space="0" w:color="auto"/>
              <w:left w:val="single" w:sz="4" w:space="0" w:color="auto"/>
              <w:bottom w:val="single" w:sz="4" w:space="0" w:color="auto"/>
              <w:right w:val="single" w:sz="4" w:space="0" w:color="auto"/>
            </w:tcBorders>
          </w:tcPr>
          <w:p w14:paraId="254F853C"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modelled. </w:t>
            </w:r>
          </w:p>
        </w:tc>
      </w:tr>
      <w:tr w:rsidR="00087216" w:rsidRPr="00630A71" w14:paraId="3DDEF443" w14:textId="77777777">
        <w:trPr>
          <w:cantSplit/>
        </w:trPr>
        <w:tc>
          <w:tcPr>
            <w:tcW w:w="651" w:type="pct"/>
            <w:tcBorders>
              <w:top w:val="single" w:sz="4" w:space="0" w:color="auto"/>
              <w:left w:val="single" w:sz="4" w:space="0" w:color="auto"/>
              <w:bottom w:val="nil"/>
              <w:right w:val="single" w:sz="4" w:space="0" w:color="auto"/>
            </w:tcBorders>
            <w:hideMark/>
          </w:tcPr>
          <w:p w14:paraId="671E1ABF"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Health outcomes (clinical utility) </w:t>
            </w:r>
          </w:p>
        </w:tc>
        <w:tc>
          <w:tcPr>
            <w:tcW w:w="1941" w:type="pct"/>
            <w:tcBorders>
              <w:top w:val="single" w:sz="4" w:space="0" w:color="auto"/>
              <w:left w:val="single" w:sz="4" w:space="0" w:color="auto"/>
              <w:bottom w:val="nil"/>
              <w:right w:val="single" w:sz="4" w:space="0" w:color="auto"/>
            </w:tcBorders>
          </w:tcPr>
          <w:p w14:paraId="08F4EDC7"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No evidence presented</w:t>
            </w:r>
          </w:p>
        </w:tc>
        <w:tc>
          <w:tcPr>
            <w:tcW w:w="943" w:type="pct"/>
            <w:tcBorders>
              <w:top w:val="single" w:sz="4" w:space="0" w:color="auto"/>
              <w:left w:val="single" w:sz="4" w:space="0" w:color="auto"/>
              <w:bottom w:val="nil"/>
              <w:right w:val="single" w:sz="4" w:space="0" w:color="auto"/>
            </w:tcBorders>
          </w:tcPr>
          <w:p w14:paraId="37529D59"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w:t>
            </w:r>
            <w:r w:rsidRPr="00630A71">
              <w:rPr>
                <w:rFonts w:ascii="Arial Narrow" w:hAnsi="Arial Narrow"/>
                <w:sz w:val="20"/>
              </w:rPr>
              <w:tab/>
              <w:t>n=</w:t>
            </w:r>
          </w:p>
          <w:p w14:paraId="776B1FB1" w14:textId="77777777" w:rsidR="00087216" w:rsidRPr="00630A71" w:rsidRDefault="00087216">
            <w:pPr>
              <w:keepNext/>
              <w:widowControl w:val="0"/>
              <w:spacing w:before="40" w:after="40"/>
              <w:jc w:val="left"/>
              <w:rPr>
                <w:rFonts w:ascii="Arial Narrow" w:hAnsi="Arial Narrow"/>
                <w:sz w:val="20"/>
              </w:rPr>
            </w:pPr>
          </w:p>
        </w:tc>
        <w:tc>
          <w:tcPr>
            <w:tcW w:w="865" w:type="pct"/>
            <w:tcBorders>
              <w:top w:val="single" w:sz="4" w:space="0" w:color="auto"/>
              <w:left w:val="single" w:sz="4" w:space="0" w:color="auto"/>
              <w:bottom w:val="nil"/>
              <w:right w:val="single" w:sz="4" w:space="0" w:color="auto"/>
            </w:tcBorders>
            <w:hideMark/>
          </w:tcPr>
          <w:p w14:paraId="63ABCAA0" w14:textId="77777777" w:rsidR="00087216" w:rsidRPr="00630A71" w:rsidRDefault="00087216">
            <w:pPr>
              <w:keepNext/>
              <w:widowControl w:val="0"/>
              <w:spacing w:before="40" w:after="40"/>
              <w:jc w:val="left"/>
              <w:rPr>
                <w:rFonts w:ascii="Arial Narrow" w:hAnsi="Arial Narrow"/>
                <w:sz w:val="20"/>
              </w:rPr>
            </w:pPr>
          </w:p>
        </w:tc>
        <w:tc>
          <w:tcPr>
            <w:tcW w:w="600" w:type="pct"/>
            <w:tcBorders>
              <w:top w:val="single" w:sz="4" w:space="0" w:color="auto"/>
              <w:left w:val="single" w:sz="4" w:space="0" w:color="auto"/>
              <w:bottom w:val="nil"/>
              <w:right w:val="single" w:sz="4" w:space="0" w:color="auto"/>
            </w:tcBorders>
          </w:tcPr>
          <w:p w14:paraId="508949BF" w14:textId="77777777" w:rsidR="00087216" w:rsidRPr="00630A71" w:rsidRDefault="00087216">
            <w:pPr>
              <w:keepNext/>
              <w:widowControl w:val="0"/>
              <w:spacing w:before="40" w:after="40"/>
              <w:jc w:val="left"/>
              <w:rPr>
                <w:rFonts w:ascii="Arial Narrow" w:hAnsi="Arial Narrow"/>
                <w:sz w:val="20"/>
              </w:rPr>
            </w:pPr>
          </w:p>
        </w:tc>
      </w:tr>
      <w:tr w:rsidR="00087216" w:rsidRPr="00630A71" w14:paraId="258A1765" w14:textId="77777777">
        <w:trPr>
          <w:cantSplit/>
        </w:trPr>
        <w:tc>
          <w:tcPr>
            <w:tcW w:w="651" w:type="pct"/>
            <w:tcBorders>
              <w:top w:val="nil"/>
              <w:left w:val="single" w:sz="4" w:space="0" w:color="auto"/>
              <w:bottom w:val="nil"/>
              <w:right w:val="single" w:sz="4" w:space="0" w:color="auto"/>
            </w:tcBorders>
          </w:tcPr>
          <w:p w14:paraId="2D4D79F2"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Predictive effect (treatment effect variation) </w:t>
            </w:r>
          </w:p>
        </w:tc>
        <w:tc>
          <w:tcPr>
            <w:tcW w:w="1941" w:type="pct"/>
            <w:tcBorders>
              <w:top w:val="nil"/>
              <w:left w:val="single" w:sz="4" w:space="0" w:color="auto"/>
              <w:bottom w:val="nil"/>
              <w:right w:val="single" w:sz="4" w:space="0" w:color="auto"/>
            </w:tcBorders>
          </w:tcPr>
          <w:p w14:paraId="104BF6F5"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No evidence presented</w:t>
            </w:r>
          </w:p>
        </w:tc>
        <w:tc>
          <w:tcPr>
            <w:tcW w:w="943" w:type="pct"/>
            <w:tcBorders>
              <w:top w:val="nil"/>
              <w:left w:val="single" w:sz="4" w:space="0" w:color="auto"/>
              <w:bottom w:val="nil"/>
              <w:right w:val="single" w:sz="4" w:space="0" w:color="auto"/>
            </w:tcBorders>
          </w:tcPr>
          <w:p w14:paraId="4D4DD7C4"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w:t>
            </w:r>
            <w:r w:rsidRPr="00630A71">
              <w:rPr>
                <w:rFonts w:ascii="Arial Narrow" w:hAnsi="Arial Narrow"/>
                <w:sz w:val="20"/>
              </w:rPr>
              <w:tab/>
              <w:t>n=</w:t>
            </w:r>
          </w:p>
          <w:p w14:paraId="3E5B4DF9" w14:textId="77777777" w:rsidR="00087216" w:rsidRPr="00630A71" w:rsidRDefault="00087216">
            <w:pPr>
              <w:keepNext/>
              <w:widowControl w:val="0"/>
              <w:spacing w:before="40" w:after="40"/>
              <w:jc w:val="left"/>
              <w:rPr>
                <w:rFonts w:ascii="Arial Narrow" w:hAnsi="Arial Narrow"/>
                <w:sz w:val="20"/>
              </w:rPr>
            </w:pPr>
          </w:p>
        </w:tc>
        <w:tc>
          <w:tcPr>
            <w:tcW w:w="865" w:type="pct"/>
            <w:tcBorders>
              <w:top w:val="nil"/>
              <w:left w:val="single" w:sz="4" w:space="0" w:color="auto"/>
              <w:bottom w:val="nil"/>
              <w:right w:val="single" w:sz="4" w:space="0" w:color="auto"/>
            </w:tcBorders>
          </w:tcPr>
          <w:p w14:paraId="4FCB2625" w14:textId="77777777" w:rsidR="00087216" w:rsidRPr="00630A71" w:rsidRDefault="00087216">
            <w:pPr>
              <w:keepNext/>
              <w:widowControl w:val="0"/>
              <w:spacing w:before="40" w:after="40"/>
              <w:jc w:val="left"/>
              <w:rPr>
                <w:rFonts w:ascii="Arial Narrow" w:hAnsi="Arial Narrow"/>
                <w:sz w:val="20"/>
              </w:rPr>
            </w:pPr>
          </w:p>
        </w:tc>
        <w:tc>
          <w:tcPr>
            <w:tcW w:w="600" w:type="pct"/>
            <w:tcBorders>
              <w:top w:val="nil"/>
              <w:left w:val="single" w:sz="4" w:space="0" w:color="auto"/>
              <w:bottom w:val="nil"/>
              <w:right w:val="single" w:sz="4" w:space="0" w:color="auto"/>
            </w:tcBorders>
          </w:tcPr>
          <w:p w14:paraId="3F83275E" w14:textId="77777777" w:rsidR="00087216" w:rsidRPr="00630A71" w:rsidRDefault="00087216">
            <w:pPr>
              <w:keepNext/>
              <w:widowControl w:val="0"/>
              <w:spacing w:before="40" w:after="40"/>
              <w:jc w:val="left"/>
              <w:rPr>
                <w:rFonts w:ascii="Arial Narrow" w:hAnsi="Arial Narrow"/>
                <w:sz w:val="20"/>
              </w:rPr>
            </w:pPr>
          </w:p>
        </w:tc>
      </w:tr>
      <w:tr w:rsidR="00087216" w:rsidRPr="00630A71" w14:paraId="6B6E74BD" w14:textId="77777777">
        <w:trPr>
          <w:cantSplit/>
        </w:trPr>
        <w:tc>
          <w:tcPr>
            <w:tcW w:w="651" w:type="pct"/>
            <w:tcBorders>
              <w:top w:val="nil"/>
              <w:left w:val="single" w:sz="4" w:space="0" w:color="auto"/>
              <w:bottom w:val="single" w:sz="4" w:space="0" w:color="auto"/>
              <w:right w:val="single" w:sz="4" w:space="0" w:color="auto"/>
            </w:tcBorders>
          </w:tcPr>
          <w:p w14:paraId="3DB033CA"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Treatment effect (enriched)</w:t>
            </w:r>
          </w:p>
        </w:tc>
        <w:tc>
          <w:tcPr>
            <w:tcW w:w="1941" w:type="pct"/>
            <w:tcBorders>
              <w:top w:val="nil"/>
              <w:left w:val="single" w:sz="4" w:space="0" w:color="auto"/>
              <w:bottom w:val="single" w:sz="4" w:space="0" w:color="auto"/>
              <w:right w:val="single" w:sz="4" w:space="0" w:color="auto"/>
            </w:tcBorders>
          </w:tcPr>
          <w:p w14:paraId="2BBFABC5"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1 key randomised controlled trial of drug vs placebo in patients that are test positive in both arms</w:t>
            </w:r>
          </w:p>
        </w:tc>
        <w:tc>
          <w:tcPr>
            <w:tcW w:w="943" w:type="pct"/>
            <w:tcBorders>
              <w:top w:val="nil"/>
              <w:left w:val="single" w:sz="4" w:space="0" w:color="auto"/>
              <w:bottom w:val="single" w:sz="4" w:space="0" w:color="auto"/>
              <w:right w:val="single" w:sz="4" w:space="0" w:color="auto"/>
            </w:tcBorders>
          </w:tcPr>
          <w:p w14:paraId="732D60CE" w14:textId="77777777" w:rsidR="00087216" w:rsidRPr="00630A71" w:rsidRDefault="00087216">
            <w:pPr>
              <w:keepNext/>
              <w:widowControl w:val="0"/>
              <w:spacing w:before="40" w:after="40"/>
              <w:jc w:val="left"/>
              <w:rPr>
                <w:rFonts w:ascii="Arial Narrow" w:hAnsi="Arial Narrow"/>
                <w:sz w:val="20"/>
              </w:rPr>
            </w:pPr>
            <w:r w:rsidRPr="00630A71">
              <w:rPr>
                <w:rFonts w:ascii="Segoe UI Symbol" w:hAnsi="Segoe UI Symbol" w:cs="Segoe UI Symbol"/>
                <w:sz w:val="20"/>
              </w:rPr>
              <w:t>☒</w:t>
            </w:r>
            <w:r w:rsidRPr="00630A71">
              <w:rPr>
                <w:rFonts w:ascii="Arial Narrow" w:hAnsi="Arial Narrow"/>
                <w:sz w:val="20"/>
              </w:rPr>
              <w:tab/>
              <w:t>k=1</w:t>
            </w:r>
            <w:r w:rsidRPr="00630A71">
              <w:rPr>
                <w:rFonts w:ascii="Arial Narrow" w:hAnsi="Arial Narrow"/>
                <w:sz w:val="20"/>
              </w:rPr>
              <w:tab/>
              <w:t>n=1,736</w:t>
            </w:r>
          </w:p>
          <w:p w14:paraId="2EE7C08A" w14:textId="77777777" w:rsidR="00087216" w:rsidRPr="00630A71" w:rsidRDefault="00087216">
            <w:pPr>
              <w:keepNext/>
              <w:widowControl w:val="0"/>
              <w:spacing w:before="40" w:after="40"/>
              <w:jc w:val="left"/>
              <w:rPr>
                <w:rFonts w:ascii="Arial Narrow" w:hAnsi="Arial Narrow"/>
                <w:sz w:val="20"/>
              </w:rPr>
            </w:pPr>
          </w:p>
        </w:tc>
        <w:tc>
          <w:tcPr>
            <w:tcW w:w="865" w:type="pct"/>
            <w:tcBorders>
              <w:top w:val="nil"/>
              <w:left w:val="single" w:sz="4" w:space="0" w:color="auto"/>
              <w:bottom w:val="single" w:sz="4" w:space="0" w:color="auto"/>
              <w:right w:val="single" w:sz="4" w:space="0" w:color="auto"/>
            </w:tcBorders>
          </w:tcPr>
          <w:p w14:paraId="0BD231CC" w14:textId="77777777" w:rsidR="00087216" w:rsidRPr="00630A71" w:rsidRDefault="00087216">
            <w:pPr>
              <w:keepNext/>
              <w:widowControl w:val="0"/>
              <w:spacing w:before="40" w:after="40"/>
              <w:jc w:val="left"/>
              <w:rPr>
                <w:rFonts w:ascii="Times New Roman" w:hAnsi="Times New Roman" w:cs="Times New Roman"/>
                <w:szCs w:val="24"/>
                <w:lang w:eastAsia="en-AU"/>
              </w:rPr>
            </w:pPr>
            <w:r w:rsidRPr="00630A71">
              <w:rPr>
                <w:rFonts w:ascii="Arial Narrow" w:hAnsi="Arial Narrow"/>
                <w:sz w:val="20"/>
              </w:rPr>
              <w:t>Uncertain</w:t>
            </w:r>
            <w:r w:rsidRPr="00630A71">
              <w:rPr>
                <w:rFonts w:ascii="Arial Narrow" w:hAnsi="Arial Narrow"/>
                <w:sz w:val="20"/>
                <w:vertAlign w:val="superscript"/>
              </w:rPr>
              <w:t>a</w:t>
            </w:r>
          </w:p>
        </w:tc>
        <w:tc>
          <w:tcPr>
            <w:tcW w:w="600" w:type="pct"/>
            <w:tcBorders>
              <w:top w:val="nil"/>
              <w:left w:val="single" w:sz="4" w:space="0" w:color="auto"/>
              <w:bottom w:val="single" w:sz="4" w:space="0" w:color="auto"/>
              <w:right w:val="single" w:sz="4" w:space="0" w:color="auto"/>
            </w:tcBorders>
          </w:tcPr>
          <w:p w14:paraId="19CD1369"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Modelled.</w:t>
            </w:r>
          </w:p>
        </w:tc>
      </w:tr>
      <w:tr w:rsidR="00087216" w:rsidRPr="00630A71" w14:paraId="4B2B6BDD" w14:textId="77777777">
        <w:trPr>
          <w:cantSplit/>
        </w:trPr>
        <w:tc>
          <w:tcPr>
            <w:tcW w:w="651" w:type="pct"/>
            <w:tcBorders>
              <w:top w:val="single" w:sz="4" w:space="0" w:color="auto"/>
              <w:left w:val="single" w:sz="4" w:space="0" w:color="auto"/>
              <w:bottom w:val="single" w:sz="4" w:space="0" w:color="auto"/>
              <w:right w:val="single" w:sz="4" w:space="0" w:color="auto"/>
            </w:tcBorders>
          </w:tcPr>
          <w:p w14:paraId="07816F73"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Other</w:t>
            </w:r>
          </w:p>
        </w:tc>
        <w:tc>
          <w:tcPr>
            <w:tcW w:w="1941" w:type="pct"/>
            <w:tcBorders>
              <w:top w:val="single" w:sz="4" w:space="0" w:color="auto"/>
              <w:left w:val="single" w:sz="4" w:space="0" w:color="auto"/>
              <w:bottom w:val="single" w:sz="4" w:space="0" w:color="auto"/>
              <w:right w:val="single" w:sz="4" w:space="0" w:color="auto"/>
            </w:tcBorders>
          </w:tcPr>
          <w:p w14:paraId="0B9D3AC4"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20 studies provided DA evidence for plasma AD biomarker testing and CSF AD biomarker testing versus Aβ-PET</w:t>
            </w:r>
          </w:p>
        </w:tc>
        <w:tc>
          <w:tcPr>
            <w:tcW w:w="943" w:type="pct"/>
            <w:tcBorders>
              <w:top w:val="single" w:sz="4" w:space="0" w:color="auto"/>
              <w:left w:val="single" w:sz="4" w:space="0" w:color="auto"/>
              <w:bottom w:val="single" w:sz="4" w:space="0" w:color="auto"/>
              <w:right w:val="single" w:sz="4" w:space="0" w:color="auto"/>
            </w:tcBorders>
          </w:tcPr>
          <w:p w14:paraId="29E41638" w14:textId="77777777" w:rsidR="00087216" w:rsidRPr="00630A71" w:rsidRDefault="00087216">
            <w:pPr>
              <w:keepNext/>
              <w:widowControl w:val="0"/>
              <w:spacing w:before="40" w:after="40"/>
              <w:jc w:val="left"/>
              <w:rPr>
                <w:rFonts w:ascii="Segoe UI Symbol" w:hAnsi="Segoe UI Symbol" w:cs="Segoe UI Symbol"/>
                <w:sz w:val="20"/>
              </w:rPr>
            </w:pPr>
            <w:r w:rsidRPr="00630A71">
              <w:rPr>
                <w:rFonts w:ascii="Segoe UI Symbol" w:hAnsi="Segoe UI Symbol" w:cs="Segoe UI Symbol"/>
                <w:sz w:val="20"/>
              </w:rPr>
              <w:t>☒</w:t>
            </w:r>
            <w:r w:rsidRPr="00630A71">
              <w:rPr>
                <w:rFonts w:ascii="Arial Narrow" w:hAnsi="Arial Narrow"/>
                <w:sz w:val="20"/>
              </w:rPr>
              <w:tab/>
              <w:t>k=20</w:t>
            </w:r>
            <w:r w:rsidRPr="00630A71">
              <w:rPr>
                <w:rFonts w:ascii="Arial Narrow" w:hAnsi="Arial Narrow"/>
                <w:sz w:val="20"/>
              </w:rPr>
              <w:tab/>
              <w:t>n=6,060</w:t>
            </w:r>
          </w:p>
        </w:tc>
        <w:tc>
          <w:tcPr>
            <w:tcW w:w="865" w:type="pct"/>
            <w:tcBorders>
              <w:top w:val="single" w:sz="4" w:space="0" w:color="auto"/>
              <w:left w:val="single" w:sz="4" w:space="0" w:color="auto"/>
              <w:bottom w:val="single" w:sz="4" w:space="0" w:color="auto"/>
              <w:right w:val="single" w:sz="4" w:space="0" w:color="auto"/>
            </w:tcBorders>
          </w:tcPr>
          <w:p w14:paraId="2E3531D8"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 xml:space="preserve">Not assessed </w:t>
            </w:r>
          </w:p>
        </w:tc>
        <w:tc>
          <w:tcPr>
            <w:tcW w:w="600" w:type="pct"/>
            <w:tcBorders>
              <w:top w:val="single" w:sz="4" w:space="0" w:color="auto"/>
              <w:left w:val="single" w:sz="4" w:space="0" w:color="auto"/>
              <w:bottom w:val="single" w:sz="4" w:space="0" w:color="auto"/>
              <w:right w:val="single" w:sz="4" w:space="0" w:color="auto"/>
            </w:tcBorders>
          </w:tcPr>
          <w:p w14:paraId="49C5FA98" w14:textId="77777777" w:rsidR="00087216" w:rsidRPr="00630A71" w:rsidRDefault="00087216">
            <w:pPr>
              <w:keepNext/>
              <w:widowControl w:val="0"/>
              <w:spacing w:before="40" w:after="40"/>
              <w:jc w:val="left"/>
              <w:rPr>
                <w:rFonts w:ascii="Arial Narrow" w:hAnsi="Arial Narrow"/>
                <w:sz w:val="20"/>
              </w:rPr>
            </w:pPr>
            <w:r w:rsidRPr="00630A71">
              <w:rPr>
                <w:rFonts w:ascii="Arial Narrow" w:hAnsi="Arial Narrow"/>
                <w:sz w:val="20"/>
              </w:rPr>
              <w:t>Not modelled.</w:t>
            </w:r>
          </w:p>
        </w:tc>
      </w:tr>
    </w:tbl>
    <w:p w14:paraId="5BD5E489" w14:textId="77777777" w:rsidR="00087216" w:rsidRPr="00EE0EEB" w:rsidRDefault="00087216" w:rsidP="00087216">
      <w:pPr>
        <w:pStyle w:val="TableFooter"/>
        <w:keepNext/>
      </w:pPr>
      <w:r w:rsidRPr="00EE0EEB">
        <w:t xml:space="preserve">NHMRC levels of evidence: URL:  </w:t>
      </w:r>
      <w:hyperlink r:id="rId12" w:history="1">
        <w:r w:rsidRPr="00EE0EEB">
          <w:rPr>
            <w:u w:val="single"/>
          </w:rPr>
          <w:t>https://www.mja.com.au/sites/default/files/NHMRC.levels.of.evidence.2008-09.pdf</w:t>
        </w:r>
      </w:hyperlink>
      <w:r w:rsidRPr="00EE0EEB">
        <w:t xml:space="preserve"> </w:t>
      </w:r>
    </w:p>
    <w:p w14:paraId="37AD4126" w14:textId="77777777" w:rsidR="00087216" w:rsidRPr="00EE0EEB" w:rsidRDefault="00087216" w:rsidP="00087216">
      <w:pPr>
        <w:pStyle w:val="TableFooter"/>
        <w:keepNext/>
      </w:pPr>
      <w:r w:rsidRPr="00EE0EEB">
        <w:t>Diagnostic accuracy levels of evidence: level III-1 = a study of test accuracy with an independent, blinded comparison with a valid reference standard, among non-consecutive persons with a defined clinical presentation; level III-2 = a comparison with reference standard that does not meet the criteria required for Level II and III-1 evidence; level III-3 = a diagnostic case-control study.</w:t>
      </w:r>
    </w:p>
    <w:p w14:paraId="0CA91F6E" w14:textId="77777777" w:rsidR="00087216" w:rsidRPr="00EE0EEB" w:rsidRDefault="00087216" w:rsidP="00087216">
      <w:pPr>
        <w:pStyle w:val="TableFooter"/>
        <w:keepNext/>
      </w:pPr>
      <w:r w:rsidRPr="00EE0EEB">
        <w:t>Prognostic studies: level II = a prospective cohort study; level III-3 = a retrospective cohort study; level IV = a case series, or cohort study of persons at different stages of disease.</w:t>
      </w:r>
    </w:p>
    <w:p w14:paraId="4F278385" w14:textId="77777777" w:rsidR="00087216" w:rsidRPr="00EE0EEB" w:rsidRDefault="00087216" w:rsidP="00087216">
      <w:pPr>
        <w:pStyle w:val="TableFooter"/>
        <w:keepNext/>
      </w:pPr>
      <w:r w:rsidRPr="00EE0EEB">
        <w:rPr>
          <w:vertAlign w:val="superscript"/>
        </w:rPr>
        <w:t>a</w:t>
      </w:r>
      <w:r>
        <w:rPr>
          <w:vertAlign w:val="superscript"/>
        </w:rPr>
        <w:t xml:space="preserve"> </w:t>
      </w:r>
      <w:r w:rsidRPr="00EE0EEB">
        <w:t xml:space="preserve">As assessed by the </w:t>
      </w:r>
      <w:r>
        <w:t>evaluators</w:t>
      </w:r>
    </w:p>
    <w:p w14:paraId="39ED66E0" w14:textId="77777777" w:rsidR="00087216" w:rsidRPr="00EE0EEB" w:rsidRDefault="00087216" w:rsidP="00087216">
      <w:pPr>
        <w:pStyle w:val="TableFooter"/>
        <w:keepNext/>
      </w:pPr>
      <w:r w:rsidRPr="00EE0EEB">
        <w:t>Source</w:t>
      </w:r>
      <w:r w:rsidRPr="00A0628A">
        <w:t xml:space="preserve">: </w:t>
      </w:r>
      <w:r w:rsidRPr="00EE0EEB">
        <w:t>constructed during evaluation</w:t>
      </w:r>
    </w:p>
    <w:p w14:paraId="311D8614" w14:textId="2C2C7972" w:rsidR="00AF6F08" w:rsidRPr="00AF6F08" w:rsidRDefault="00087216" w:rsidP="00AF6F08">
      <w:pPr>
        <w:pStyle w:val="3-BodyText"/>
        <w:numPr>
          <w:ilvl w:val="0"/>
          <w:numId w:val="0"/>
        </w:numPr>
        <w:spacing w:before="60" w:after="60"/>
        <w:rPr>
          <w:rFonts w:ascii="Arial Narrow" w:hAnsi="Arial Narrow"/>
          <w:sz w:val="18"/>
          <w:szCs w:val="18"/>
        </w:rPr>
      </w:pPr>
      <w:r w:rsidRPr="00AF6F08">
        <w:rPr>
          <w:rFonts w:ascii="Arial Narrow" w:hAnsi="Arial Narrow"/>
          <w:sz w:val="18"/>
          <w:szCs w:val="18"/>
        </w:rPr>
        <w:t xml:space="preserve">Aβ-PET = amyloid-beta positron emission tomography; ARIA = amyloid-related imaging abnormalities; DA = diagnostic accuracy; CSF = cerebrospinal fluid; k=number of studies, MRI = magnetic resonance imaging; n=number of patients; NHMRC = National Health and Medical Research Council; SR = </w:t>
      </w:r>
      <w:r w:rsidRPr="00AF6F08">
        <w:rPr>
          <w:rFonts w:ascii="Arial Narrow" w:hAnsi="Arial Narrow"/>
          <w:sz w:val="18"/>
          <w:szCs w:val="22"/>
        </w:rPr>
        <w:t>systematic review</w:t>
      </w:r>
    </w:p>
    <w:p w14:paraId="35A16605" w14:textId="2FE96398" w:rsidR="00087216" w:rsidRPr="00630A71" w:rsidRDefault="00087216" w:rsidP="00087216">
      <w:pPr>
        <w:pStyle w:val="3-BodyText"/>
        <w:numPr>
          <w:ilvl w:val="1"/>
          <w:numId w:val="23"/>
        </w:numPr>
        <w:spacing w:before="60" w:after="60"/>
        <w:ind w:left="709" w:hanging="709"/>
      </w:pPr>
      <w:r w:rsidRPr="00EE0EEB">
        <w:lastRenderedPageBreak/>
        <w:t xml:space="preserve">No evidence has been provided on the performance of the drug in a test negative population. </w:t>
      </w:r>
      <w:r w:rsidRPr="00630A71">
        <w:t>This is acceptable as the mechanism of the proposed medicine is to reduce the biomarker brain amyloid.</w:t>
      </w:r>
    </w:p>
    <w:p w14:paraId="0BD39C45" w14:textId="48B36593" w:rsidR="00087216" w:rsidRPr="00EE0EEB" w:rsidRDefault="004610B5" w:rsidP="00087216">
      <w:pPr>
        <w:pStyle w:val="Caption"/>
      </w:pPr>
      <w:r>
        <w:t xml:space="preserve">Table </w:t>
      </w:r>
      <w:r>
        <w:fldChar w:fldCharType="begin"/>
      </w:r>
      <w:r>
        <w:instrText xml:space="preserve"> SEQ Table \* ARABIC </w:instrText>
      </w:r>
      <w:r>
        <w:fldChar w:fldCharType="separate"/>
      </w:r>
      <w:r w:rsidR="00392423">
        <w:rPr>
          <w:noProof/>
        </w:rPr>
        <w:t>4</w:t>
      </w:r>
      <w:r>
        <w:fldChar w:fldCharType="end"/>
      </w:r>
      <w:r>
        <w:t xml:space="preserve">: </w:t>
      </w:r>
      <w:r w:rsidR="00087216" w:rsidRPr="00EE0EEB">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 Data availability to inform comparisons"/>
      </w:tblPr>
      <w:tblGrid>
        <w:gridCol w:w="2193"/>
        <w:gridCol w:w="3134"/>
        <w:gridCol w:w="3689"/>
      </w:tblGrid>
      <w:tr w:rsidR="00087216" w:rsidRPr="00EE0EEB" w14:paraId="0A14E6C5" w14:textId="77777777">
        <w:tc>
          <w:tcPr>
            <w:tcW w:w="1216" w:type="pct"/>
            <w:tcBorders>
              <w:top w:val="single" w:sz="4" w:space="0" w:color="000000"/>
              <w:left w:val="single" w:sz="4" w:space="0" w:color="000000"/>
              <w:bottom w:val="single" w:sz="4" w:space="0" w:color="000000"/>
              <w:right w:val="single" w:sz="4" w:space="0" w:color="000000"/>
            </w:tcBorders>
          </w:tcPr>
          <w:p w14:paraId="501EBD5C" w14:textId="77777777" w:rsidR="00087216" w:rsidRPr="00EE0EEB" w:rsidRDefault="00087216">
            <w:pPr>
              <w:pStyle w:val="TableText"/>
              <w:keepNext/>
              <w:rPr>
                <w:b/>
                <w:bCs/>
              </w:rPr>
            </w:pPr>
          </w:p>
        </w:tc>
        <w:tc>
          <w:tcPr>
            <w:tcW w:w="1738" w:type="pct"/>
            <w:tcBorders>
              <w:top w:val="single" w:sz="4" w:space="0" w:color="000000"/>
              <w:left w:val="single" w:sz="4" w:space="0" w:color="000000"/>
              <w:bottom w:val="single" w:sz="4" w:space="0" w:color="000000"/>
              <w:right w:val="single" w:sz="4" w:space="0" w:color="000000"/>
            </w:tcBorders>
            <w:hideMark/>
          </w:tcPr>
          <w:p w14:paraId="46535866" w14:textId="77777777" w:rsidR="00087216" w:rsidRPr="00EE0EEB" w:rsidRDefault="00087216">
            <w:pPr>
              <w:pStyle w:val="TableText"/>
              <w:keepNext/>
              <w:rPr>
                <w:b/>
                <w:bCs/>
              </w:rPr>
            </w:pPr>
            <w:r w:rsidRPr="00EE0EEB">
              <w:rPr>
                <w:b/>
              </w:rPr>
              <w:t>Donanemab plus standard of care</w:t>
            </w:r>
          </w:p>
        </w:tc>
        <w:tc>
          <w:tcPr>
            <w:tcW w:w="2046" w:type="pct"/>
            <w:tcBorders>
              <w:top w:val="single" w:sz="4" w:space="0" w:color="000000"/>
              <w:left w:val="single" w:sz="4" w:space="0" w:color="000000"/>
              <w:bottom w:val="single" w:sz="4" w:space="0" w:color="000000"/>
              <w:right w:val="single" w:sz="4" w:space="0" w:color="000000"/>
            </w:tcBorders>
            <w:hideMark/>
          </w:tcPr>
          <w:p w14:paraId="06732311" w14:textId="77777777" w:rsidR="00087216" w:rsidRPr="00EE0EEB" w:rsidRDefault="00087216">
            <w:pPr>
              <w:pStyle w:val="TableText"/>
              <w:keepNext/>
              <w:rPr>
                <w:b/>
                <w:bCs/>
              </w:rPr>
            </w:pPr>
            <w:r w:rsidRPr="00EE0EEB">
              <w:rPr>
                <w:b/>
              </w:rPr>
              <w:t>Standard of care</w:t>
            </w:r>
          </w:p>
        </w:tc>
      </w:tr>
      <w:tr w:rsidR="00087216" w:rsidRPr="00EE0EEB" w14:paraId="4DBB19E0" w14:textId="77777777">
        <w:tc>
          <w:tcPr>
            <w:tcW w:w="1216" w:type="pct"/>
            <w:tcBorders>
              <w:top w:val="single" w:sz="4" w:space="0" w:color="000000"/>
              <w:left w:val="single" w:sz="4" w:space="0" w:color="000000"/>
              <w:bottom w:val="single" w:sz="4" w:space="0" w:color="000000"/>
              <w:right w:val="single" w:sz="4" w:space="0" w:color="000000"/>
            </w:tcBorders>
            <w:hideMark/>
          </w:tcPr>
          <w:p w14:paraId="5EE5D1C1" w14:textId="77777777" w:rsidR="00087216" w:rsidRPr="00EE0EEB" w:rsidRDefault="00087216">
            <w:pPr>
              <w:pStyle w:val="TableText"/>
              <w:keepNext/>
            </w:pPr>
            <w:r w:rsidRPr="00EE0EEB">
              <w:t>Biomarker test positive</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31ACD02D" w14:textId="77777777" w:rsidR="00087216" w:rsidRPr="00EE0EEB" w:rsidRDefault="00087216">
            <w:pPr>
              <w:pStyle w:val="TableText"/>
              <w:keepNext/>
            </w:pPr>
            <w:r w:rsidRPr="00EE0EEB">
              <w:t>TB-2</w:t>
            </w:r>
          </w:p>
        </w:tc>
      </w:tr>
      <w:tr w:rsidR="00087216" w:rsidRPr="00EE0EEB" w14:paraId="0F4ABE69" w14:textId="77777777">
        <w:tc>
          <w:tcPr>
            <w:tcW w:w="1216" w:type="pct"/>
            <w:tcBorders>
              <w:top w:val="single" w:sz="4" w:space="0" w:color="000000"/>
              <w:left w:val="single" w:sz="4" w:space="0" w:color="000000"/>
              <w:bottom w:val="single" w:sz="4" w:space="0" w:color="000000"/>
              <w:right w:val="single" w:sz="4" w:space="0" w:color="000000"/>
            </w:tcBorders>
            <w:hideMark/>
          </w:tcPr>
          <w:p w14:paraId="1DDC83D0" w14:textId="77777777" w:rsidR="00087216" w:rsidRPr="00EE0EEB" w:rsidRDefault="00087216">
            <w:pPr>
              <w:pStyle w:val="TableText"/>
              <w:keepNext/>
            </w:pPr>
            <w:r w:rsidRPr="00EE0EEB">
              <w:t>Biomarker test negative</w:t>
            </w:r>
            <w:r w:rsidRPr="00EE0EEB">
              <w:rPr>
                <w:b/>
              </w:rPr>
              <w:t xml:space="preserve"> </w:t>
            </w:r>
          </w:p>
        </w:tc>
        <w:tc>
          <w:tcPr>
            <w:tcW w:w="1738" w:type="pct"/>
            <w:tcBorders>
              <w:top w:val="single" w:sz="4" w:space="0" w:color="000000"/>
              <w:left w:val="single" w:sz="4" w:space="0" w:color="000000"/>
              <w:bottom w:val="single" w:sz="4" w:space="0" w:color="000000"/>
              <w:right w:val="single" w:sz="4" w:space="0" w:color="000000"/>
            </w:tcBorders>
            <w:hideMark/>
          </w:tcPr>
          <w:p w14:paraId="2FB98972" w14:textId="77777777" w:rsidR="00087216" w:rsidRPr="00EE0EEB" w:rsidRDefault="00087216">
            <w:pPr>
              <w:pStyle w:val="TableText"/>
              <w:keepNext/>
            </w:pPr>
            <w:r w:rsidRPr="00EE0EEB">
              <w:t>No evidence presented</w:t>
            </w:r>
          </w:p>
        </w:tc>
        <w:tc>
          <w:tcPr>
            <w:tcW w:w="2046" w:type="pct"/>
            <w:tcBorders>
              <w:top w:val="single" w:sz="4" w:space="0" w:color="000000"/>
              <w:left w:val="single" w:sz="4" w:space="0" w:color="000000"/>
              <w:bottom w:val="single" w:sz="4" w:space="0" w:color="000000"/>
              <w:right w:val="single" w:sz="4" w:space="0" w:color="000000"/>
            </w:tcBorders>
            <w:hideMark/>
          </w:tcPr>
          <w:p w14:paraId="7BDAADCE" w14:textId="77777777" w:rsidR="00087216" w:rsidRPr="00EE0EEB" w:rsidRDefault="00087216">
            <w:pPr>
              <w:pStyle w:val="TableText"/>
              <w:keepNext/>
            </w:pPr>
            <w:r w:rsidRPr="00EE0EEB">
              <w:t>No evidence presented</w:t>
            </w:r>
          </w:p>
        </w:tc>
      </w:tr>
    </w:tbl>
    <w:p w14:paraId="77B160D5" w14:textId="6A1587F1" w:rsidR="00087216" w:rsidRDefault="00087216" w:rsidP="00087216">
      <w:pPr>
        <w:pStyle w:val="TableFooter"/>
        <w:keepNext/>
      </w:pPr>
      <w:r w:rsidRPr="00EE0EEB">
        <w:t>Source: Main body of the submission</w:t>
      </w:r>
    </w:p>
    <w:p w14:paraId="7C2CDB01" w14:textId="77777777" w:rsidR="00087216" w:rsidRPr="00087216" w:rsidRDefault="00087216" w:rsidP="00087216">
      <w:pPr>
        <w:pStyle w:val="TableFooter"/>
        <w:keepNext/>
      </w:pPr>
    </w:p>
    <w:bookmarkEnd w:id="10"/>
    <w:bookmarkEnd w:id="12"/>
    <w:p w14:paraId="3C011D99" w14:textId="31C718BD" w:rsidR="0008002E" w:rsidRPr="00EE0EEB" w:rsidRDefault="00B442C5" w:rsidP="0008002E">
      <w:pPr>
        <w:pStyle w:val="4-SubsectionHeading"/>
      </w:pPr>
      <w:r>
        <w:t>Clinical trials</w:t>
      </w:r>
    </w:p>
    <w:p w14:paraId="11D93AC5" w14:textId="77777777" w:rsidR="0008002E" w:rsidRPr="00630A71" w:rsidRDefault="0008002E" w:rsidP="00DD02B1">
      <w:pPr>
        <w:pStyle w:val="3-BodyText"/>
        <w:numPr>
          <w:ilvl w:val="1"/>
          <w:numId w:val="23"/>
        </w:numPr>
        <w:spacing w:before="60" w:after="60"/>
        <w:ind w:left="709" w:hanging="709"/>
      </w:pPr>
      <w:r w:rsidRPr="00630A71">
        <w:t>The key evidence in the submission was based on one head-to-head multicentre, randomised, double-blind, controlled 18-month Phase III trial (TRAILBLAZER-ALZ 2 [herein referred to as TB-2]) comparing the efficacy and safety of donanemab (700 mg Q4W for the first 3 doses, and 1,400 mg Q4W thereafter) with placebo in 1,736 patients with early symptomatic AD (MCI/mild dementia).</w:t>
      </w:r>
    </w:p>
    <w:p w14:paraId="55B05648" w14:textId="77777777" w:rsidR="0008002E" w:rsidRPr="00630A71" w:rsidRDefault="0008002E" w:rsidP="00DD02B1">
      <w:pPr>
        <w:pStyle w:val="3-BodyText"/>
        <w:numPr>
          <w:ilvl w:val="1"/>
          <w:numId w:val="23"/>
        </w:numPr>
        <w:spacing w:before="60" w:after="60"/>
        <w:ind w:left="709" w:hanging="709"/>
      </w:pPr>
      <w:r w:rsidRPr="00630A71">
        <w:t xml:space="preserve">The TB-2 trial enrolled patients aged 60 to 85 years, who had self-reported or informant-reported gradual and progressive change in memory function for ≥ </w:t>
      </w:r>
      <w:r>
        <w:t xml:space="preserve">6 </w:t>
      </w:r>
      <w:r w:rsidRPr="00630A71">
        <w:t>months, MMSE score of 20-28 at first visit (screening), evidence of intermediate (low/medium tau) or high brain tau burden</w:t>
      </w:r>
      <w:r w:rsidRPr="00630A71">
        <w:rPr>
          <w:rStyle w:val="FootnoteReference"/>
        </w:rPr>
        <w:footnoteReference w:id="22"/>
      </w:r>
      <w:r w:rsidRPr="00630A71">
        <w:t xml:space="preserve">, and evidence of brain amyloid burden at screening. The rationale for categorising by tau levels is that the population with high tau pathology is hypothesised to be more difficult to treat due to more advanced disease. </w:t>
      </w:r>
    </w:p>
    <w:p w14:paraId="68EAE344" w14:textId="15B31344" w:rsidR="0008002E" w:rsidRPr="00E8728C" w:rsidRDefault="0008002E" w:rsidP="00DD02B1">
      <w:pPr>
        <w:pStyle w:val="3-BodyText"/>
        <w:numPr>
          <w:ilvl w:val="1"/>
          <w:numId w:val="23"/>
        </w:numPr>
        <w:spacing w:before="60" w:after="60"/>
        <w:ind w:left="709" w:hanging="709"/>
      </w:pPr>
      <w:r w:rsidRPr="00630A71">
        <w:t xml:space="preserve">The mean MMSE score </w:t>
      </w:r>
      <w:r>
        <w:t xml:space="preserve">at baseline </w:t>
      </w:r>
      <w:r w:rsidRPr="00630A71">
        <w:t>in the overall population was 22.3</w:t>
      </w:r>
      <w:r w:rsidR="0037646F">
        <w:t>.  In</w:t>
      </w:r>
      <w:r w:rsidRPr="00630A71">
        <w:t xml:space="preserve"> the overall population</w:t>
      </w:r>
      <w:r w:rsidR="0037646F">
        <w:t xml:space="preserve"> at baseline </w:t>
      </w:r>
      <w:r w:rsidR="00D83EE3">
        <w:t>the results</w:t>
      </w:r>
      <w:r w:rsidRPr="00630A71">
        <w:t xml:space="preserve"> were as follows: MCI (MMSE</w:t>
      </w:r>
      <w:r>
        <w:t xml:space="preserve"> </w:t>
      </w:r>
      <w:r w:rsidRPr="00630A71">
        <w:t>≥</w:t>
      </w:r>
      <w:r>
        <w:t xml:space="preserve"> </w:t>
      </w:r>
      <w:r w:rsidRPr="00630A71">
        <w:t>27): n=283 (16.3%); Mild AD (MMSE</w:t>
      </w:r>
      <w:r>
        <w:t xml:space="preserve"> </w:t>
      </w:r>
      <w:r w:rsidRPr="00630A71">
        <w:t>=</w:t>
      </w:r>
      <w:r>
        <w:t xml:space="preserve"> </w:t>
      </w:r>
      <w:r w:rsidRPr="00630A71">
        <w:t>20-26): n=1,451 (83.6%); Moderate AD (MMSE</w:t>
      </w:r>
      <w:r>
        <w:t xml:space="preserve"> </w:t>
      </w:r>
      <w:r w:rsidRPr="00630A71">
        <w:t>&lt;</w:t>
      </w:r>
      <w:r>
        <w:t xml:space="preserve"> </w:t>
      </w:r>
      <w:r w:rsidRPr="00630A71">
        <w:t>20): n=1 (0.1%).</w:t>
      </w:r>
      <w:r>
        <w:t xml:space="preserve"> </w:t>
      </w:r>
    </w:p>
    <w:p w14:paraId="161DA31D" w14:textId="11B9E2FE" w:rsidR="0008002E" w:rsidRDefault="0008002E" w:rsidP="00DD02B1">
      <w:pPr>
        <w:pStyle w:val="3-BodyText"/>
        <w:numPr>
          <w:ilvl w:val="1"/>
          <w:numId w:val="23"/>
        </w:numPr>
        <w:spacing w:before="60" w:after="60"/>
        <w:ind w:left="709" w:hanging="709"/>
      </w:pPr>
      <w:bookmarkStart w:id="14" w:name="_Ref201333154"/>
      <w:r w:rsidRPr="00630A71">
        <w:t xml:space="preserve">The primary objective of the TB-2 trial was to assess the effectiveness of donanemab in slowing progression or reducing decline of AD over 76 weeks compared to placebo. The primary efficacy outcome was the change from baseline in iADRS score (range, 0-144; lower scores indicate greater impairment). </w:t>
      </w:r>
      <w:r>
        <w:t>The iADRS measures</w:t>
      </w:r>
      <w:r w:rsidRPr="00E8728C">
        <w:rPr>
          <w:bCs/>
          <w:lang w:val="en-US"/>
        </w:rPr>
        <w:t xml:space="preserve"> the impact of cognitive loss on the ability to conduct everyday activities and provides a measure of global AD severity across the AD continuum as a single summary score. The composite iADRS score comprises two underlying domains: cognitive ability and functional ability. The actual scales administered to participants in the trial were the </w:t>
      </w:r>
      <w:r w:rsidRPr="00E8728C">
        <w:rPr>
          <w:bCs/>
        </w:rPr>
        <w:t>ADAS-Cog13 (Alzheimer</w:t>
      </w:r>
      <w:r w:rsidR="00F4444C">
        <w:rPr>
          <w:bCs/>
        </w:rPr>
        <w:t>’s</w:t>
      </w:r>
      <w:r w:rsidRPr="00E8728C">
        <w:rPr>
          <w:bCs/>
        </w:rPr>
        <w:t xml:space="preserve"> Disease Assessment Scale-Cognitive subscale) </w:t>
      </w:r>
      <w:r w:rsidRPr="00E8728C">
        <w:rPr>
          <w:bCs/>
          <w:lang w:val="en-US"/>
        </w:rPr>
        <w:t>and the ADCS-ADL (</w:t>
      </w:r>
      <w:r w:rsidRPr="00E8728C">
        <w:rPr>
          <w:bCs/>
        </w:rPr>
        <w:t>Alzheimer</w:t>
      </w:r>
      <w:r w:rsidR="00F4444C">
        <w:rPr>
          <w:bCs/>
        </w:rPr>
        <w:t>’s</w:t>
      </w:r>
      <w:r w:rsidRPr="00E8728C">
        <w:rPr>
          <w:bCs/>
        </w:rPr>
        <w:t xml:space="preserve"> Disease Cooperative Study-Instrumental Activities)</w:t>
      </w:r>
      <w:r w:rsidRPr="00E8728C">
        <w:rPr>
          <w:bCs/>
          <w:lang w:val="en-US"/>
        </w:rPr>
        <w:t>.</w:t>
      </w:r>
      <w:r w:rsidRPr="00671B3B">
        <w:t xml:space="preserve"> All items of the ADAS-Cog13 and ADCS-iADL </w:t>
      </w:r>
      <w:r>
        <w:t>were</w:t>
      </w:r>
      <w:r w:rsidRPr="00671B3B">
        <w:t xml:space="preserve"> included without additional weighting of items</w:t>
      </w:r>
      <w:r>
        <w:t xml:space="preserve">, via the following formula </w:t>
      </w:r>
      <w:r w:rsidRPr="00F26308">
        <w:t>iADRS  = ADCS-iADL score-ADAS-Cog13 score + 85</w:t>
      </w:r>
      <w:r w:rsidRPr="00671B3B">
        <w:t>.</w:t>
      </w:r>
      <w:bookmarkEnd w:id="14"/>
    </w:p>
    <w:p w14:paraId="0A07493C" w14:textId="77777777" w:rsidR="0008002E" w:rsidRPr="00630A71" w:rsidRDefault="0008002E" w:rsidP="00DD02B1">
      <w:pPr>
        <w:pStyle w:val="3-BodyText"/>
        <w:numPr>
          <w:ilvl w:val="1"/>
          <w:numId w:val="23"/>
        </w:numPr>
        <w:spacing w:before="60" w:after="60"/>
        <w:ind w:left="709" w:hanging="709"/>
      </w:pPr>
      <w:r w:rsidRPr="00630A71">
        <w:lastRenderedPageBreak/>
        <w:t>The pre-specified primary analysis sets in TB-2 were the intermediate (low/medium tau) brain tau pathology subgroup and the overall population (intermediate plus high brain tau pathology).</w:t>
      </w:r>
    </w:p>
    <w:p w14:paraId="54913107" w14:textId="2B76A2F1" w:rsidR="0008002E" w:rsidRPr="00630A71" w:rsidRDefault="0008002E" w:rsidP="00DD02B1">
      <w:pPr>
        <w:pStyle w:val="3-BodyText"/>
        <w:numPr>
          <w:ilvl w:val="1"/>
          <w:numId w:val="23"/>
        </w:numPr>
        <w:spacing w:before="60" w:after="60"/>
        <w:ind w:left="709" w:hanging="709"/>
      </w:pPr>
      <w:r w:rsidRPr="00630A71">
        <w:t>Secondary outcomes included the change from baseline through Week 76 in Clinical Dementia Rating-Sum of Boxes (CDR-SB</w:t>
      </w:r>
      <w:r w:rsidRPr="00630A71">
        <w:rPr>
          <w:rStyle w:val="FootnoteReference"/>
        </w:rPr>
        <w:footnoteReference w:id="23"/>
      </w:r>
      <w:r>
        <w:t xml:space="preserve">; </w:t>
      </w:r>
      <w:r w:rsidRPr="00C175F0">
        <w:t>used in the economic evaluation),</w:t>
      </w:r>
      <w:r w:rsidRPr="00630A71">
        <w:t xml:space="preserve"> </w:t>
      </w:r>
      <w:r w:rsidRPr="00630A71">
        <w:rPr>
          <w:bCs/>
        </w:rPr>
        <w:t>Alzheimer</w:t>
      </w:r>
      <w:r w:rsidR="00F4444C">
        <w:rPr>
          <w:bCs/>
        </w:rPr>
        <w:t>’s</w:t>
      </w:r>
      <w:r w:rsidRPr="00630A71">
        <w:rPr>
          <w:bCs/>
        </w:rPr>
        <w:t xml:space="preserve"> Disease Assessment Scale-Cognitive subscale</w:t>
      </w:r>
      <w:r w:rsidRPr="00630A71">
        <w:t xml:space="preserve"> (ADAS Cog13)</w:t>
      </w:r>
      <w:r w:rsidRPr="00630A71">
        <w:rPr>
          <w:rStyle w:val="FootnoteReference"/>
        </w:rPr>
        <w:footnoteReference w:id="24"/>
      </w:r>
      <w:r w:rsidRPr="00630A71">
        <w:t>, Alzheimer</w:t>
      </w:r>
      <w:r w:rsidR="00F4444C">
        <w:t>’s</w:t>
      </w:r>
      <w:r w:rsidRPr="00630A71">
        <w:t xml:space="preserve"> Disease Cooperative Study – Instrumental Activities (ADCS-iADL)</w:t>
      </w:r>
      <w:r w:rsidRPr="00630A71">
        <w:rPr>
          <w:rStyle w:val="FootnoteReference"/>
        </w:rPr>
        <w:footnoteReference w:id="25"/>
      </w:r>
      <w:r w:rsidRPr="00630A71">
        <w:t>, Clinical Dementia Rating (CDR-G)</w:t>
      </w:r>
      <w:r w:rsidRPr="00630A71">
        <w:rPr>
          <w:rStyle w:val="FootnoteReference"/>
        </w:rPr>
        <w:footnoteReference w:id="26"/>
      </w:r>
      <w:r w:rsidRPr="00630A71">
        <w:t>, and MMSE scores</w:t>
      </w:r>
      <w:r w:rsidRPr="00630A71">
        <w:rPr>
          <w:rStyle w:val="FootnoteReference"/>
        </w:rPr>
        <w:footnoteReference w:id="27"/>
      </w:r>
      <w:r w:rsidRPr="00630A71">
        <w:t>. Additional assessments included brain amyloid plaque, brain tau deposition levels, and other biomarker and safety outcomes.</w:t>
      </w:r>
    </w:p>
    <w:p w14:paraId="6112B627" w14:textId="77777777" w:rsidR="0008002E" w:rsidRPr="00630A71" w:rsidRDefault="0008002E" w:rsidP="00DD02B1">
      <w:pPr>
        <w:pStyle w:val="3-BodyText"/>
        <w:numPr>
          <w:ilvl w:val="1"/>
          <w:numId w:val="23"/>
        </w:numPr>
        <w:spacing w:before="60" w:after="60"/>
        <w:ind w:left="709" w:hanging="709"/>
      </w:pPr>
      <w:r w:rsidRPr="00630A71">
        <w:t xml:space="preserve">There were limited data on quality of life (QoL) of patients captured in TB-2. QoL was collected in a relatively small subset of patients (N=315 in the donanemab arm). </w:t>
      </w:r>
      <w:r w:rsidRPr="00630A71">
        <w:rPr>
          <w:bCs/>
        </w:rPr>
        <w:t xml:space="preserve">QoL data were also not collected for caregivers. This highlights an important limitation of the trial as the expected aim of treatment is to improve the QoL of patients and their care givers. </w:t>
      </w:r>
      <w:r w:rsidRPr="00630A71">
        <w:t>The submission noted that n</w:t>
      </w:r>
      <w:r w:rsidRPr="00630A71">
        <w:rPr>
          <w:bCs/>
        </w:rPr>
        <w:t xml:space="preserve">o mapping techniques were employed as part of the cost-effectiveness analysis as it was not appropriate to attempt to map the QoL data. </w:t>
      </w:r>
    </w:p>
    <w:p w14:paraId="25E2E37E" w14:textId="77777777" w:rsidR="0008002E" w:rsidRPr="00630A71" w:rsidRDefault="0008002E" w:rsidP="00DD02B1">
      <w:pPr>
        <w:pStyle w:val="3-BodyText"/>
        <w:numPr>
          <w:ilvl w:val="1"/>
          <w:numId w:val="23"/>
        </w:numPr>
        <w:spacing w:before="60" w:after="60"/>
        <w:ind w:left="709" w:hanging="709"/>
      </w:pPr>
      <w:r>
        <w:t>O</w:t>
      </w:r>
      <w:r w:rsidRPr="00630A71">
        <w:t>f the overall TB-2 population (N=1,736)</w:t>
      </w:r>
      <w:r>
        <w:t xml:space="preserve">, </w:t>
      </w:r>
      <w:r w:rsidRPr="00630A71">
        <w:t>1,395 patients (80%) met the eligibility criteria for the proposed TGA population (</w:t>
      </w:r>
      <w:r>
        <w:t xml:space="preserve">i.e. </w:t>
      </w:r>
      <w:r w:rsidRPr="00630A71">
        <w:t xml:space="preserve">excludes </w:t>
      </w:r>
      <w:r w:rsidRPr="00EC3037">
        <w:rPr>
          <w:i/>
          <w:iCs/>
        </w:rPr>
        <w:t>APOE4</w:t>
      </w:r>
      <w:r w:rsidRPr="00630A71">
        <w:t xml:space="preserve"> homozygotes and those with superficial siderosis and the presence of more than 2 microhaemorrhages). Results of the efficacy outcomes for the TGA population were reasonably comparable (as expected) to those of the overall patient population. Efficacy analyses for the complement to the TGA subgroup were not presented in the submission.</w:t>
      </w:r>
    </w:p>
    <w:p w14:paraId="0C3E0CC7" w14:textId="77777777" w:rsidR="0008002E" w:rsidRPr="00630A71" w:rsidRDefault="0008002E" w:rsidP="00DD02B1">
      <w:pPr>
        <w:pStyle w:val="3-BodyText"/>
        <w:numPr>
          <w:ilvl w:val="1"/>
          <w:numId w:val="23"/>
        </w:numPr>
        <w:spacing w:before="60" w:after="60"/>
        <w:ind w:left="709" w:hanging="709"/>
      </w:pPr>
      <w:r w:rsidRPr="00630A71">
        <w:t>The submission also included two additional supportive studies as outlined below</w:t>
      </w:r>
      <w:r>
        <w:t xml:space="preserve">: </w:t>
      </w:r>
    </w:p>
    <w:p w14:paraId="437CE404" w14:textId="77777777" w:rsidR="0008002E" w:rsidRPr="00630A71" w:rsidRDefault="0008002E" w:rsidP="00D84CA5">
      <w:pPr>
        <w:pStyle w:val="PBACESParagraphBulletPoint"/>
        <w:ind w:left="1080"/>
      </w:pPr>
      <w:r w:rsidRPr="00630A71">
        <w:t>TRAILBLAZER-ALZ (herein referred to as TB) was a Phase II trial comparing donanemab with placebo in 257 patients with early symptomatic AD. The objective of the TB trial was to inform the Phase III TB-2 trial. A key difference between the TB and key TB-2 trial was that in TB, patients were required to have evidence of tau deposition below a specific upper threshold</w:t>
      </w:r>
      <w:r w:rsidRPr="00630A71">
        <w:rPr>
          <w:rStyle w:val="FootnoteReference"/>
        </w:rPr>
        <w:footnoteReference w:id="28"/>
      </w:r>
      <w:r w:rsidRPr="00630A71">
        <w:t xml:space="preserve">, whilst in TB-2, there was no upper threshold for exclusion based on tau criteria. Additionally, there </w:t>
      </w:r>
      <w:r w:rsidRPr="00630A71">
        <w:lastRenderedPageBreak/>
        <w:t>were some differences in donanemab dosing once patients met treatment cessation criteria based on amyloid clearance.</w:t>
      </w:r>
    </w:p>
    <w:p w14:paraId="2944505C" w14:textId="77777777" w:rsidR="0008002E" w:rsidRPr="00630A71" w:rsidRDefault="0008002E" w:rsidP="00D84CA5">
      <w:pPr>
        <w:pStyle w:val="PBACESParagraphBulletPoint"/>
        <w:ind w:left="1080"/>
      </w:pPr>
      <w:r w:rsidRPr="00630A71">
        <w:t xml:space="preserve">TRAILBLAZER-ALZ 6 (TB-6) assessed the impact of different dose regimens of donanemab (including the standard </w:t>
      </w:r>
      <w:r>
        <w:t xml:space="preserve">and enhanced </w:t>
      </w:r>
      <w:r w:rsidRPr="00630A71">
        <w:t>dose regimen</w:t>
      </w:r>
      <w:r>
        <w:t>s</w:t>
      </w:r>
      <w:r w:rsidRPr="00630A71">
        <w:t>) on the rates of ARIA-E and on amyloid clearance in adults with early symptomatic AD. There was no placebo comparator arm in TB-6 and no clinical effectiveness outcomes were assessed in the trial.</w:t>
      </w:r>
    </w:p>
    <w:p w14:paraId="3CCBAA45" w14:textId="77777777" w:rsidR="0008002E" w:rsidRPr="00630A71" w:rsidRDefault="0008002E" w:rsidP="00DD02B1">
      <w:pPr>
        <w:pStyle w:val="3-BodyText"/>
        <w:numPr>
          <w:ilvl w:val="1"/>
          <w:numId w:val="23"/>
        </w:numPr>
        <w:spacing w:before="60" w:after="60"/>
        <w:ind w:left="709" w:hanging="709"/>
      </w:pPr>
      <w:r w:rsidRPr="00630A71">
        <w:t>Ongoing studies of donanemab include the TB EXT (NCT04640077) study (follow-on extension of the TB-2 trial) and the TB-5 trial. TB-5 is an ongoing phase III double-blind placebo-controlled trial in patients with early symptomatic AD. The eligibility criteria appear consistent with those of TB-2. The estimated study completion date of TB-5 is in April 2027.</w:t>
      </w:r>
    </w:p>
    <w:p w14:paraId="6C4FF287" w14:textId="2A639645" w:rsidR="0008002E" w:rsidRPr="00630A71" w:rsidRDefault="0008002E" w:rsidP="00DD02B1">
      <w:pPr>
        <w:pStyle w:val="3-BodyText"/>
        <w:numPr>
          <w:ilvl w:val="1"/>
          <w:numId w:val="23"/>
        </w:numPr>
        <w:spacing w:before="60" w:after="60"/>
        <w:ind w:left="709" w:hanging="709"/>
      </w:pPr>
      <w:r w:rsidRPr="00630A71">
        <w:t xml:space="preserve">Details of the studies presented in the submission are provided in </w:t>
      </w:r>
      <w:r w:rsidR="008D38DA">
        <w:fldChar w:fldCharType="begin"/>
      </w:r>
      <w:r w:rsidR="008D38DA">
        <w:instrText xml:space="preserve"> REF _Ref204779817 \h </w:instrText>
      </w:r>
      <w:r w:rsidR="008D38DA">
        <w:fldChar w:fldCharType="separate"/>
      </w:r>
      <w:r w:rsidR="00392423">
        <w:t xml:space="preserve">Table </w:t>
      </w:r>
      <w:r w:rsidR="00392423">
        <w:rPr>
          <w:noProof/>
        </w:rPr>
        <w:t>5</w:t>
      </w:r>
      <w:r w:rsidR="008D38DA">
        <w:fldChar w:fldCharType="end"/>
      </w:r>
      <w:r w:rsidRPr="00630A71">
        <w:t xml:space="preserve"> below.</w:t>
      </w:r>
    </w:p>
    <w:p w14:paraId="52182099" w14:textId="58E1BB7D" w:rsidR="0008002E" w:rsidRPr="00EE0EEB" w:rsidRDefault="008D38DA" w:rsidP="000A0F04">
      <w:pPr>
        <w:pStyle w:val="Caption"/>
      </w:pPr>
      <w:bookmarkStart w:id="15" w:name="_Ref204779817"/>
      <w:r>
        <w:lastRenderedPageBreak/>
        <w:t xml:space="preserve">Table </w:t>
      </w:r>
      <w:r>
        <w:fldChar w:fldCharType="begin"/>
      </w:r>
      <w:r>
        <w:instrText xml:space="preserve"> SEQ Table \* ARABIC </w:instrText>
      </w:r>
      <w:r>
        <w:fldChar w:fldCharType="separate"/>
      </w:r>
      <w:r w:rsidR="00392423">
        <w:rPr>
          <w:noProof/>
        </w:rPr>
        <w:t>5</w:t>
      </w:r>
      <w:r>
        <w:fldChar w:fldCharType="end"/>
      </w:r>
      <w:bookmarkEnd w:id="15"/>
      <w:r>
        <w:t xml:space="preserve">: </w:t>
      </w:r>
      <w:r w:rsidR="0008002E" w:rsidRPr="00EE0EEB">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5: Trials and associated reports presented in the submission"/>
      </w:tblPr>
      <w:tblGrid>
        <w:gridCol w:w="1295"/>
        <w:gridCol w:w="5346"/>
        <w:gridCol w:w="2375"/>
      </w:tblGrid>
      <w:tr w:rsidR="0008002E" w:rsidRPr="00EE0EEB" w14:paraId="74BF4E75" w14:textId="77777777" w:rsidTr="00E81465">
        <w:trPr>
          <w:cantSplit/>
          <w:tblHeader/>
        </w:trPr>
        <w:tc>
          <w:tcPr>
            <w:tcW w:w="718" w:type="pct"/>
            <w:vAlign w:val="center"/>
          </w:tcPr>
          <w:p w14:paraId="02A77BA8" w14:textId="77777777" w:rsidR="0008002E" w:rsidRPr="00EE0EEB" w:rsidRDefault="0008002E" w:rsidP="00E81465">
            <w:pPr>
              <w:pStyle w:val="TableText"/>
              <w:keepNext/>
              <w:rPr>
                <w:b/>
                <w:bCs/>
              </w:rPr>
            </w:pPr>
            <w:r w:rsidRPr="00EE0EEB">
              <w:rPr>
                <w:b/>
              </w:rPr>
              <w:t>Trial ID</w:t>
            </w:r>
          </w:p>
        </w:tc>
        <w:tc>
          <w:tcPr>
            <w:tcW w:w="2965" w:type="pct"/>
            <w:vAlign w:val="center"/>
          </w:tcPr>
          <w:p w14:paraId="6E3F88FC" w14:textId="77777777" w:rsidR="0008002E" w:rsidRPr="00EE0EEB" w:rsidRDefault="0008002E" w:rsidP="00E81465">
            <w:pPr>
              <w:pStyle w:val="TableText"/>
              <w:keepNext/>
              <w:rPr>
                <w:b/>
                <w:bCs/>
              </w:rPr>
            </w:pPr>
            <w:r w:rsidRPr="00EE0EEB">
              <w:rPr>
                <w:b/>
              </w:rPr>
              <w:t>Protocol title/ Publication title</w:t>
            </w:r>
          </w:p>
        </w:tc>
        <w:tc>
          <w:tcPr>
            <w:tcW w:w="1317" w:type="pct"/>
            <w:vAlign w:val="center"/>
          </w:tcPr>
          <w:p w14:paraId="16772B28" w14:textId="77777777" w:rsidR="0008002E" w:rsidRPr="00EE0EEB" w:rsidRDefault="0008002E" w:rsidP="00E81465">
            <w:pPr>
              <w:pStyle w:val="TableText"/>
              <w:keepNext/>
              <w:rPr>
                <w:b/>
                <w:bCs/>
              </w:rPr>
            </w:pPr>
            <w:r w:rsidRPr="00EE0EEB">
              <w:rPr>
                <w:b/>
              </w:rPr>
              <w:t>Publication citation</w:t>
            </w:r>
          </w:p>
        </w:tc>
      </w:tr>
      <w:tr w:rsidR="0008002E" w:rsidRPr="00EE0EEB" w14:paraId="13FD912A" w14:textId="77777777" w:rsidTr="00E81465">
        <w:trPr>
          <w:cantSplit/>
          <w:trHeight w:val="244"/>
        </w:trPr>
        <w:tc>
          <w:tcPr>
            <w:tcW w:w="5000" w:type="pct"/>
            <w:gridSpan w:val="3"/>
          </w:tcPr>
          <w:p w14:paraId="6A31CFCB" w14:textId="77777777" w:rsidR="0008002E" w:rsidRPr="00EE0EEB" w:rsidRDefault="0008002E" w:rsidP="00E81465">
            <w:pPr>
              <w:pStyle w:val="TableText"/>
              <w:keepNext/>
              <w:rPr>
                <w:b/>
                <w:bCs/>
              </w:rPr>
            </w:pPr>
            <w:r w:rsidRPr="00EE0EEB">
              <w:rPr>
                <w:b/>
              </w:rPr>
              <w:t>Key trial</w:t>
            </w:r>
          </w:p>
        </w:tc>
      </w:tr>
      <w:tr w:rsidR="0008002E" w:rsidRPr="00EE0EEB" w14:paraId="599C2331" w14:textId="77777777" w:rsidTr="00E81465">
        <w:trPr>
          <w:cantSplit/>
          <w:trHeight w:val="1166"/>
        </w:trPr>
        <w:tc>
          <w:tcPr>
            <w:tcW w:w="718" w:type="pct"/>
            <w:vMerge w:val="restart"/>
          </w:tcPr>
          <w:p w14:paraId="01B6B9C0" w14:textId="77777777" w:rsidR="0008002E" w:rsidRPr="00EE0EEB" w:rsidRDefault="0008002E" w:rsidP="00E81465">
            <w:pPr>
              <w:pStyle w:val="TableText"/>
              <w:keepNext/>
            </w:pPr>
            <w:r w:rsidRPr="00EE0EEB">
              <w:t>TRAILBLAZER-ALZ-2 (NCT04437511)</w:t>
            </w:r>
          </w:p>
        </w:tc>
        <w:tc>
          <w:tcPr>
            <w:tcW w:w="2965" w:type="pct"/>
            <w:tcBorders>
              <w:bottom w:val="nil"/>
            </w:tcBorders>
          </w:tcPr>
          <w:p w14:paraId="5A00A4C9" w14:textId="77777777" w:rsidR="0008002E" w:rsidRPr="00EE0EEB" w:rsidRDefault="0008002E" w:rsidP="00E81465">
            <w:pPr>
              <w:pStyle w:val="TableText"/>
              <w:keepNext/>
              <w:spacing w:after="120"/>
            </w:pPr>
            <w:r w:rsidRPr="00EE0EEB">
              <w:t>Clinical Study Report (CSR): Study Number I5T-MC-AACI - A Phase 3, double-blind, placebo-controlled study to evaluate the safety and efficacy of N3pG antibody (donanemab) in patients with early symptomatic Alzheimer’s disease (AD) (mild cognitive impairment and mild dementia due to AD) with the presence of brain amyloid and tau pathology over 76 weeks of the double-blind period. Data cutoff 28 April 2023.</w:t>
            </w:r>
          </w:p>
        </w:tc>
        <w:tc>
          <w:tcPr>
            <w:tcW w:w="1317" w:type="pct"/>
            <w:tcBorders>
              <w:bottom w:val="nil"/>
            </w:tcBorders>
          </w:tcPr>
          <w:p w14:paraId="65BE890A" w14:textId="77777777" w:rsidR="0008002E" w:rsidRPr="00EE0EEB" w:rsidRDefault="0008002E" w:rsidP="00E81465">
            <w:pPr>
              <w:pStyle w:val="TableText"/>
              <w:keepNext/>
              <w:spacing w:after="120"/>
              <w:rPr>
                <w:highlight w:val="yellow"/>
              </w:rPr>
            </w:pPr>
            <w:r w:rsidRPr="00EE0EEB">
              <w:t>Assessment of Safety, Tolerability, and Efficacy of Donanemab in Early Symptomatic Alzheimer’s Disease. Main CSR (Current version 2024)</w:t>
            </w:r>
          </w:p>
        </w:tc>
      </w:tr>
      <w:tr w:rsidR="0008002E" w:rsidRPr="00EE0EEB" w14:paraId="1E40DEBB" w14:textId="77777777" w:rsidTr="00E81465">
        <w:trPr>
          <w:cantSplit/>
          <w:trHeight w:val="1166"/>
        </w:trPr>
        <w:tc>
          <w:tcPr>
            <w:tcW w:w="718" w:type="pct"/>
            <w:vMerge/>
          </w:tcPr>
          <w:p w14:paraId="55FEF17B" w14:textId="77777777" w:rsidR="0008002E" w:rsidRPr="00EE0EEB" w:rsidRDefault="0008002E" w:rsidP="00E81465">
            <w:pPr>
              <w:pStyle w:val="TableText"/>
              <w:keepNext/>
            </w:pPr>
          </w:p>
        </w:tc>
        <w:tc>
          <w:tcPr>
            <w:tcW w:w="2965" w:type="pct"/>
            <w:tcBorders>
              <w:top w:val="nil"/>
              <w:bottom w:val="nil"/>
            </w:tcBorders>
          </w:tcPr>
          <w:p w14:paraId="3082DDFE" w14:textId="77777777" w:rsidR="0008002E" w:rsidRPr="00EE0EEB" w:rsidRDefault="0008002E" w:rsidP="00E81465">
            <w:pPr>
              <w:pStyle w:val="TableText"/>
              <w:keepNext/>
              <w:spacing w:after="120"/>
            </w:pPr>
            <w:r w:rsidRPr="00EE0EEB">
              <w:t xml:space="preserve">CSR (Addendum 9): Study I5T-MC-AACI Safety addendum. Open-label extension period. Data cutoff 08 August 2023. </w:t>
            </w:r>
          </w:p>
        </w:tc>
        <w:tc>
          <w:tcPr>
            <w:tcW w:w="1317" w:type="pct"/>
            <w:tcBorders>
              <w:top w:val="nil"/>
              <w:bottom w:val="nil"/>
            </w:tcBorders>
          </w:tcPr>
          <w:p w14:paraId="278B18BD" w14:textId="77777777" w:rsidR="0008002E" w:rsidRPr="00EE0EEB" w:rsidRDefault="0008002E" w:rsidP="00E81465">
            <w:pPr>
              <w:pStyle w:val="TableText"/>
              <w:keepNext/>
              <w:spacing w:after="120"/>
            </w:pPr>
            <w:r w:rsidRPr="00EE0EEB">
              <w:t>Open-label exposure and safety data in participants with early symptomatic Alzheimer’s disease who had proof of amyloid pathology and received donanemab.</w:t>
            </w:r>
          </w:p>
        </w:tc>
      </w:tr>
      <w:tr w:rsidR="0008002E" w:rsidRPr="00EE0EEB" w14:paraId="40DD93C9" w14:textId="77777777" w:rsidTr="00E81465">
        <w:trPr>
          <w:cantSplit/>
          <w:trHeight w:val="698"/>
        </w:trPr>
        <w:tc>
          <w:tcPr>
            <w:tcW w:w="718" w:type="pct"/>
            <w:vMerge/>
            <w:vAlign w:val="center"/>
          </w:tcPr>
          <w:p w14:paraId="39AD7E21" w14:textId="77777777" w:rsidR="0008002E" w:rsidRPr="00EE0EEB" w:rsidRDefault="0008002E" w:rsidP="00E81465">
            <w:pPr>
              <w:pStyle w:val="TableText"/>
              <w:keepNext/>
              <w:rPr>
                <w:highlight w:val="yellow"/>
              </w:rPr>
            </w:pPr>
          </w:p>
        </w:tc>
        <w:tc>
          <w:tcPr>
            <w:tcW w:w="2965" w:type="pct"/>
            <w:tcBorders>
              <w:top w:val="nil"/>
              <w:bottom w:val="nil"/>
            </w:tcBorders>
          </w:tcPr>
          <w:p w14:paraId="4FCC9BCB" w14:textId="77777777" w:rsidR="0008002E" w:rsidRPr="00EE0EEB" w:rsidRDefault="0008002E" w:rsidP="00E81465">
            <w:pPr>
              <w:pStyle w:val="TableText"/>
              <w:keepNext/>
              <w:spacing w:after="120"/>
            </w:pPr>
            <w:r w:rsidRPr="00CB6EE6">
              <w:rPr>
                <w:lang w:val="de-DE"/>
              </w:rPr>
              <w:t xml:space="preserve">Mintun M., Ritchie C, et al. </w:t>
            </w:r>
            <w:r w:rsidRPr="00EE0EEB">
              <w:t>Donanemab in early symptomatic Alzheimer's Disease: Efficacy and safety in TRAILBLAZER-ALZ 2, Phase 3 Randomized Clinical Trial. 53(S1): i30-i31.</w:t>
            </w:r>
          </w:p>
        </w:tc>
        <w:tc>
          <w:tcPr>
            <w:tcW w:w="1317" w:type="pct"/>
            <w:tcBorders>
              <w:top w:val="nil"/>
              <w:bottom w:val="nil"/>
            </w:tcBorders>
          </w:tcPr>
          <w:p w14:paraId="7781927C" w14:textId="77777777" w:rsidR="0008002E" w:rsidRPr="00EE0EEB" w:rsidRDefault="0008002E" w:rsidP="00E81465">
            <w:pPr>
              <w:pStyle w:val="TableText"/>
              <w:keepNext/>
              <w:spacing w:after="120"/>
            </w:pPr>
            <w:r w:rsidRPr="00EE0EEB">
              <w:rPr>
                <w:i/>
                <w:iCs/>
              </w:rPr>
              <w:t>Age and Ageing</w:t>
            </w:r>
            <w:r w:rsidRPr="00EE0EEB">
              <w:t>. 2024; 53(S1): i30-i31.</w:t>
            </w:r>
          </w:p>
        </w:tc>
      </w:tr>
      <w:tr w:rsidR="0008002E" w:rsidRPr="00EE0EEB" w14:paraId="58CDFAE5" w14:textId="77777777" w:rsidTr="00E81465">
        <w:trPr>
          <w:cantSplit/>
        </w:trPr>
        <w:tc>
          <w:tcPr>
            <w:tcW w:w="718" w:type="pct"/>
            <w:vMerge/>
            <w:vAlign w:val="center"/>
          </w:tcPr>
          <w:p w14:paraId="0F7B5FDD" w14:textId="77777777" w:rsidR="0008002E" w:rsidRPr="00EE0EEB" w:rsidRDefault="0008002E" w:rsidP="00E81465">
            <w:pPr>
              <w:pStyle w:val="TableText"/>
              <w:keepNext/>
              <w:rPr>
                <w:highlight w:val="yellow"/>
              </w:rPr>
            </w:pPr>
          </w:p>
        </w:tc>
        <w:tc>
          <w:tcPr>
            <w:tcW w:w="2965" w:type="pct"/>
            <w:tcBorders>
              <w:top w:val="nil"/>
              <w:bottom w:val="nil"/>
            </w:tcBorders>
          </w:tcPr>
          <w:p w14:paraId="0B194C99" w14:textId="77777777" w:rsidR="0008002E" w:rsidRPr="00EE0EEB" w:rsidRDefault="0008002E" w:rsidP="00E81465">
            <w:pPr>
              <w:pStyle w:val="TableText"/>
              <w:keepNext/>
              <w:spacing w:after="120"/>
            </w:pPr>
            <w:r w:rsidRPr="00CB6EE6">
              <w:rPr>
                <w:lang w:val="de-DE"/>
              </w:rPr>
              <w:t xml:space="preserve">Sims, J. R., Zimmer J.A., et al. </w:t>
            </w:r>
            <w:r w:rsidRPr="00EE0EEB">
              <w:t>Donanemab in Early Symptomatic Alzheimer Disease: the TRAILBLAZER-ALZ 2 Randomized Clinical Trial.</w:t>
            </w:r>
          </w:p>
        </w:tc>
        <w:tc>
          <w:tcPr>
            <w:tcW w:w="1317" w:type="pct"/>
            <w:tcBorders>
              <w:top w:val="nil"/>
              <w:bottom w:val="nil"/>
            </w:tcBorders>
          </w:tcPr>
          <w:p w14:paraId="649C3C9B" w14:textId="77777777" w:rsidR="0008002E" w:rsidRPr="00EE0EEB" w:rsidRDefault="0008002E" w:rsidP="00E81465">
            <w:pPr>
              <w:pStyle w:val="TableText"/>
              <w:keepNext/>
              <w:spacing w:after="120"/>
            </w:pPr>
            <w:r w:rsidRPr="00EE0EEB">
              <w:rPr>
                <w:i/>
                <w:iCs/>
              </w:rPr>
              <w:t>JAMA</w:t>
            </w:r>
            <w:r w:rsidRPr="00EE0EEB">
              <w:t>. 2023; 330(6): 512-527.</w:t>
            </w:r>
          </w:p>
        </w:tc>
      </w:tr>
      <w:tr w:rsidR="0008002E" w:rsidRPr="00EE0EEB" w14:paraId="5BA9AE31" w14:textId="77777777" w:rsidTr="00E81465">
        <w:trPr>
          <w:cantSplit/>
        </w:trPr>
        <w:tc>
          <w:tcPr>
            <w:tcW w:w="718" w:type="pct"/>
            <w:vMerge/>
            <w:vAlign w:val="center"/>
          </w:tcPr>
          <w:p w14:paraId="711F154E" w14:textId="77777777" w:rsidR="0008002E" w:rsidRPr="00EE0EEB" w:rsidRDefault="0008002E" w:rsidP="00E81465">
            <w:pPr>
              <w:pStyle w:val="TableText"/>
              <w:keepNext/>
              <w:rPr>
                <w:highlight w:val="yellow"/>
              </w:rPr>
            </w:pPr>
          </w:p>
        </w:tc>
        <w:tc>
          <w:tcPr>
            <w:tcW w:w="2965" w:type="pct"/>
            <w:tcBorders>
              <w:top w:val="nil"/>
              <w:bottom w:val="nil"/>
            </w:tcBorders>
          </w:tcPr>
          <w:p w14:paraId="508143AD" w14:textId="77777777" w:rsidR="0008002E" w:rsidRPr="00EE0EEB" w:rsidRDefault="0008002E" w:rsidP="00E81465">
            <w:pPr>
              <w:pStyle w:val="TableText"/>
              <w:keepNext/>
              <w:spacing w:after="120"/>
            </w:pPr>
            <w:r w:rsidRPr="00CB6EE6">
              <w:rPr>
                <w:lang w:val="de-DE"/>
              </w:rPr>
              <w:t xml:space="preserve">Zimmer J.A, et al. </w:t>
            </w:r>
            <w:r w:rsidRPr="00EE0EEB">
              <w:t>TRAILBLAZER-ALZ 2: A Phase 3 Study to Assess Safety and Efficacy of Donanemab in Early Symptomatic Alzheimer's Disease.</w:t>
            </w:r>
          </w:p>
        </w:tc>
        <w:tc>
          <w:tcPr>
            <w:tcW w:w="1317" w:type="pct"/>
            <w:tcBorders>
              <w:top w:val="nil"/>
              <w:bottom w:val="nil"/>
            </w:tcBorders>
          </w:tcPr>
          <w:p w14:paraId="0A0E24E2" w14:textId="77777777" w:rsidR="0008002E" w:rsidRPr="00EE0EEB" w:rsidRDefault="0008002E" w:rsidP="00E81465">
            <w:pPr>
              <w:pStyle w:val="TableText"/>
              <w:keepNext/>
              <w:spacing w:after="120"/>
            </w:pPr>
            <w:r w:rsidRPr="00EE0EEB">
              <w:rPr>
                <w:i/>
                <w:iCs/>
              </w:rPr>
              <w:t>Neurology</w:t>
            </w:r>
            <w:r w:rsidRPr="00EE0EEB">
              <w:t>. 2022; 98(S18)</w:t>
            </w:r>
          </w:p>
        </w:tc>
      </w:tr>
      <w:tr w:rsidR="0008002E" w:rsidRPr="00EE0EEB" w14:paraId="0E33C7F7" w14:textId="77777777" w:rsidTr="00E81465">
        <w:trPr>
          <w:cantSplit/>
        </w:trPr>
        <w:tc>
          <w:tcPr>
            <w:tcW w:w="718" w:type="pct"/>
            <w:vMerge/>
            <w:vAlign w:val="center"/>
          </w:tcPr>
          <w:p w14:paraId="178C8191" w14:textId="77777777" w:rsidR="0008002E" w:rsidRPr="00EE0EEB" w:rsidRDefault="0008002E" w:rsidP="00E81465">
            <w:pPr>
              <w:pStyle w:val="TableText"/>
              <w:keepNext/>
              <w:rPr>
                <w:highlight w:val="yellow"/>
              </w:rPr>
            </w:pPr>
          </w:p>
        </w:tc>
        <w:tc>
          <w:tcPr>
            <w:tcW w:w="2965" w:type="pct"/>
            <w:tcBorders>
              <w:top w:val="nil"/>
              <w:bottom w:val="nil"/>
            </w:tcBorders>
          </w:tcPr>
          <w:p w14:paraId="04536382" w14:textId="77777777" w:rsidR="0008002E" w:rsidRPr="00EE0EEB" w:rsidRDefault="0008002E" w:rsidP="00E81465">
            <w:pPr>
              <w:pStyle w:val="TableText"/>
              <w:keepNext/>
              <w:spacing w:after="120"/>
            </w:pPr>
            <w:r w:rsidRPr="00EE0EEB">
              <w:t xml:space="preserve">Mullins G., et al. Donanemab: characterizing infusion related reactions from TRAILBLAZER-ALZ &amp; TRAILBLAZER-ALZ 2. </w:t>
            </w:r>
          </w:p>
        </w:tc>
        <w:tc>
          <w:tcPr>
            <w:tcW w:w="1317" w:type="pct"/>
            <w:tcBorders>
              <w:top w:val="nil"/>
              <w:bottom w:val="nil"/>
            </w:tcBorders>
          </w:tcPr>
          <w:p w14:paraId="0E1D1ED0" w14:textId="77777777" w:rsidR="0008002E" w:rsidRPr="00EE0EEB" w:rsidRDefault="0008002E" w:rsidP="00E81465">
            <w:pPr>
              <w:pStyle w:val="TableText"/>
              <w:keepNext/>
              <w:spacing w:after="120"/>
            </w:pPr>
            <w:r w:rsidRPr="00EE0EEB">
              <w:rPr>
                <w:i/>
                <w:iCs/>
              </w:rPr>
              <w:t>J Prev Alzheimers Dis</w:t>
            </w:r>
            <w:r w:rsidRPr="00EE0EEB">
              <w:t>. 2023; 10(S1): S99-S100</w:t>
            </w:r>
          </w:p>
        </w:tc>
      </w:tr>
      <w:tr w:rsidR="0008002E" w:rsidRPr="00EE0EEB" w14:paraId="25A00141" w14:textId="77777777" w:rsidTr="00E81465">
        <w:trPr>
          <w:cantSplit/>
        </w:trPr>
        <w:tc>
          <w:tcPr>
            <w:tcW w:w="718" w:type="pct"/>
            <w:vMerge/>
            <w:tcBorders>
              <w:bottom w:val="single" w:sz="4" w:space="0" w:color="auto"/>
            </w:tcBorders>
            <w:vAlign w:val="center"/>
          </w:tcPr>
          <w:p w14:paraId="738AFD42" w14:textId="77777777" w:rsidR="0008002E" w:rsidRPr="00EE0EEB" w:rsidRDefault="0008002E" w:rsidP="00E81465">
            <w:pPr>
              <w:pStyle w:val="TableText"/>
              <w:keepNext/>
              <w:rPr>
                <w:highlight w:val="yellow"/>
              </w:rPr>
            </w:pPr>
          </w:p>
        </w:tc>
        <w:tc>
          <w:tcPr>
            <w:tcW w:w="2965" w:type="pct"/>
            <w:tcBorders>
              <w:top w:val="nil"/>
              <w:bottom w:val="single" w:sz="4" w:space="0" w:color="auto"/>
            </w:tcBorders>
          </w:tcPr>
          <w:p w14:paraId="3622C576" w14:textId="77777777" w:rsidR="0008002E" w:rsidRPr="00EE0EEB" w:rsidRDefault="0008002E" w:rsidP="00E81465">
            <w:pPr>
              <w:pStyle w:val="TableText"/>
              <w:keepNext/>
              <w:spacing w:after="120"/>
            </w:pPr>
            <w:r w:rsidRPr="00EE0EEB">
              <w:t xml:space="preserve">Gueorguieva I., Willis B.A., et al. Donanemab Population Pharmacokinetics, Amyloid Plaque Reduction, and Safety in Participants with Alzheimer's Disease. </w:t>
            </w:r>
          </w:p>
        </w:tc>
        <w:tc>
          <w:tcPr>
            <w:tcW w:w="1317" w:type="pct"/>
            <w:tcBorders>
              <w:top w:val="nil"/>
              <w:bottom w:val="single" w:sz="4" w:space="0" w:color="auto"/>
            </w:tcBorders>
          </w:tcPr>
          <w:p w14:paraId="6EFE1CB3" w14:textId="77777777" w:rsidR="0008002E" w:rsidRPr="00EE0EEB" w:rsidRDefault="0008002E" w:rsidP="00E81465">
            <w:pPr>
              <w:pStyle w:val="TableText"/>
              <w:keepNext/>
              <w:spacing w:after="120"/>
            </w:pPr>
            <w:r w:rsidRPr="00EE0EEB">
              <w:rPr>
                <w:i/>
                <w:iCs/>
              </w:rPr>
              <w:t>Clin Pharmacol Ther</w:t>
            </w:r>
            <w:r w:rsidRPr="00EE0EEB">
              <w:t>. 2023; 113(6): 1258-1267.</w:t>
            </w:r>
          </w:p>
        </w:tc>
      </w:tr>
      <w:tr w:rsidR="0008002E" w:rsidRPr="00EE0EEB" w14:paraId="355A6BFD" w14:textId="77777777" w:rsidTr="00E81465">
        <w:trPr>
          <w:cantSplit/>
        </w:trPr>
        <w:tc>
          <w:tcPr>
            <w:tcW w:w="5000" w:type="pct"/>
            <w:gridSpan w:val="3"/>
            <w:tcBorders>
              <w:bottom w:val="single" w:sz="4" w:space="0" w:color="auto"/>
            </w:tcBorders>
            <w:vAlign w:val="center"/>
          </w:tcPr>
          <w:p w14:paraId="065CE8C4" w14:textId="77777777" w:rsidR="0008002E" w:rsidRPr="00EE0EEB" w:rsidRDefault="0008002E" w:rsidP="00E81465">
            <w:pPr>
              <w:pStyle w:val="TableText"/>
              <w:keepNext/>
              <w:rPr>
                <w:b/>
                <w:bCs/>
                <w:highlight w:val="yellow"/>
              </w:rPr>
            </w:pPr>
            <w:r w:rsidRPr="00EE0EEB">
              <w:rPr>
                <w:b/>
              </w:rPr>
              <w:t>Supportive trial</w:t>
            </w:r>
          </w:p>
        </w:tc>
      </w:tr>
      <w:tr w:rsidR="0008002E" w:rsidRPr="00EE0EEB" w14:paraId="0176AF12" w14:textId="77777777" w:rsidTr="00E81465">
        <w:trPr>
          <w:cantSplit/>
        </w:trPr>
        <w:tc>
          <w:tcPr>
            <w:tcW w:w="718" w:type="pct"/>
            <w:vMerge w:val="restart"/>
            <w:vAlign w:val="center"/>
          </w:tcPr>
          <w:p w14:paraId="68ED9902" w14:textId="77777777" w:rsidR="0008002E" w:rsidRPr="00EE0EEB" w:rsidRDefault="0008002E" w:rsidP="00E81465">
            <w:pPr>
              <w:pStyle w:val="TableText"/>
              <w:keepNext/>
            </w:pPr>
            <w:r w:rsidRPr="00EE0EEB">
              <w:t>TRAILBLAZER-ALZ (NCT03367403)</w:t>
            </w:r>
          </w:p>
        </w:tc>
        <w:tc>
          <w:tcPr>
            <w:tcW w:w="2965" w:type="pct"/>
            <w:tcBorders>
              <w:top w:val="single" w:sz="4" w:space="0" w:color="auto"/>
              <w:bottom w:val="nil"/>
            </w:tcBorders>
          </w:tcPr>
          <w:p w14:paraId="7E13C23B" w14:textId="77777777" w:rsidR="0008002E" w:rsidRPr="00EE0EEB" w:rsidRDefault="0008002E" w:rsidP="00E81465">
            <w:pPr>
              <w:pStyle w:val="TableText"/>
              <w:keepNext/>
              <w:spacing w:after="120"/>
            </w:pPr>
            <w:r w:rsidRPr="00EE0EEB">
              <w:t xml:space="preserve">Dickson S.P., et al. ‘Time Saved' As a Demonstration of Clinical Meaningfulness and Illustrated Using the Donanemab TRAILBLAZER-ALZ Study Findings. </w:t>
            </w:r>
          </w:p>
        </w:tc>
        <w:tc>
          <w:tcPr>
            <w:tcW w:w="1317" w:type="pct"/>
            <w:tcBorders>
              <w:top w:val="single" w:sz="4" w:space="0" w:color="auto"/>
              <w:bottom w:val="nil"/>
            </w:tcBorders>
          </w:tcPr>
          <w:p w14:paraId="570F4FD6" w14:textId="77777777" w:rsidR="0008002E" w:rsidRPr="00EE0EEB" w:rsidRDefault="0008002E" w:rsidP="00E81465">
            <w:pPr>
              <w:pStyle w:val="TableText"/>
              <w:keepNext/>
              <w:spacing w:after="120"/>
            </w:pPr>
            <w:r w:rsidRPr="00EE0EEB">
              <w:rPr>
                <w:i/>
                <w:iCs/>
              </w:rPr>
              <w:t>J Prev Alzheimers Dis</w:t>
            </w:r>
            <w:r w:rsidRPr="00EE0EEB">
              <w:t>. 2023; 10(3): 595-599.</w:t>
            </w:r>
          </w:p>
        </w:tc>
      </w:tr>
      <w:tr w:rsidR="0008002E" w:rsidRPr="00EE0EEB" w14:paraId="550A9ABC" w14:textId="77777777" w:rsidTr="00E81465">
        <w:trPr>
          <w:cantSplit/>
        </w:trPr>
        <w:tc>
          <w:tcPr>
            <w:tcW w:w="718" w:type="pct"/>
            <w:vMerge/>
            <w:vAlign w:val="center"/>
          </w:tcPr>
          <w:p w14:paraId="4126EF59" w14:textId="77777777" w:rsidR="0008002E" w:rsidRPr="00EE0EEB" w:rsidRDefault="0008002E" w:rsidP="00E81465">
            <w:pPr>
              <w:pStyle w:val="TableText"/>
              <w:keepNext/>
            </w:pPr>
          </w:p>
        </w:tc>
        <w:tc>
          <w:tcPr>
            <w:tcW w:w="2965" w:type="pct"/>
            <w:tcBorders>
              <w:top w:val="nil"/>
              <w:bottom w:val="nil"/>
            </w:tcBorders>
          </w:tcPr>
          <w:p w14:paraId="0DB910D0" w14:textId="77777777" w:rsidR="0008002E" w:rsidRPr="00EE0EEB" w:rsidRDefault="0008002E" w:rsidP="00E81465">
            <w:pPr>
              <w:pStyle w:val="TableText"/>
              <w:keepNext/>
              <w:spacing w:after="120"/>
            </w:pPr>
            <w:r w:rsidRPr="00EE0EEB">
              <w:t>Mintun M., Lo A.C., et al. Donanemab in early symptomatic Alzheimer's Disease.</w:t>
            </w:r>
          </w:p>
        </w:tc>
        <w:tc>
          <w:tcPr>
            <w:tcW w:w="1317" w:type="pct"/>
            <w:tcBorders>
              <w:top w:val="nil"/>
              <w:bottom w:val="nil"/>
            </w:tcBorders>
          </w:tcPr>
          <w:p w14:paraId="0FC6B496" w14:textId="77777777" w:rsidR="0008002E" w:rsidRPr="00EE0EEB" w:rsidRDefault="0008002E" w:rsidP="00E81465">
            <w:pPr>
              <w:pStyle w:val="TableText"/>
              <w:keepNext/>
              <w:spacing w:after="120"/>
            </w:pPr>
            <w:r w:rsidRPr="00EE0EEB">
              <w:rPr>
                <w:i/>
                <w:iCs/>
              </w:rPr>
              <w:t>N Engl J Med</w:t>
            </w:r>
            <w:r w:rsidRPr="00EE0EEB">
              <w:t xml:space="preserve"> 384(18). 2021; 1691-1704.</w:t>
            </w:r>
          </w:p>
        </w:tc>
      </w:tr>
      <w:tr w:rsidR="0008002E" w:rsidRPr="00EE0EEB" w14:paraId="5132B057" w14:textId="77777777" w:rsidTr="00E81465">
        <w:trPr>
          <w:cantSplit/>
        </w:trPr>
        <w:tc>
          <w:tcPr>
            <w:tcW w:w="718" w:type="pct"/>
            <w:vMerge/>
            <w:vAlign w:val="center"/>
          </w:tcPr>
          <w:p w14:paraId="12DEF9A3" w14:textId="77777777" w:rsidR="0008002E" w:rsidRPr="00EE0EEB" w:rsidRDefault="0008002E" w:rsidP="00E81465">
            <w:pPr>
              <w:pStyle w:val="TableText"/>
              <w:keepNext/>
            </w:pPr>
          </w:p>
        </w:tc>
        <w:tc>
          <w:tcPr>
            <w:tcW w:w="2965" w:type="pct"/>
            <w:tcBorders>
              <w:top w:val="nil"/>
              <w:bottom w:val="nil"/>
            </w:tcBorders>
          </w:tcPr>
          <w:p w14:paraId="0F1BA5CE" w14:textId="77777777" w:rsidR="0008002E" w:rsidRPr="00EE0EEB" w:rsidRDefault="0008002E" w:rsidP="00E81465">
            <w:pPr>
              <w:pStyle w:val="TableText"/>
              <w:keepNext/>
              <w:spacing w:after="120"/>
            </w:pPr>
            <w:r w:rsidRPr="00EE0EEB">
              <w:t xml:space="preserve">Shcherbinin S., Evans, C.D., et al. Association of Amyloid Reduction After Donanemab Treatment With Tau Pathology and Clinical Outcomes: The TRAILBLAZER-ALZ Randomized Clinical Trial. </w:t>
            </w:r>
          </w:p>
        </w:tc>
        <w:tc>
          <w:tcPr>
            <w:tcW w:w="1317" w:type="pct"/>
            <w:tcBorders>
              <w:top w:val="nil"/>
              <w:bottom w:val="nil"/>
            </w:tcBorders>
          </w:tcPr>
          <w:p w14:paraId="32B47D2B" w14:textId="77777777" w:rsidR="0008002E" w:rsidRPr="00EE0EEB" w:rsidRDefault="0008002E" w:rsidP="00E81465">
            <w:pPr>
              <w:pStyle w:val="TableText"/>
              <w:keepNext/>
              <w:spacing w:after="120"/>
            </w:pPr>
            <w:r w:rsidRPr="00EE0EEB">
              <w:rPr>
                <w:i/>
                <w:iCs/>
              </w:rPr>
              <w:t>JAMA Neurol</w:t>
            </w:r>
            <w:r w:rsidRPr="00EE0EEB">
              <w:t>. 2022; 79(10): 1015-1024.</w:t>
            </w:r>
          </w:p>
        </w:tc>
      </w:tr>
      <w:tr w:rsidR="0008002E" w:rsidRPr="00EE0EEB" w14:paraId="3E86D7BD" w14:textId="77777777" w:rsidTr="00E81465">
        <w:trPr>
          <w:cantSplit/>
        </w:trPr>
        <w:tc>
          <w:tcPr>
            <w:tcW w:w="718" w:type="pct"/>
            <w:vMerge/>
            <w:vAlign w:val="center"/>
          </w:tcPr>
          <w:p w14:paraId="20A3CBA7" w14:textId="77777777" w:rsidR="0008002E" w:rsidRPr="00EE0EEB" w:rsidRDefault="0008002E" w:rsidP="00E81465">
            <w:pPr>
              <w:pStyle w:val="TableText"/>
              <w:keepNext/>
            </w:pPr>
          </w:p>
        </w:tc>
        <w:tc>
          <w:tcPr>
            <w:tcW w:w="2965" w:type="pct"/>
            <w:tcBorders>
              <w:top w:val="nil"/>
              <w:bottom w:val="nil"/>
            </w:tcBorders>
          </w:tcPr>
          <w:p w14:paraId="46C89B89" w14:textId="77777777" w:rsidR="0008002E" w:rsidRPr="00EE0EEB" w:rsidRDefault="0008002E" w:rsidP="00E81465">
            <w:pPr>
              <w:pStyle w:val="TableText"/>
              <w:keepNext/>
              <w:spacing w:after="120"/>
            </w:pPr>
            <w:r w:rsidRPr="00CB6EE6">
              <w:rPr>
                <w:lang w:val="de-DE"/>
              </w:rPr>
              <w:t xml:space="preserve">Shcherbinin S., Andersen, S.W., et al. </w:t>
            </w:r>
            <w:r w:rsidRPr="00EE0EEB">
              <w:t xml:space="preserve">TRAILBLAZER-ALZ Study: Dynamics of amyloid reduction after donanemab treatment. </w:t>
            </w:r>
          </w:p>
        </w:tc>
        <w:tc>
          <w:tcPr>
            <w:tcW w:w="1317" w:type="pct"/>
            <w:tcBorders>
              <w:top w:val="nil"/>
              <w:bottom w:val="nil"/>
            </w:tcBorders>
          </w:tcPr>
          <w:p w14:paraId="1903B6C1" w14:textId="77777777" w:rsidR="0008002E" w:rsidRPr="00EE0EEB" w:rsidRDefault="0008002E" w:rsidP="00E81465">
            <w:pPr>
              <w:pStyle w:val="TableText"/>
              <w:keepNext/>
              <w:spacing w:after="120"/>
              <w:rPr>
                <w:i/>
                <w:iCs/>
              </w:rPr>
            </w:pPr>
            <w:r w:rsidRPr="00EE0EEB">
              <w:rPr>
                <w:i/>
                <w:iCs/>
              </w:rPr>
              <w:t>Alzheimer's and Dementia</w:t>
            </w:r>
            <w:r w:rsidRPr="00EE0EEB">
              <w:t>. 2021; 17(S9): e057492.</w:t>
            </w:r>
          </w:p>
        </w:tc>
      </w:tr>
      <w:tr w:rsidR="0008002E" w:rsidRPr="00EE0EEB" w14:paraId="124273C2" w14:textId="77777777" w:rsidTr="00E81465">
        <w:trPr>
          <w:cantSplit/>
        </w:trPr>
        <w:tc>
          <w:tcPr>
            <w:tcW w:w="718" w:type="pct"/>
            <w:vMerge/>
            <w:tcBorders>
              <w:bottom w:val="single" w:sz="4" w:space="0" w:color="auto"/>
            </w:tcBorders>
            <w:vAlign w:val="center"/>
          </w:tcPr>
          <w:p w14:paraId="560F4E64" w14:textId="77777777" w:rsidR="0008002E" w:rsidRPr="00EE0EEB" w:rsidRDefault="0008002E" w:rsidP="00E81465">
            <w:pPr>
              <w:pStyle w:val="TableText"/>
              <w:keepNext/>
            </w:pPr>
          </w:p>
        </w:tc>
        <w:tc>
          <w:tcPr>
            <w:tcW w:w="2965" w:type="pct"/>
            <w:tcBorders>
              <w:top w:val="nil"/>
              <w:bottom w:val="single" w:sz="4" w:space="0" w:color="auto"/>
            </w:tcBorders>
          </w:tcPr>
          <w:p w14:paraId="243F3F47" w14:textId="77777777" w:rsidR="0008002E" w:rsidRPr="00EE0EEB" w:rsidRDefault="0008002E" w:rsidP="00E81465">
            <w:pPr>
              <w:pStyle w:val="TableText"/>
              <w:keepNext/>
              <w:spacing w:after="120"/>
            </w:pPr>
            <w:r w:rsidRPr="00CB6EE6">
              <w:rPr>
                <w:lang w:val="de-DE"/>
              </w:rPr>
              <w:t xml:space="preserve">Shcherbinin S., Lu, M., et al. </w:t>
            </w:r>
            <w:r w:rsidRPr="00EE0EEB">
              <w:t xml:space="preserve">Flortaucipir in the trailblazer-ALZ trial. </w:t>
            </w:r>
          </w:p>
        </w:tc>
        <w:tc>
          <w:tcPr>
            <w:tcW w:w="1317" w:type="pct"/>
            <w:tcBorders>
              <w:top w:val="nil"/>
              <w:bottom w:val="single" w:sz="4" w:space="0" w:color="auto"/>
            </w:tcBorders>
          </w:tcPr>
          <w:p w14:paraId="296B3E51" w14:textId="77777777" w:rsidR="0008002E" w:rsidRPr="00DB73A6" w:rsidRDefault="0008002E" w:rsidP="00E81465">
            <w:pPr>
              <w:pStyle w:val="TableText"/>
              <w:keepNext/>
              <w:spacing w:after="120"/>
              <w:rPr>
                <w:i/>
              </w:rPr>
            </w:pPr>
            <w:r w:rsidRPr="00EE0EEB">
              <w:rPr>
                <w:i/>
                <w:iCs/>
              </w:rPr>
              <w:t>Journal of Prevention of</w:t>
            </w:r>
            <w:r w:rsidRPr="00EE0EEB">
              <w:t xml:space="preserve"> </w:t>
            </w:r>
            <w:r w:rsidRPr="00EE0EEB">
              <w:rPr>
                <w:i/>
                <w:iCs/>
              </w:rPr>
              <w:t>Alzheimer's Disease</w:t>
            </w:r>
            <w:r w:rsidRPr="00EE0EEB">
              <w:t>. 2021; 8(1): S22-S23</w:t>
            </w:r>
          </w:p>
        </w:tc>
      </w:tr>
    </w:tbl>
    <w:p w14:paraId="1A5F9426" w14:textId="77777777" w:rsidR="0008002E" w:rsidRPr="00EE0EEB" w:rsidRDefault="0008002E" w:rsidP="0008002E">
      <w:pPr>
        <w:pStyle w:val="TableFooter"/>
        <w:keepNext/>
      </w:pPr>
      <w:r w:rsidRPr="00EE0EEB">
        <w:t>Source: Table 2-35, pp158-9 of the submission</w:t>
      </w:r>
    </w:p>
    <w:p w14:paraId="5FC331E5" w14:textId="77777777" w:rsidR="0008002E" w:rsidRPr="00EE0EEB" w:rsidRDefault="0008002E" w:rsidP="0008002E">
      <w:pPr>
        <w:pStyle w:val="TableFooter"/>
      </w:pPr>
    </w:p>
    <w:p w14:paraId="7FAF7DF6" w14:textId="77777777" w:rsidR="00AF6F08" w:rsidRDefault="00AF6F08">
      <w:pPr>
        <w:spacing w:before="0" w:line="259" w:lineRule="auto"/>
        <w:jc w:val="left"/>
        <w:rPr>
          <w:rFonts w:eastAsia="Times New Roman" w:cs="Arial"/>
          <w:snapToGrid w:val="0"/>
          <w:szCs w:val="24"/>
          <w:lang w:eastAsia="en-AU"/>
        </w:rPr>
      </w:pPr>
      <w:r>
        <w:br w:type="page"/>
      </w:r>
    </w:p>
    <w:p w14:paraId="5E5E11F4" w14:textId="684C6213" w:rsidR="0008002E" w:rsidRPr="00EE0EEB" w:rsidRDefault="0008002E" w:rsidP="00DD02B1">
      <w:pPr>
        <w:pStyle w:val="3-BodyText"/>
        <w:numPr>
          <w:ilvl w:val="1"/>
          <w:numId w:val="23"/>
        </w:numPr>
        <w:spacing w:before="60" w:after="60"/>
        <w:ind w:left="709" w:hanging="709"/>
      </w:pPr>
      <w:r w:rsidRPr="00EE0EEB">
        <w:lastRenderedPageBreak/>
        <w:t xml:space="preserve">The key features of the TB-2 trial are summarised in </w:t>
      </w:r>
      <w:r w:rsidR="008D38DA">
        <w:fldChar w:fldCharType="begin"/>
      </w:r>
      <w:r w:rsidR="008D38DA">
        <w:instrText xml:space="preserve"> REF _Ref204779848 \h </w:instrText>
      </w:r>
      <w:r w:rsidR="008D38DA">
        <w:fldChar w:fldCharType="separate"/>
      </w:r>
      <w:r w:rsidR="00392423">
        <w:t xml:space="preserve">Table </w:t>
      </w:r>
      <w:r w:rsidR="00392423">
        <w:rPr>
          <w:noProof/>
        </w:rPr>
        <w:t>6</w:t>
      </w:r>
      <w:r w:rsidR="008D38DA">
        <w:fldChar w:fldCharType="end"/>
      </w:r>
      <w:r w:rsidRPr="00EE0EEB">
        <w:t xml:space="preserve">. </w:t>
      </w:r>
    </w:p>
    <w:p w14:paraId="59E3AFD5" w14:textId="2128ACC3" w:rsidR="0008002E" w:rsidRPr="00EE0EEB" w:rsidRDefault="008D38DA" w:rsidP="008D38DA">
      <w:pPr>
        <w:pStyle w:val="Caption"/>
      </w:pPr>
      <w:bookmarkStart w:id="16" w:name="_Ref204779848"/>
      <w:r>
        <w:t xml:space="preserve">Table </w:t>
      </w:r>
      <w:r>
        <w:fldChar w:fldCharType="begin"/>
      </w:r>
      <w:r>
        <w:instrText xml:space="preserve"> SEQ Table \* ARABIC </w:instrText>
      </w:r>
      <w:r>
        <w:fldChar w:fldCharType="separate"/>
      </w:r>
      <w:r w:rsidR="00392423">
        <w:rPr>
          <w:noProof/>
        </w:rPr>
        <w:t>6</w:t>
      </w:r>
      <w:r>
        <w:fldChar w:fldCharType="end"/>
      </w:r>
      <w:bookmarkEnd w:id="16"/>
      <w:r w:rsidR="00CA2AF9">
        <w:t>:</w:t>
      </w:r>
      <w:r w:rsidR="000A0F04">
        <w:t xml:space="preserve"> </w:t>
      </w:r>
      <w:r w:rsidR="0008002E" w:rsidRPr="00EE0EEB">
        <w:t>Key features of the TB-2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TB-2 trial"/>
      </w:tblPr>
      <w:tblGrid>
        <w:gridCol w:w="692"/>
        <w:gridCol w:w="1933"/>
        <w:gridCol w:w="2651"/>
        <w:gridCol w:w="1370"/>
        <w:gridCol w:w="1185"/>
        <w:gridCol w:w="1185"/>
      </w:tblGrid>
      <w:tr w:rsidR="0008002E" w:rsidRPr="00EE0EEB" w14:paraId="30C11781" w14:textId="77777777" w:rsidTr="00E81465">
        <w:trPr>
          <w:cantSplit/>
        </w:trPr>
        <w:tc>
          <w:tcPr>
            <w:tcW w:w="384" w:type="pct"/>
            <w:tcBorders>
              <w:top w:val="single" w:sz="4" w:space="0" w:color="auto"/>
              <w:left w:val="single" w:sz="4" w:space="0" w:color="auto"/>
              <w:bottom w:val="single" w:sz="4" w:space="0" w:color="auto"/>
              <w:right w:val="single" w:sz="4" w:space="0" w:color="auto"/>
            </w:tcBorders>
            <w:vAlign w:val="bottom"/>
            <w:hideMark/>
          </w:tcPr>
          <w:p w14:paraId="0EDD5154" w14:textId="77777777" w:rsidR="0008002E" w:rsidRPr="00EE0EEB" w:rsidRDefault="0008002E" w:rsidP="00E81465">
            <w:pPr>
              <w:pStyle w:val="TableText"/>
              <w:keepNext/>
              <w:rPr>
                <w:b/>
              </w:rPr>
            </w:pPr>
            <w:r w:rsidRPr="00EE0EEB">
              <w:rPr>
                <w:b/>
              </w:rPr>
              <w:t>N</w:t>
            </w:r>
          </w:p>
        </w:tc>
        <w:tc>
          <w:tcPr>
            <w:tcW w:w="1072" w:type="pct"/>
            <w:tcBorders>
              <w:top w:val="single" w:sz="4" w:space="0" w:color="auto"/>
              <w:left w:val="single" w:sz="4" w:space="0" w:color="auto"/>
              <w:bottom w:val="single" w:sz="4" w:space="0" w:color="auto"/>
              <w:right w:val="single" w:sz="4" w:space="0" w:color="auto"/>
            </w:tcBorders>
            <w:vAlign w:val="bottom"/>
            <w:hideMark/>
          </w:tcPr>
          <w:p w14:paraId="5B85B9EA" w14:textId="77777777" w:rsidR="0008002E" w:rsidRPr="00EE0EEB" w:rsidRDefault="0008002E" w:rsidP="00E81465">
            <w:pPr>
              <w:pStyle w:val="TableText"/>
              <w:keepNext/>
              <w:rPr>
                <w:b/>
              </w:rPr>
            </w:pPr>
            <w:r w:rsidRPr="00EE0EEB">
              <w:rPr>
                <w:b/>
              </w:rPr>
              <w:t>Design/ duration</w:t>
            </w:r>
          </w:p>
        </w:tc>
        <w:tc>
          <w:tcPr>
            <w:tcW w:w="1470" w:type="pct"/>
            <w:tcBorders>
              <w:top w:val="single" w:sz="4" w:space="0" w:color="auto"/>
              <w:left w:val="single" w:sz="4" w:space="0" w:color="auto"/>
              <w:bottom w:val="single" w:sz="4" w:space="0" w:color="auto"/>
              <w:right w:val="single" w:sz="4" w:space="0" w:color="auto"/>
            </w:tcBorders>
            <w:vAlign w:val="bottom"/>
            <w:hideMark/>
          </w:tcPr>
          <w:p w14:paraId="343A1AE7" w14:textId="77777777" w:rsidR="0008002E" w:rsidRPr="00EE0EEB" w:rsidRDefault="0008002E" w:rsidP="00E81465">
            <w:pPr>
              <w:pStyle w:val="TableText"/>
              <w:keepNext/>
              <w:rPr>
                <w:b/>
              </w:rPr>
            </w:pPr>
            <w:r w:rsidRPr="00EE0EEB">
              <w:rPr>
                <w:b/>
              </w:rPr>
              <w:t>Patient population</w:t>
            </w:r>
          </w:p>
        </w:tc>
        <w:tc>
          <w:tcPr>
            <w:tcW w:w="760" w:type="pct"/>
            <w:tcBorders>
              <w:top w:val="single" w:sz="4" w:space="0" w:color="auto"/>
              <w:left w:val="single" w:sz="4" w:space="0" w:color="auto"/>
              <w:bottom w:val="single" w:sz="4" w:space="0" w:color="auto"/>
              <w:right w:val="single" w:sz="4" w:space="0" w:color="auto"/>
            </w:tcBorders>
            <w:vAlign w:val="bottom"/>
            <w:hideMark/>
          </w:tcPr>
          <w:p w14:paraId="3426E20A" w14:textId="77777777" w:rsidR="0008002E" w:rsidRPr="00EE0EEB" w:rsidRDefault="0008002E" w:rsidP="00E81465">
            <w:pPr>
              <w:pStyle w:val="TableText"/>
              <w:keepNext/>
              <w:rPr>
                <w:b/>
              </w:rPr>
            </w:pPr>
            <w:r w:rsidRPr="00EE0EEB">
              <w:rPr>
                <w:b/>
              </w:rPr>
              <w:t>Outcomes</w:t>
            </w:r>
          </w:p>
        </w:tc>
        <w:tc>
          <w:tcPr>
            <w:tcW w:w="657" w:type="pct"/>
            <w:tcBorders>
              <w:top w:val="single" w:sz="4" w:space="0" w:color="auto"/>
              <w:left w:val="single" w:sz="4" w:space="0" w:color="auto"/>
              <w:bottom w:val="single" w:sz="4" w:space="0" w:color="auto"/>
              <w:right w:val="single" w:sz="4" w:space="0" w:color="auto"/>
            </w:tcBorders>
            <w:vAlign w:val="bottom"/>
          </w:tcPr>
          <w:p w14:paraId="52BA7678" w14:textId="77777777" w:rsidR="0008002E" w:rsidRPr="00EE0EEB" w:rsidRDefault="0008002E" w:rsidP="00E81465">
            <w:pPr>
              <w:pStyle w:val="TableText"/>
              <w:keepNext/>
              <w:rPr>
                <w:b/>
              </w:rPr>
            </w:pPr>
            <w:r w:rsidRPr="00EE0EEB">
              <w:rPr>
                <w:b/>
              </w:rPr>
              <w:t>Overall risk of bias</w:t>
            </w:r>
          </w:p>
        </w:tc>
        <w:tc>
          <w:tcPr>
            <w:tcW w:w="657" w:type="pct"/>
            <w:tcBorders>
              <w:top w:val="single" w:sz="4" w:space="0" w:color="auto"/>
              <w:left w:val="single" w:sz="4" w:space="0" w:color="auto"/>
              <w:bottom w:val="single" w:sz="4" w:space="0" w:color="auto"/>
              <w:right w:val="single" w:sz="4" w:space="0" w:color="auto"/>
            </w:tcBorders>
            <w:vAlign w:val="bottom"/>
            <w:hideMark/>
          </w:tcPr>
          <w:p w14:paraId="565FB574" w14:textId="77777777" w:rsidR="0008002E" w:rsidRPr="00EE0EEB" w:rsidRDefault="0008002E" w:rsidP="00E81465">
            <w:pPr>
              <w:pStyle w:val="TableText"/>
              <w:keepNext/>
              <w:rPr>
                <w:b/>
              </w:rPr>
            </w:pPr>
            <w:r w:rsidRPr="00EE0EEB">
              <w:rPr>
                <w:b/>
              </w:rPr>
              <w:t>Use in modelled evaluation</w:t>
            </w:r>
          </w:p>
        </w:tc>
      </w:tr>
      <w:tr w:rsidR="0008002E" w:rsidRPr="00EE0EEB" w14:paraId="3BC3EA3E" w14:textId="77777777" w:rsidTr="00E81465">
        <w:trPr>
          <w:cantSplit/>
        </w:trPr>
        <w:tc>
          <w:tcPr>
            <w:tcW w:w="5000" w:type="pct"/>
            <w:gridSpan w:val="6"/>
            <w:tcBorders>
              <w:top w:val="single" w:sz="4" w:space="0" w:color="auto"/>
              <w:left w:val="single" w:sz="4" w:space="0" w:color="auto"/>
              <w:bottom w:val="single" w:sz="4" w:space="0" w:color="auto"/>
              <w:right w:val="single" w:sz="4" w:space="0" w:color="auto"/>
            </w:tcBorders>
          </w:tcPr>
          <w:p w14:paraId="7AAF8D12" w14:textId="77777777" w:rsidR="0008002E" w:rsidRPr="00EE0EEB" w:rsidRDefault="0008002E" w:rsidP="00E81465">
            <w:pPr>
              <w:pStyle w:val="TableText"/>
              <w:keepNext/>
            </w:pPr>
            <w:r w:rsidRPr="00EE0EEB">
              <w:t>Donanemab 700 mg every 4 weeks (Q4W) for the first 3 doses, followed by 1,400 mg Q4W thereafter, versus placebo (as a proxy for no active therapy)</w:t>
            </w:r>
          </w:p>
        </w:tc>
      </w:tr>
      <w:tr w:rsidR="0008002E" w:rsidRPr="00EE0EEB" w14:paraId="4E3EB238" w14:textId="77777777" w:rsidTr="00E81465">
        <w:trPr>
          <w:cantSplit/>
        </w:trPr>
        <w:tc>
          <w:tcPr>
            <w:tcW w:w="384" w:type="pct"/>
            <w:tcBorders>
              <w:top w:val="single" w:sz="4" w:space="0" w:color="auto"/>
              <w:left w:val="single" w:sz="4" w:space="0" w:color="auto"/>
              <w:bottom w:val="single" w:sz="4" w:space="0" w:color="auto"/>
              <w:right w:val="single" w:sz="4" w:space="0" w:color="auto"/>
            </w:tcBorders>
            <w:vAlign w:val="center"/>
            <w:hideMark/>
          </w:tcPr>
          <w:p w14:paraId="65FE2C5B" w14:textId="77777777" w:rsidR="0008002E" w:rsidRPr="00EE0EEB" w:rsidRDefault="0008002E" w:rsidP="00E81465">
            <w:pPr>
              <w:pStyle w:val="TableText"/>
              <w:keepNext/>
              <w:rPr>
                <w:highlight w:val="yellow"/>
              </w:rPr>
            </w:pPr>
            <w:r w:rsidRPr="00EE0EEB">
              <w:t>1,736</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2F8851C" w14:textId="77777777" w:rsidR="0008002E" w:rsidRPr="00EE0EEB" w:rsidRDefault="0008002E" w:rsidP="00E81465">
            <w:pPr>
              <w:pStyle w:val="TableText"/>
              <w:keepNext/>
            </w:pPr>
            <w:r w:rsidRPr="00EE0EEB">
              <w:t>R, MC, DB, 18 months.</w:t>
            </w:r>
          </w:p>
          <w:p w14:paraId="73176C25" w14:textId="77777777" w:rsidR="0008002E" w:rsidRPr="00EE0EEB" w:rsidRDefault="0008002E" w:rsidP="00E81465">
            <w:pPr>
              <w:pStyle w:val="TableText"/>
              <w:keepNext/>
              <w:rPr>
                <w:highlight w:val="yellow"/>
              </w:rPr>
            </w:pPr>
            <w:r w:rsidRPr="00EE0EEB">
              <w:t>Stratification factors at randomisation were investigative site and tau pathology (intermediate versus high)</w:t>
            </w:r>
            <w:r w:rsidRPr="00EE0EEB">
              <w:rPr>
                <w:vertAlign w:val="superscript"/>
              </w:rPr>
              <w:t>a</w:t>
            </w:r>
            <w:r w:rsidRPr="00EE0EEB">
              <w:t>.</w:t>
            </w:r>
          </w:p>
        </w:tc>
        <w:tc>
          <w:tcPr>
            <w:tcW w:w="1470" w:type="pct"/>
            <w:tcBorders>
              <w:top w:val="single" w:sz="4" w:space="0" w:color="auto"/>
              <w:left w:val="single" w:sz="4" w:space="0" w:color="auto"/>
              <w:bottom w:val="single" w:sz="4" w:space="0" w:color="auto"/>
              <w:right w:val="single" w:sz="4" w:space="0" w:color="auto"/>
            </w:tcBorders>
            <w:vAlign w:val="center"/>
            <w:hideMark/>
          </w:tcPr>
          <w:p w14:paraId="649CB3A3" w14:textId="77777777" w:rsidR="0008002E" w:rsidRPr="00EE0EEB" w:rsidRDefault="0008002E" w:rsidP="00E81465">
            <w:pPr>
              <w:pStyle w:val="TableText"/>
              <w:keepNext/>
            </w:pPr>
            <w:r w:rsidRPr="00EE0EEB">
              <w:t>Patients with MCI due to AD or mild AD, aged 60 to 85 years. Reported gradual and progressive change in memory function for ≥ six months.</w:t>
            </w:r>
          </w:p>
          <w:p w14:paraId="6AA45924" w14:textId="77777777" w:rsidR="0008002E" w:rsidRPr="00EE0EEB" w:rsidRDefault="0008002E" w:rsidP="00E81465">
            <w:pPr>
              <w:pStyle w:val="TableText"/>
              <w:keepNext/>
            </w:pPr>
            <w:r w:rsidRPr="00EE0EEB">
              <w:t>MMSE score of 20-28, evidence of intermediate or high brain tau burden (requiring SUVr ≥1.10), and evidence of brain amyloid burden on PET scan</w:t>
            </w:r>
          </w:p>
        </w:tc>
        <w:tc>
          <w:tcPr>
            <w:tcW w:w="760" w:type="pct"/>
            <w:tcBorders>
              <w:top w:val="single" w:sz="4" w:space="0" w:color="auto"/>
              <w:left w:val="single" w:sz="4" w:space="0" w:color="auto"/>
              <w:bottom w:val="single" w:sz="4" w:space="0" w:color="auto"/>
              <w:right w:val="single" w:sz="4" w:space="0" w:color="auto"/>
            </w:tcBorders>
            <w:vAlign w:val="center"/>
            <w:hideMark/>
          </w:tcPr>
          <w:p w14:paraId="3DFCAD9E" w14:textId="77777777" w:rsidR="0008002E" w:rsidRPr="00EE0EEB" w:rsidRDefault="0008002E" w:rsidP="00E81465">
            <w:pPr>
              <w:pStyle w:val="TableText"/>
              <w:keepNext/>
              <w:rPr>
                <w:u w:val="single"/>
              </w:rPr>
            </w:pPr>
            <w:r w:rsidRPr="00EE0EEB">
              <w:rPr>
                <w:u w:val="single"/>
              </w:rPr>
              <w:t>Primary</w:t>
            </w:r>
          </w:p>
          <w:p w14:paraId="219D63B0" w14:textId="77777777" w:rsidR="0008002E" w:rsidRPr="00EE0EEB" w:rsidRDefault="0008002E" w:rsidP="00E81465">
            <w:pPr>
              <w:pStyle w:val="TableText"/>
              <w:keepNext/>
            </w:pPr>
            <w:r w:rsidRPr="00EE0EEB">
              <w:t>iADRS change from baseline at 18 months.</w:t>
            </w:r>
          </w:p>
          <w:p w14:paraId="2E060FE2" w14:textId="77777777" w:rsidR="0008002E" w:rsidRPr="00EE0EEB" w:rsidRDefault="0008002E" w:rsidP="00E81465">
            <w:pPr>
              <w:pStyle w:val="TableText"/>
              <w:keepNext/>
              <w:rPr>
                <w:u w:val="single"/>
              </w:rPr>
            </w:pPr>
            <w:r w:rsidRPr="00EE0EEB">
              <w:rPr>
                <w:u w:val="single"/>
              </w:rPr>
              <w:t>Secondary/other</w:t>
            </w:r>
          </w:p>
          <w:p w14:paraId="399C2CBD" w14:textId="77777777" w:rsidR="0008002E" w:rsidRPr="00EE0EEB" w:rsidRDefault="0008002E" w:rsidP="00E81465">
            <w:pPr>
              <w:pStyle w:val="TableText"/>
              <w:keepNext/>
            </w:pPr>
            <w:r w:rsidRPr="00EE0EEB">
              <w:t>CDR-SB</w:t>
            </w:r>
          </w:p>
          <w:p w14:paraId="376D2E1F" w14:textId="77777777" w:rsidR="0008002E" w:rsidRPr="00EE0EEB" w:rsidRDefault="0008002E" w:rsidP="00E81465">
            <w:pPr>
              <w:pStyle w:val="TableText"/>
              <w:keepNext/>
            </w:pPr>
            <w:r w:rsidRPr="00EE0EEB">
              <w:t>ADAS-Cog</w:t>
            </w:r>
          </w:p>
          <w:p w14:paraId="728F1E78" w14:textId="77777777" w:rsidR="0008002E" w:rsidRPr="00EE0EEB" w:rsidRDefault="0008002E" w:rsidP="00E81465">
            <w:pPr>
              <w:pStyle w:val="TableText"/>
              <w:keepNext/>
            </w:pPr>
            <w:r w:rsidRPr="00EE0EEB">
              <w:t>ADCS-ADL</w:t>
            </w:r>
          </w:p>
          <w:p w14:paraId="7790DF2C" w14:textId="77777777" w:rsidR="0008002E" w:rsidRPr="00EE0EEB" w:rsidRDefault="0008002E" w:rsidP="00E81465">
            <w:pPr>
              <w:pStyle w:val="TableText"/>
              <w:keepNext/>
            </w:pPr>
            <w:r w:rsidRPr="00EE0EEB">
              <w:t>Amyloid and tau PET levels</w:t>
            </w:r>
          </w:p>
          <w:p w14:paraId="0BCE8550" w14:textId="77777777" w:rsidR="0008002E" w:rsidRPr="00EE0EEB" w:rsidRDefault="0008002E" w:rsidP="00E81465">
            <w:pPr>
              <w:pStyle w:val="TableText"/>
              <w:keepNext/>
            </w:pPr>
            <w:r w:rsidRPr="00EE0EEB">
              <w:t>Safety</w:t>
            </w:r>
          </w:p>
        </w:tc>
        <w:tc>
          <w:tcPr>
            <w:tcW w:w="657" w:type="pct"/>
            <w:tcBorders>
              <w:top w:val="single" w:sz="4" w:space="0" w:color="auto"/>
              <w:left w:val="single" w:sz="4" w:space="0" w:color="auto"/>
              <w:bottom w:val="single" w:sz="4" w:space="0" w:color="auto"/>
              <w:right w:val="single" w:sz="4" w:space="0" w:color="auto"/>
            </w:tcBorders>
          </w:tcPr>
          <w:p w14:paraId="0CDCF7F3" w14:textId="77777777" w:rsidR="0008002E" w:rsidRPr="00EE0EEB" w:rsidRDefault="0008002E" w:rsidP="00E81465">
            <w:pPr>
              <w:pStyle w:val="TableText"/>
              <w:keepNext/>
            </w:pPr>
            <w:r w:rsidRPr="00EE0EEB">
              <w:t>Uncertain</w:t>
            </w:r>
          </w:p>
        </w:tc>
        <w:tc>
          <w:tcPr>
            <w:tcW w:w="657" w:type="pct"/>
            <w:tcBorders>
              <w:top w:val="single" w:sz="4" w:space="0" w:color="auto"/>
              <w:left w:val="single" w:sz="4" w:space="0" w:color="auto"/>
              <w:bottom w:val="single" w:sz="4" w:space="0" w:color="auto"/>
              <w:right w:val="single" w:sz="4" w:space="0" w:color="auto"/>
            </w:tcBorders>
            <w:vAlign w:val="center"/>
            <w:hideMark/>
          </w:tcPr>
          <w:p w14:paraId="1420ED5D" w14:textId="77777777" w:rsidR="0008002E" w:rsidRPr="00EE0EEB" w:rsidRDefault="0008002E" w:rsidP="00E81465">
            <w:pPr>
              <w:pStyle w:val="TableText"/>
              <w:keepNext/>
            </w:pPr>
            <w:r w:rsidRPr="00EE0EEB">
              <w:t>HR of clinical progression as per CDR-SB. Proportion of patients in each AD stage (as per CDR-SB) at baseline in the trial.</w:t>
            </w:r>
          </w:p>
        </w:tc>
      </w:tr>
    </w:tbl>
    <w:p w14:paraId="5647F957" w14:textId="77777777" w:rsidR="0008002E" w:rsidRPr="00EE0EEB" w:rsidRDefault="0008002E" w:rsidP="0008002E">
      <w:pPr>
        <w:pStyle w:val="TableFooter"/>
        <w:keepNext/>
      </w:pPr>
      <w:r w:rsidRPr="00EE0EEB">
        <w:t>Source: Sections 2D 3 and 2D 4 of the submission</w:t>
      </w:r>
    </w:p>
    <w:p w14:paraId="22356722" w14:textId="2E83F4B9" w:rsidR="0008002E" w:rsidRPr="00EE0EEB" w:rsidRDefault="0008002E" w:rsidP="0008002E">
      <w:pPr>
        <w:pStyle w:val="TableFooter"/>
        <w:keepNext/>
      </w:pPr>
      <w:r w:rsidRPr="00EE0EEB">
        <w:t>AD=Alzheimer</w:t>
      </w:r>
      <w:r w:rsidR="00F4444C">
        <w:t>’s</w:t>
      </w:r>
      <w:r w:rsidRPr="00EE0EEB">
        <w:t xml:space="preserve"> disease; ADAS-Cog=Alzheimer</w:t>
      </w:r>
      <w:r w:rsidR="00F4444C">
        <w:t>’s</w:t>
      </w:r>
      <w:r w:rsidRPr="00EE0EEB">
        <w:t xml:space="preserve"> Disease Assessment Scale – Cognitive Subscale; ADCS-ADL=Alzheimer</w:t>
      </w:r>
      <w:r w:rsidR="00F4444C">
        <w:t>’s</w:t>
      </w:r>
      <w:r w:rsidRPr="00EE0EEB">
        <w:t xml:space="preserve"> Disease Cooperative Study – Activities of Daily Living Inventory; CDR-SB=Clinical Dementia Rating – Sum of Boxes; DB=double blind; iADRS=integrated Alzheimer</w:t>
      </w:r>
      <w:r w:rsidR="00F4444C">
        <w:t>’s</w:t>
      </w:r>
      <w:r w:rsidRPr="00EE0EEB">
        <w:t xml:space="preserve"> Disease Rating Scale; MC=multi-centre; MCI=mild cognitive impairment; PET=positron emission tomography; Q4W=every four weeks; R=randomised; SUVr=standardised uptake value ratio</w:t>
      </w:r>
    </w:p>
    <w:p w14:paraId="75C245BC" w14:textId="77777777" w:rsidR="0008002E" w:rsidRPr="00EE0EEB" w:rsidRDefault="0008002E" w:rsidP="0008002E">
      <w:pPr>
        <w:pStyle w:val="TableFooter"/>
        <w:keepNext/>
        <w:rPr>
          <w:iCs/>
        </w:rPr>
      </w:pPr>
      <w:r w:rsidRPr="00EE0EEB">
        <w:rPr>
          <w:vertAlign w:val="superscript"/>
        </w:rPr>
        <w:t>a</w:t>
      </w:r>
      <w:r w:rsidRPr="00EE0EEB">
        <w:t>Intermediate tau included participants with baseline Standardised Uptake Value Ratio (SUVr) ≤1.46 and a topographic deposition pattern consistent with advanced AD (AD++) or 1.10 ≤ SUVr ≤1.46 and a topographic deposition pattern consistent</w:t>
      </w:r>
      <w:r w:rsidRPr="00EE0EEB">
        <w:rPr>
          <w:i/>
        </w:rPr>
        <w:t xml:space="preserve"> </w:t>
      </w:r>
      <w:r w:rsidRPr="00EE0EEB">
        <w:rPr>
          <w:iCs/>
        </w:rPr>
        <w:t>with moderate AD (AD+). High tau included participants with baseline SUVr &gt;1.46 and a topographic deposition pattern consistent with either moderate (AD+) or advanced AD (AD++).</w:t>
      </w:r>
    </w:p>
    <w:p w14:paraId="38FA3AF4" w14:textId="77777777" w:rsidR="0008002E" w:rsidRPr="006F6126" w:rsidRDefault="0008002E" w:rsidP="00DD02B1">
      <w:pPr>
        <w:pStyle w:val="3-BodyText"/>
        <w:numPr>
          <w:ilvl w:val="1"/>
          <w:numId w:val="23"/>
        </w:numPr>
        <w:spacing w:before="60" w:after="60"/>
        <w:ind w:left="709" w:hanging="709"/>
      </w:pPr>
      <w:r w:rsidRPr="006F6126">
        <w:t>The overall risk of bias in the TB-2 trial was considered to be uncertain. Randomisation appeared successful as baseline demographic and disease characteristics were equally distributed between the donanemab and placebo arms. However, there</w:t>
      </w:r>
      <w:r w:rsidRPr="006F6126" w:rsidDel="00BD186D">
        <w:t xml:space="preserve"> </w:t>
      </w:r>
      <w:r>
        <w:t xml:space="preserve">are </w:t>
      </w:r>
      <w:r w:rsidRPr="006F6126">
        <w:t>concerns that improvements observed in trials of anti-amyloid therapies may reflect “functional unblinding” due to the increased risk of ARIAs in the intervention arm, and that this may have been the case for the TB-2 trial</w:t>
      </w:r>
      <w:r w:rsidRPr="006F6126">
        <w:rPr>
          <w:vertAlign w:val="superscript"/>
        </w:rPr>
        <w:footnoteReference w:id="29"/>
      </w:r>
      <w:r w:rsidRPr="006F6126">
        <w:t>. It was noted that t</w:t>
      </w:r>
      <w:r w:rsidRPr="006F6126">
        <w:rPr>
          <w:bCs/>
        </w:rPr>
        <w:t xml:space="preserve">he TB-2 trial investigators </w:t>
      </w:r>
      <w:r w:rsidRPr="006F6126">
        <w:t xml:space="preserve">assessing subjective cognitive and functional outcomes </w:t>
      </w:r>
      <w:r w:rsidRPr="006F6126">
        <w:rPr>
          <w:bCs/>
        </w:rPr>
        <w:t xml:space="preserve">were blinded to treatment allocation. </w:t>
      </w:r>
      <w:r w:rsidRPr="006F6126">
        <w:t xml:space="preserve">However, the increased risk of ARIAs could also unblind the trial patients and their carers who respond to these surveys and thus directly introduce performance bias. The risk of functional unblinding may not be overcome by using blinded raters, particularly when patients learned they are on treatment for side effects for ARIAs. However, it remains uncertain as to what extent unblinding </w:t>
      </w:r>
      <w:r>
        <w:t xml:space="preserve">may </w:t>
      </w:r>
      <w:r w:rsidRPr="006F6126">
        <w:t>have impacted the overall trial findings.</w:t>
      </w:r>
    </w:p>
    <w:p w14:paraId="72B46DA4" w14:textId="13F28847" w:rsidR="0008002E" w:rsidRPr="006F6126" w:rsidRDefault="0008002E" w:rsidP="00DD02B1">
      <w:pPr>
        <w:pStyle w:val="3-BodyText"/>
        <w:numPr>
          <w:ilvl w:val="1"/>
          <w:numId w:val="23"/>
        </w:numPr>
        <w:spacing w:before="60" w:after="60"/>
        <w:ind w:left="709" w:hanging="709"/>
      </w:pPr>
      <w:r w:rsidRPr="006F6126">
        <w:t xml:space="preserve">There was a high rate of screening failures (79%) in TB-2 which may affect the applicability of the trial. A total of 8,240 patients were screened for entry into the TB-2 trial and only 1,736 (21%) patients were randomised to either donanemab or placebo. The most common reasons for exclusion at screening were failure to meet inclusion criteria for amyloid PET (25% of patients), tau PET (25% of patients), and MMSE (23% of patients). A higher percentage of patients in the donanemab arm compared to the placebo arm discontinued treatment due to an </w:t>
      </w:r>
      <w:r w:rsidR="00F47C12">
        <w:t>adverse event (</w:t>
      </w:r>
      <w:r w:rsidRPr="006F6126">
        <w:t>AE</w:t>
      </w:r>
      <w:r w:rsidR="00F47C12">
        <w:t xml:space="preserve">; </w:t>
      </w:r>
      <w:r w:rsidRPr="006F6126">
        <w:t xml:space="preserve"> </w:t>
      </w:r>
      <w:r w:rsidRPr="006F6126">
        <w:lastRenderedPageBreak/>
        <w:t xml:space="preserve">11.4% versus 3.2%, respectively), and discontinued the study due to an AE (5.8% versus 2.4%, respectively). Discontinuations from the study due to various other factors (such as withdrawal of consent, progressive disease, or clinician decision) was balanced between the donanemab and placebo arms. </w:t>
      </w:r>
    </w:p>
    <w:p w14:paraId="0EDF25F7" w14:textId="77777777" w:rsidR="0008002E" w:rsidRPr="00C175F0" w:rsidRDefault="0008002E" w:rsidP="00DD02B1">
      <w:pPr>
        <w:pStyle w:val="3-BodyText"/>
        <w:numPr>
          <w:ilvl w:val="1"/>
          <w:numId w:val="23"/>
        </w:numPr>
        <w:spacing w:before="60" w:after="60"/>
        <w:ind w:left="709" w:hanging="709"/>
      </w:pPr>
      <w:r w:rsidRPr="006F6126">
        <w:t>Notably, the TB-2 trial effectively excluded a significant proportion of patients with concomitant medical conditions that are typical of the elderly population with AD, thereby potentially limiting the generalisability of the study data. Patients were excluded if they had any significant neurological conditions, any primary psychiatric diagnosis/symptoms other than AD, contraindications to MRI or PET, MRI demonstrating presence of ARIA-E, more than four cerebral microhaemorrhages, more than one area of superficial siderosis, any microhaemorrhage or severe white matter disease at screening, and abnormal vital signs or other clinical laboratory test results. The underlying premises for these exclusions were to mitigate safety risks to the trial population (specifically regarding ARIA events), and to minimise the risk of confounding symptomatology from a concurrent condition.</w:t>
      </w:r>
      <w:r>
        <w:t xml:space="preserve"> </w:t>
      </w:r>
      <w:r w:rsidRPr="00C175F0">
        <w:t xml:space="preserve">It was not clear how many patients with mixed dementia (e.g. concomitant vascular dementia pathology) were included. </w:t>
      </w:r>
    </w:p>
    <w:p w14:paraId="21C03219" w14:textId="77777777" w:rsidR="0008002E" w:rsidRPr="00EE0EEB" w:rsidRDefault="0008002E" w:rsidP="0008002E">
      <w:pPr>
        <w:pStyle w:val="4-SubsectionHeading"/>
      </w:pPr>
      <w:r w:rsidRPr="00EE0EEB">
        <w:t>Comparative effectiveness</w:t>
      </w:r>
    </w:p>
    <w:p w14:paraId="654EB9DA" w14:textId="1B7B58B6" w:rsidR="0008002E" w:rsidRPr="00EE0EEB" w:rsidRDefault="0008002E" w:rsidP="00DD02B1">
      <w:pPr>
        <w:pStyle w:val="3-BodyText"/>
        <w:numPr>
          <w:ilvl w:val="1"/>
          <w:numId w:val="23"/>
        </w:numPr>
        <w:spacing w:before="60" w:after="60"/>
        <w:ind w:left="709" w:hanging="709"/>
      </w:pPr>
      <w:r w:rsidRPr="00EE0EEB">
        <w:t xml:space="preserve">A summary of the TB-2 trial results for the primary outcome of iADRS in the overall population is presented </w:t>
      </w:r>
      <w:r w:rsidR="00E60944" w:rsidRPr="00EE0EEB">
        <w:t xml:space="preserve">in </w:t>
      </w:r>
      <w:r w:rsidR="00E60944">
        <w:fldChar w:fldCharType="begin"/>
      </w:r>
      <w:r w:rsidR="00E60944">
        <w:instrText xml:space="preserve"> REF _Ref204779873 \h </w:instrText>
      </w:r>
      <w:r w:rsidR="00E60944">
        <w:fldChar w:fldCharType="separate"/>
      </w:r>
      <w:r w:rsidR="00392423">
        <w:t xml:space="preserve">Table </w:t>
      </w:r>
      <w:r w:rsidR="00392423">
        <w:rPr>
          <w:noProof/>
        </w:rPr>
        <w:t>7</w:t>
      </w:r>
      <w:r w:rsidR="00E60944">
        <w:fldChar w:fldCharType="end"/>
      </w:r>
      <w:r w:rsidR="00E60944" w:rsidRPr="00EE0EEB">
        <w:t>.</w:t>
      </w:r>
      <w:r w:rsidRPr="00EE0EEB">
        <w:t xml:space="preserve"> </w:t>
      </w:r>
      <w:r w:rsidR="000B11AF">
        <w:fldChar w:fldCharType="begin"/>
      </w:r>
      <w:r w:rsidR="000B11AF">
        <w:instrText xml:space="preserve"> REF _Ref204780437 \h </w:instrText>
      </w:r>
      <w:r w:rsidR="000B11AF">
        <w:fldChar w:fldCharType="separate"/>
      </w:r>
      <w:r w:rsidR="00392423">
        <w:t xml:space="preserve">Figure </w:t>
      </w:r>
      <w:r w:rsidR="00392423">
        <w:rPr>
          <w:noProof/>
        </w:rPr>
        <w:t>2</w:t>
      </w:r>
      <w:r w:rsidR="000B11AF">
        <w:fldChar w:fldCharType="end"/>
      </w:r>
      <w:r w:rsidRPr="00EE0EEB">
        <w:t xml:space="preserve"> </w:t>
      </w:r>
      <w:r>
        <w:t>presents</w:t>
      </w:r>
      <w:r w:rsidRPr="00EE0EEB" w:rsidDel="005222B3">
        <w:t xml:space="preserve"> </w:t>
      </w:r>
      <w:r w:rsidRPr="00EE0EEB">
        <w:t>the adjusted mean change (95% CI) in iADRS from baseline over time up to Week 76.</w:t>
      </w:r>
    </w:p>
    <w:p w14:paraId="183CD90F" w14:textId="543E8D51" w:rsidR="0008002E" w:rsidRPr="00EE0EEB" w:rsidRDefault="008D38DA" w:rsidP="006C66C7">
      <w:pPr>
        <w:pStyle w:val="Caption"/>
        <w:keepLines/>
      </w:pPr>
      <w:bookmarkStart w:id="17" w:name="_Ref204779873"/>
      <w:r>
        <w:lastRenderedPageBreak/>
        <w:t xml:space="preserve">Table </w:t>
      </w:r>
      <w:r>
        <w:fldChar w:fldCharType="begin"/>
      </w:r>
      <w:r>
        <w:instrText xml:space="preserve"> SEQ Table \* ARABIC </w:instrText>
      </w:r>
      <w:r>
        <w:fldChar w:fldCharType="separate"/>
      </w:r>
      <w:r w:rsidR="00392423">
        <w:rPr>
          <w:noProof/>
        </w:rPr>
        <w:t>7</w:t>
      </w:r>
      <w:r>
        <w:fldChar w:fldCharType="end"/>
      </w:r>
      <w:bookmarkEnd w:id="17"/>
      <w:r w:rsidR="000A0F04">
        <w:t xml:space="preserve">: </w:t>
      </w:r>
      <w:r w:rsidR="0008002E" w:rsidRPr="5EEE9212">
        <w:t>TB-2: Results of the primary outcome of change from baseline in iADRS</w:t>
      </w:r>
      <w:r w:rsidR="0008002E" w:rsidRPr="5EEE9212">
        <w:rPr>
          <w:vertAlign w:val="superscript"/>
        </w:rPr>
        <w:t>a</w:t>
      </w:r>
      <w:r w:rsidR="0008002E" w:rsidRPr="5EEE9212">
        <w:t xml:space="preserve"> (EES) - Overall population (NCS2)</w:t>
      </w:r>
    </w:p>
    <w:tbl>
      <w:tblPr>
        <w:tblStyle w:val="HTATableshaded"/>
        <w:tblW w:w="5000" w:type="pct"/>
        <w:tblLook w:val="04A0" w:firstRow="1" w:lastRow="0" w:firstColumn="1" w:lastColumn="0" w:noHBand="0" w:noVBand="1"/>
        <w:tblCaption w:val="Table 7: TB-2: Results of the primary outcome of change from baseline in iADRSa (EES) - Overall population (NCS2)"/>
      </w:tblPr>
      <w:tblGrid>
        <w:gridCol w:w="1210"/>
        <w:gridCol w:w="1800"/>
        <w:gridCol w:w="1659"/>
        <w:gridCol w:w="2351"/>
        <w:gridCol w:w="1996"/>
      </w:tblGrid>
      <w:tr w:rsidR="0008002E" w:rsidRPr="00EE0EEB" w14:paraId="100DB241" w14:textId="77777777" w:rsidTr="00E81465">
        <w:trPr>
          <w:cnfStyle w:val="100000000000" w:firstRow="1" w:lastRow="0" w:firstColumn="0" w:lastColumn="0" w:oddVBand="0" w:evenVBand="0" w:oddHBand="0" w:evenHBand="0" w:firstRowFirstColumn="0" w:firstRowLastColumn="0" w:lastRowFirstColumn="0" w:lastRowLastColumn="0"/>
          <w:cantSplit/>
          <w:trHeight w:val="283"/>
        </w:trPr>
        <w:tc>
          <w:tcPr>
            <w:tcW w:w="671" w:type="pct"/>
          </w:tcPr>
          <w:p w14:paraId="715FC766" w14:textId="77777777" w:rsidR="0008002E" w:rsidRPr="00EE0EEB" w:rsidRDefault="0008002E" w:rsidP="006C66C7">
            <w:pPr>
              <w:pStyle w:val="TableText"/>
              <w:keepNext/>
              <w:keepLines/>
              <w:rPr>
                <w:b/>
                <w:bCs/>
              </w:rPr>
            </w:pPr>
            <w:r w:rsidRPr="00EE0EEB">
              <w:rPr>
                <w:b/>
              </w:rPr>
              <w:t>Time point</w:t>
            </w:r>
          </w:p>
        </w:tc>
        <w:tc>
          <w:tcPr>
            <w:tcW w:w="998" w:type="pct"/>
          </w:tcPr>
          <w:p w14:paraId="027181AE" w14:textId="77777777" w:rsidR="0008002E" w:rsidRPr="00EE0EEB" w:rsidRDefault="0008002E" w:rsidP="006C66C7">
            <w:pPr>
              <w:pStyle w:val="TableText"/>
              <w:keepNext/>
              <w:keepLines/>
              <w:jc w:val="center"/>
              <w:rPr>
                <w:b/>
                <w:bCs/>
              </w:rPr>
            </w:pPr>
            <w:r w:rsidRPr="00EE0EEB">
              <w:rPr>
                <w:b/>
              </w:rPr>
              <w:t>Donanemab</w:t>
            </w:r>
          </w:p>
          <w:p w14:paraId="578899CC" w14:textId="77777777" w:rsidR="0008002E" w:rsidRPr="00EE0EEB" w:rsidRDefault="0008002E" w:rsidP="006C66C7">
            <w:pPr>
              <w:pStyle w:val="TableText"/>
              <w:keepNext/>
              <w:keepLines/>
              <w:jc w:val="center"/>
              <w:rPr>
                <w:b/>
                <w:bCs/>
              </w:rPr>
            </w:pPr>
            <w:r w:rsidRPr="00EE0EEB">
              <w:rPr>
                <w:b/>
              </w:rPr>
              <w:t>Mean change from baseline (SE)</w:t>
            </w:r>
          </w:p>
        </w:tc>
        <w:tc>
          <w:tcPr>
            <w:tcW w:w="920" w:type="pct"/>
          </w:tcPr>
          <w:p w14:paraId="2E80F9AF" w14:textId="77777777" w:rsidR="0008002E" w:rsidRPr="00EE0EEB" w:rsidRDefault="0008002E" w:rsidP="006C66C7">
            <w:pPr>
              <w:pStyle w:val="TableText"/>
              <w:keepNext/>
              <w:keepLines/>
              <w:jc w:val="center"/>
              <w:rPr>
                <w:b/>
                <w:bCs/>
              </w:rPr>
            </w:pPr>
            <w:r w:rsidRPr="00EE0EEB">
              <w:rPr>
                <w:b/>
              </w:rPr>
              <w:t>Placebo</w:t>
            </w:r>
          </w:p>
          <w:p w14:paraId="24F77F80" w14:textId="77777777" w:rsidR="0008002E" w:rsidRPr="00EE0EEB" w:rsidRDefault="0008002E" w:rsidP="006C66C7">
            <w:pPr>
              <w:pStyle w:val="TableText"/>
              <w:keepNext/>
              <w:keepLines/>
              <w:jc w:val="center"/>
              <w:rPr>
                <w:b/>
                <w:bCs/>
              </w:rPr>
            </w:pPr>
            <w:r w:rsidRPr="00EE0EEB">
              <w:rPr>
                <w:b/>
              </w:rPr>
              <w:t>Mean change from baseline (SE)</w:t>
            </w:r>
          </w:p>
        </w:tc>
        <w:tc>
          <w:tcPr>
            <w:tcW w:w="1304" w:type="pct"/>
          </w:tcPr>
          <w:p w14:paraId="45E30B92" w14:textId="77777777" w:rsidR="0008002E" w:rsidRPr="00EE0EEB" w:rsidRDefault="0008002E" w:rsidP="006C66C7">
            <w:pPr>
              <w:pStyle w:val="TableText"/>
              <w:keepNext/>
              <w:keepLines/>
              <w:jc w:val="center"/>
              <w:rPr>
                <w:b/>
                <w:bCs/>
              </w:rPr>
            </w:pPr>
            <w:r w:rsidRPr="00EE0EEB">
              <w:rPr>
                <w:b/>
              </w:rPr>
              <w:t>Mean difference</w:t>
            </w:r>
          </w:p>
          <w:p w14:paraId="323FB11D" w14:textId="77777777" w:rsidR="0008002E" w:rsidRPr="00EE0EEB" w:rsidRDefault="0008002E" w:rsidP="006C66C7">
            <w:pPr>
              <w:pStyle w:val="TableText"/>
              <w:keepNext/>
              <w:keepLines/>
              <w:jc w:val="center"/>
              <w:rPr>
                <w:b/>
                <w:bCs/>
              </w:rPr>
            </w:pPr>
            <w:r w:rsidRPr="00EE0EEB">
              <w:rPr>
                <w:b/>
              </w:rPr>
              <w:t>Donanemab minus Placebo (95% CI)</w:t>
            </w:r>
          </w:p>
          <w:p w14:paraId="507A6D8A" w14:textId="77777777" w:rsidR="0008002E" w:rsidRPr="00EE0EEB" w:rsidRDefault="0008002E" w:rsidP="006C66C7">
            <w:pPr>
              <w:pStyle w:val="TableText"/>
              <w:keepNext/>
              <w:keepLines/>
              <w:jc w:val="center"/>
              <w:rPr>
                <w:b/>
                <w:bCs/>
              </w:rPr>
            </w:pPr>
            <w:r w:rsidRPr="00EE0EEB">
              <w:rPr>
                <w:b/>
              </w:rPr>
              <w:t>p-value</w:t>
            </w:r>
          </w:p>
        </w:tc>
        <w:tc>
          <w:tcPr>
            <w:tcW w:w="1107" w:type="pct"/>
          </w:tcPr>
          <w:p w14:paraId="03C93655" w14:textId="77777777" w:rsidR="0008002E" w:rsidRPr="00EE0EEB" w:rsidRDefault="0008002E" w:rsidP="006C66C7">
            <w:pPr>
              <w:pStyle w:val="TableText"/>
              <w:keepNext/>
              <w:keepLines/>
              <w:jc w:val="center"/>
              <w:rPr>
                <w:b/>
                <w:bCs/>
              </w:rPr>
            </w:pPr>
            <w:r w:rsidRPr="00EE0EEB">
              <w:rPr>
                <w:b/>
              </w:rPr>
              <w:t>% reduction (slowing) in decline.</w:t>
            </w:r>
          </w:p>
          <w:p w14:paraId="5935FD45" w14:textId="77777777" w:rsidR="0008002E" w:rsidRPr="00EE0EEB" w:rsidRDefault="0008002E" w:rsidP="006C66C7">
            <w:pPr>
              <w:pStyle w:val="TableText"/>
              <w:keepNext/>
              <w:keepLines/>
              <w:jc w:val="center"/>
              <w:rPr>
                <w:b/>
                <w:bCs/>
              </w:rPr>
            </w:pPr>
            <w:r w:rsidRPr="00EE0EEB">
              <w:rPr>
                <w:b/>
              </w:rPr>
              <w:t>Donanemab versus Placebo</w:t>
            </w:r>
          </w:p>
          <w:p w14:paraId="07422838" w14:textId="77777777" w:rsidR="0008002E" w:rsidRPr="00EE0EEB" w:rsidRDefault="0008002E" w:rsidP="006C66C7">
            <w:pPr>
              <w:pStyle w:val="TableText"/>
              <w:keepNext/>
              <w:keepLines/>
              <w:jc w:val="center"/>
              <w:rPr>
                <w:b/>
                <w:bCs/>
              </w:rPr>
            </w:pPr>
            <w:r w:rsidRPr="00EE0EEB">
              <w:rPr>
                <w:b/>
              </w:rPr>
              <w:t>(95% CI)</w:t>
            </w:r>
          </w:p>
        </w:tc>
      </w:tr>
      <w:tr w:rsidR="0008002E" w:rsidRPr="00EE0EEB" w14:paraId="484BCC4B" w14:textId="77777777" w:rsidTr="00E81465">
        <w:trPr>
          <w:cantSplit/>
          <w:trHeight w:val="283"/>
        </w:trPr>
        <w:tc>
          <w:tcPr>
            <w:tcW w:w="671" w:type="pct"/>
          </w:tcPr>
          <w:p w14:paraId="787C2D25" w14:textId="77777777" w:rsidR="0008002E" w:rsidRPr="00EE0EEB" w:rsidRDefault="0008002E" w:rsidP="006C66C7">
            <w:pPr>
              <w:pStyle w:val="TableText"/>
              <w:keepNext/>
              <w:keepLines/>
            </w:pPr>
            <w:r w:rsidRPr="00EE0EEB">
              <w:t>Week 12</w:t>
            </w:r>
          </w:p>
        </w:tc>
        <w:tc>
          <w:tcPr>
            <w:tcW w:w="998" w:type="pct"/>
            <w:tcBorders>
              <w:right w:val="single" w:sz="4" w:space="0" w:color="auto"/>
            </w:tcBorders>
            <w:vAlign w:val="center"/>
          </w:tcPr>
          <w:p w14:paraId="4EDCD3DC" w14:textId="77777777" w:rsidR="0008002E" w:rsidRPr="00EE0EEB" w:rsidRDefault="0008002E" w:rsidP="006C66C7">
            <w:pPr>
              <w:pStyle w:val="TableText"/>
              <w:keepNext/>
              <w:keepLines/>
              <w:jc w:val="center"/>
            </w:pPr>
            <w:r w:rsidRPr="00EE0EEB">
              <w:t>n=752</w:t>
            </w:r>
          </w:p>
          <w:p w14:paraId="08B87CA9" w14:textId="77777777" w:rsidR="0008002E" w:rsidRPr="00EE0EEB" w:rsidRDefault="0008002E" w:rsidP="006C66C7">
            <w:pPr>
              <w:pStyle w:val="TableText"/>
              <w:keepNext/>
              <w:keepLines/>
              <w:jc w:val="center"/>
            </w:pPr>
            <w:r w:rsidRPr="00EE0EEB">
              <w:t>-0.81 (0.12)</w:t>
            </w:r>
          </w:p>
        </w:tc>
        <w:tc>
          <w:tcPr>
            <w:tcW w:w="920" w:type="pct"/>
            <w:tcBorders>
              <w:left w:val="single" w:sz="4" w:space="0" w:color="auto"/>
            </w:tcBorders>
            <w:vAlign w:val="center"/>
          </w:tcPr>
          <w:p w14:paraId="28931BCA" w14:textId="77777777" w:rsidR="0008002E" w:rsidRPr="00EE0EEB" w:rsidRDefault="0008002E" w:rsidP="006C66C7">
            <w:pPr>
              <w:pStyle w:val="TableText"/>
              <w:keepNext/>
              <w:keepLines/>
              <w:jc w:val="center"/>
            </w:pPr>
            <w:r w:rsidRPr="00EE0EEB">
              <w:t>n=805</w:t>
            </w:r>
          </w:p>
          <w:p w14:paraId="2E9DD74C" w14:textId="77777777" w:rsidR="0008002E" w:rsidRPr="00EE0EEB" w:rsidRDefault="0008002E" w:rsidP="006C66C7">
            <w:pPr>
              <w:pStyle w:val="TableText"/>
              <w:keepNext/>
              <w:keepLines/>
              <w:jc w:val="center"/>
            </w:pPr>
            <w:r w:rsidRPr="00EE0EEB">
              <w:t>-1.41 (0.11)</w:t>
            </w:r>
          </w:p>
        </w:tc>
        <w:tc>
          <w:tcPr>
            <w:tcW w:w="1304" w:type="pct"/>
            <w:vAlign w:val="center"/>
          </w:tcPr>
          <w:p w14:paraId="785939F3" w14:textId="77777777" w:rsidR="0008002E" w:rsidRPr="00EE0EEB" w:rsidRDefault="0008002E" w:rsidP="006C66C7">
            <w:pPr>
              <w:pStyle w:val="TableText"/>
              <w:keepNext/>
              <w:keepLines/>
              <w:jc w:val="center"/>
            </w:pPr>
            <w:r w:rsidRPr="00EE0EEB">
              <w:t>0.60 (0.28, 0.92)</w:t>
            </w:r>
          </w:p>
          <w:p w14:paraId="12111A17" w14:textId="77777777" w:rsidR="0008002E" w:rsidRPr="00EE0EEB" w:rsidRDefault="0008002E" w:rsidP="006C66C7">
            <w:pPr>
              <w:pStyle w:val="TableText"/>
              <w:keepNext/>
              <w:keepLines/>
              <w:jc w:val="center"/>
            </w:pPr>
            <w:r w:rsidRPr="00EE0EEB">
              <w:t>p&lt;0.01</w:t>
            </w:r>
          </w:p>
        </w:tc>
        <w:tc>
          <w:tcPr>
            <w:tcW w:w="1107" w:type="pct"/>
            <w:vAlign w:val="center"/>
          </w:tcPr>
          <w:p w14:paraId="35228CBE" w14:textId="77777777" w:rsidR="0008002E" w:rsidRPr="00EE0EEB" w:rsidRDefault="0008002E" w:rsidP="006C66C7">
            <w:pPr>
              <w:pStyle w:val="TableText"/>
              <w:keepNext/>
              <w:keepLines/>
              <w:jc w:val="center"/>
            </w:pPr>
            <w:r w:rsidRPr="00EE0EEB">
              <w:t>42.3</w:t>
            </w:r>
          </w:p>
          <w:p w14:paraId="097E2B32" w14:textId="77777777" w:rsidR="0008002E" w:rsidRPr="00EE0EEB" w:rsidRDefault="0008002E" w:rsidP="006C66C7">
            <w:pPr>
              <w:pStyle w:val="TableText"/>
              <w:keepNext/>
              <w:keepLines/>
              <w:jc w:val="center"/>
            </w:pPr>
            <w:r w:rsidRPr="00EE0EEB">
              <w:t>(18.7, 66.0)</w:t>
            </w:r>
          </w:p>
        </w:tc>
      </w:tr>
      <w:tr w:rsidR="0008002E" w:rsidRPr="00EE0EEB" w14:paraId="39F08ECB" w14:textId="77777777" w:rsidTr="00E81465">
        <w:trPr>
          <w:cantSplit/>
          <w:trHeight w:val="283"/>
        </w:trPr>
        <w:tc>
          <w:tcPr>
            <w:tcW w:w="671" w:type="pct"/>
          </w:tcPr>
          <w:p w14:paraId="1EE93CC1" w14:textId="77777777" w:rsidR="0008002E" w:rsidRPr="00EE0EEB" w:rsidRDefault="0008002E" w:rsidP="006C66C7">
            <w:pPr>
              <w:pStyle w:val="TableText"/>
              <w:keepNext/>
              <w:keepLines/>
            </w:pPr>
            <w:r w:rsidRPr="00EE0EEB">
              <w:t>Week 24</w:t>
            </w:r>
          </w:p>
        </w:tc>
        <w:tc>
          <w:tcPr>
            <w:tcW w:w="998" w:type="pct"/>
            <w:vAlign w:val="center"/>
          </w:tcPr>
          <w:p w14:paraId="74CC73FA" w14:textId="77777777" w:rsidR="0008002E" w:rsidRPr="00EE0EEB" w:rsidRDefault="0008002E" w:rsidP="006C66C7">
            <w:pPr>
              <w:pStyle w:val="TableText"/>
              <w:keepNext/>
              <w:keepLines/>
              <w:jc w:val="center"/>
            </w:pPr>
            <w:r w:rsidRPr="00EE0EEB">
              <w:t>n=712</w:t>
            </w:r>
          </w:p>
          <w:p w14:paraId="628A430B" w14:textId="77777777" w:rsidR="0008002E" w:rsidRPr="00EE0EEB" w:rsidRDefault="0008002E" w:rsidP="006C66C7">
            <w:pPr>
              <w:pStyle w:val="TableText"/>
              <w:keepNext/>
              <w:keepLines/>
              <w:jc w:val="center"/>
            </w:pPr>
            <w:r w:rsidRPr="00EE0EEB">
              <w:t>-1.64 (0.23)</w:t>
            </w:r>
          </w:p>
        </w:tc>
        <w:tc>
          <w:tcPr>
            <w:tcW w:w="920" w:type="pct"/>
            <w:vAlign w:val="center"/>
          </w:tcPr>
          <w:p w14:paraId="6D3AD556" w14:textId="77777777" w:rsidR="0008002E" w:rsidRPr="00EE0EEB" w:rsidRDefault="0008002E" w:rsidP="006C66C7">
            <w:pPr>
              <w:pStyle w:val="TableText"/>
              <w:keepNext/>
              <w:keepLines/>
              <w:jc w:val="center"/>
            </w:pPr>
            <w:r w:rsidRPr="00EE0EEB">
              <w:t>n=767</w:t>
            </w:r>
          </w:p>
          <w:p w14:paraId="05172401" w14:textId="77777777" w:rsidR="0008002E" w:rsidRPr="00EE0EEB" w:rsidRDefault="0008002E" w:rsidP="006C66C7">
            <w:pPr>
              <w:pStyle w:val="TableText"/>
              <w:keepNext/>
              <w:keepLines/>
              <w:jc w:val="center"/>
            </w:pPr>
            <w:r w:rsidRPr="00EE0EEB">
              <w:t>-2.83 (0.23)</w:t>
            </w:r>
          </w:p>
        </w:tc>
        <w:tc>
          <w:tcPr>
            <w:tcW w:w="1304" w:type="pct"/>
            <w:vAlign w:val="center"/>
          </w:tcPr>
          <w:p w14:paraId="63CCF33B" w14:textId="77777777" w:rsidR="0008002E" w:rsidRPr="00EE0EEB" w:rsidRDefault="0008002E" w:rsidP="006C66C7">
            <w:pPr>
              <w:pStyle w:val="TableText"/>
              <w:keepNext/>
              <w:keepLines/>
              <w:jc w:val="center"/>
            </w:pPr>
            <w:r w:rsidRPr="00EE0EEB">
              <w:t>1.19 (0.55, 1.83)</w:t>
            </w:r>
          </w:p>
          <w:p w14:paraId="489C1977" w14:textId="77777777" w:rsidR="0008002E" w:rsidRPr="00EE0EEB" w:rsidRDefault="0008002E" w:rsidP="006C66C7">
            <w:pPr>
              <w:pStyle w:val="TableText"/>
              <w:keepNext/>
              <w:keepLines/>
              <w:jc w:val="center"/>
            </w:pPr>
            <w:r w:rsidRPr="00EE0EEB">
              <w:t>p&lt;0.01</w:t>
            </w:r>
          </w:p>
        </w:tc>
        <w:tc>
          <w:tcPr>
            <w:tcW w:w="1107" w:type="pct"/>
            <w:vAlign w:val="center"/>
          </w:tcPr>
          <w:p w14:paraId="2789CDD0" w14:textId="77777777" w:rsidR="0008002E" w:rsidRPr="00EE0EEB" w:rsidRDefault="0008002E" w:rsidP="006C66C7">
            <w:pPr>
              <w:pStyle w:val="TableText"/>
              <w:keepNext/>
              <w:keepLines/>
              <w:jc w:val="center"/>
            </w:pPr>
            <w:r w:rsidRPr="00EE0EEB">
              <w:t>42.2</w:t>
            </w:r>
          </w:p>
          <w:p w14:paraId="6CA96765" w14:textId="77777777" w:rsidR="0008002E" w:rsidRPr="00EE0EEB" w:rsidRDefault="0008002E" w:rsidP="006C66C7">
            <w:pPr>
              <w:pStyle w:val="TableText"/>
              <w:keepNext/>
              <w:keepLines/>
              <w:jc w:val="center"/>
            </w:pPr>
            <w:r w:rsidRPr="00EE0EEB">
              <w:t>(18.7, 65.7)</w:t>
            </w:r>
          </w:p>
        </w:tc>
      </w:tr>
      <w:tr w:rsidR="0008002E" w:rsidRPr="00EE0EEB" w14:paraId="3BDE491E" w14:textId="77777777" w:rsidTr="00E81465">
        <w:trPr>
          <w:cantSplit/>
          <w:trHeight w:val="283"/>
        </w:trPr>
        <w:tc>
          <w:tcPr>
            <w:tcW w:w="671" w:type="pct"/>
          </w:tcPr>
          <w:p w14:paraId="5CA2DA63" w14:textId="77777777" w:rsidR="0008002E" w:rsidRPr="00EE0EEB" w:rsidRDefault="0008002E" w:rsidP="006C66C7">
            <w:pPr>
              <w:pStyle w:val="TableText"/>
              <w:keepNext/>
              <w:keepLines/>
            </w:pPr>
            <w:r w:rsidRPr="00EE0EEB">
              <w:t>Week 36</w:t>
            </w:r>
          </w:p>
        </w:tc>
        <w:tc>
          <w:tcPr>
            <w:tcW w:w="998" w:type="pct"/>
            <w:vAlign w:val="center"/>
          </w:tcPr>
          <w:p w14:paraId="6EA0DD3B" w14:textId="77777777" w:rsidR="0008002E" w:rsidRPr="00EE0EEB" w:rsidRDefault="0008002E" w:rsidP="006C66C7">
            <w:pPr>
              <w:pStyle w:val="TableText"/>
              <w:keepNext/>
              <w:keepLines/>
              <w:jc w:val="center"/>
            </w:pPr>
            <w:r w:rsidRPr="00EE0EEB">
              <w:t>n=665</w:t>
            </w:r>
          </w:p>
          <w:p w14:paraId="2C541566" w14:textId="77777777" w:rsidR="0008002E" w:rsidRPr="00EE0EEB" w:rsidRDefault="0008002E" w:rsidP="006C66C7">
            <w:pPr>
              <w:pStyle w:val="TableText"/>
              <w:keepNext/>
              <w:keepLines/>
              <w:jc w:val="center"/>
            </w:pPr>
            <w:r w:rsidRPr="00EE0EEB">
              <w:t>-2.74 (0.33)</w:t>
            </w:r>
          </w:p>
        </w:tc>
        <w:tc>
          <w:tcPr>
            <w:tcW w:w="920" w:type="pct"/>
            <w:vAlign w:val="center"/>
          </w:tcPr>
          <w:p w14:paraId="30C5B25D" w14:textId="77777777" w:rsidR="0008002E" w:rsidRPr="00EE0EEB" w:rsidRDefault="0008002E" w:rsidP="006C66C7">
            <w:pPr>
              <w:pStyle w:val="TableText"/>
              <w:keepNext/>
              <w:keepLines/>
              <w:jc w:val="center"/>
            </w:pPr>
            <w:r w:rsidRPr="00EE0EEB">
              <w:t>n=738</w:t>
            </w:r>
          </w:p>
          <w:p w14:paraId="2B585821" w14:textId="77777777" w:rsidR="0008002E" w:rsidRPr="00EE0EEB" w:rsidRDefault="0008002E" w:rsidP="006C66C7">
            <w:pPr>
              <w:pStyle w:val="TableText"/>
              <w:keepNext/>
              <w:keepLines/>
              <w:jc w:val="center"/>
            </w:pPr>
            <w:r w:rsidRPr="00EE0EEB">
              <w:t>-4.48 (0.32)</w:t>
            </w:r>
          </w:p>
        </w:tc>
        <w:tc>
          <w:tcPr>
            <w:tcW w:w="1304" w:type="pct"/>
            <w:vAlign w:val="center"/>
          </w:tcPr>
          <w:p w14:paraId="7739A242" w14:textId="77777777" w:rsidR="0008002E" w:rsidRPr="00EE0EEB" w:rsidRDefault="0008002E" w:rsidP="006C66C7">
            <w:pPr>
              <w:pStyle w:val="TableText"/>
              <w:keepNext/>
              <w:keepLines/>
              <w:jc w:val="center"/>
            </w:pPr>
            <w:r w:rsidRPr="00EE0EEB">
              <w:t>1.74 (0.84, 2.64)</w:t>
            </w:r>
          </w:p>
          <w:p w14:paraId="7912A79F" w14:textId="77777777" w:rsidR="0008002E" w:rsidRPr="00EE0EEB" w:rsidRDefault="0008002E" w:rsidP="006C66C7">
            <w:pPr>
              <w:pStyle w:val="TableText"/>
              <w:keepNext/>
              <w:keepLines/>
              <w:jc w:val="center"/>
            </w:pPr>
            <w:r w:rsidRPr="00EE0EEB">
              <w:t>p&lt;0.01</w:t>
            </w:r>
          </w:p>
        </w:tc>
        <w:tc>
          <w:tcPr>
            <w:tcW w:w="1107" w:type="pct"/>
            <w:vAlign w:val="center"/>
          </w:tcPr>
          <w:p w14:paraId="5BB58375" w14:textId="77777777" w:rsidR="0008002E" w:rsidRPr="00EE0EEB" w:rsidRDefault="0008002E" w:rsidP="006C66C7">
            <w:pPr>
              <w:pStyle w:val="TableText"/>
              <w:keepNext/>
              <w:keepLines/>
              <w:jc w:val="center"/>
            </w:pPr>
            <w:r w:rsidRPr="00EE0EEB">
              <w:t>38.8</w:t>
            </w:r>
          </w:p>
          <w:p w14:paraId="5D8113B7" w14:textId="77777777" w:rsidR="0008002E" w:rsidRPr="00EE0EEB" w:rsidRDefault="0008002E" w:rsidP="006C66C7">
            <w:pPr>
              <w:pStyle w:val="TableText"/>
              <w:keepNext/>
              <w:keepLines/>
              <w:jc w:val="center"/>
            </w:pPr>
            <w:r w:rsidRPr="00EE0EEB">
              <w:t>(18.1, 59.6)</w:t>
            </w:r>
          </w:p>
        </w:tc>
      </w:tr>
      <w:tr w:rsidR="0008002E" w:rsidRPr="00EE0EEB" w14:paraId="1DB33334" w14:textId="77777777" w:rsidTr="00E81465">
        <w:trPr>
          <w:cantSplit/>
          <w:trHeight w:val="283"/>
        </w:trPr>
        <w:tc>
          <w:tcPr>
            <w:tcW w:w="671" w:type="pct"/>
          </w:tcPr>
          <w:p w14:paraId="59A7E47B" w14:textId="77777777" w:rsidR="0008002E" w:rsidRPr="00EE0EEB" w:rsidRDefault="0008002E" w:rsidP="006C66C7">
            <w:pPr>
              <w:pStyle w:val="TableText"/>
              <w:keepNext/>
              <w:keepLines/>
            </w:pPr>
            <w:r w:rsidRPr="00EE0EEB">
              <w:t>Week 52</w:t>
            </w:r>
          </w:p>
        </w:tc>
        <w:tc>
          <w:tcPr>
            <w:tcW w:w="998" w:type="pct"/>
            <w:vAlign w:val="center"/>
          </w:tcPr>
          <w:p w14:paraId="18F521B2" w14:textId="77777777" w:rsidR="0008002E" w:rsidRPr="00EE0EEB" w:rsidRDefault="0008002E" w:rsidP="006C66C7">
            <w:pPr>
              <w:pStyle w:val="TableText"/>
              <w:keepNext/>
              <w:keepLines/>
              <w:jc w:val="center"/>
            </w:pPr>
            <w:r w:rsidRPr="00EE0EEB">
              <w:t>n=636</w:t>
            </w:r>
          </w:p>
          <w:p w14:paraId="0F1A696E" w14:textId="77777777" w:rsidR="0008002E" w:rsidRPr="00EE0EEB" w:rsidRDefault="0008002E" w:rsidP="006C66C7">
            <w:pPr>
              <w:pStyle w:val="TableText"/>
              <w:keepNext/>
              <w:keepLines/>
              <w:jc w:val="center"/>
            </w:pPr>
            <w:r w:rsidRPr="00EE0EEB">
              <w:t>-5.39 (0.39)</w:t>
            </w:r>
          </w:p>
        </w:tc>
        <w:tc>
          <w:tcPr>
            <w:tcW w:w="920" w:type="pct"/>
            <w:vAlign w:val="center"/>
          </w:tcPr>
          <w:p w14:paraId="034B6A8B" w14:textId="77777777" w:rsidR="0008002E" w:rsidRPr="00EE0EEB" w:rsidRDefault="0008002E" w:rsidP="006C66C7">
            <w:pPr>
              <w:pStyle w:val="TableText"/>
              <w:keepNext/>
              <w:keepLines/>
              <w:jc w:val="center"/>
            </w:pPr>
            <w:r w:rsidRPr="00EE0EEB">
              <w:t>n=693</w:t>
            </w:r>
          </w:p>
          <w:p w14:paraId="7F431834" w14:textId="77777777" w:rsidR="0008002E" w:rsidRPr="00EE0EEB" w:rsidRDefault="0008002E" w:rsidP="006C66C7">
            <w:pPr>
              <w:pStyle w:val="TableText"/>
              <w:keepNext/>
              <w:keepLines/>
              <w:jc w:val="center"/>
            </w:pPr>
            <w:r w:rsidRPr="00EE0EEB">
              <w:t>-7.66 (0.38)</w:t>
            </w:r>
          </w:p>
        </w:tc>
        <w:tc>
          <w:tcPr>
            <w:tcW w:w="1304" w:type="pct"/>
            <w:vAlign w:val="center"/>
          </w:tcPr>
          <w:p w14:paraId="4C048E8F" w14:textId="77777777" w:rsidR="0008002E" w:rsidRPr="00EE0EEB" w:rsidRDefault="0008002E" w:rsidP="006C66C7">
            <w:pPr>
              <w:pStyle w:val="TableText"/>
              <w:keepNext/>
              <w:keepLines/>
              <w:jc w:val="center"/>
            </w:pPr>
            <w:r w:rsidRPr="00EE0EEB">
              <w:t>2.27 (0.55, 3.09)</w:t>
            </w:r>
          </w:p>
          <w:p w14:paraId="65DDE4AE" w14:textId="77777777" w:rsidR="0008002E" w:rsidRPr="00EE0EEB" w:rsidRDefault="0008002E" w:rsidP="006C66C7">
            <w:pPr>
              <w:pStyle w:val="TableText"/>
              <w:keepNext/>
              <w:keepLines/>
              <w:jc w:val="center"/>
            </w:pPr>
            <w:r w:rsidRPr="00EE0EEB">
              <w:t>p&lt;0.01</w:t>
            </w:r>
          </w:p>
        </w:tc>
        <w:tc>
          <w:tcPr>
            <w:tcW w:w="1107" w:type="pct"/>
            <w:vAlign w:val="center"/>
          </w:tcPr>
          <w:p w14:paraId="0C9AD429" w14:textId="77777777" w:rsidR="0008002E" w:rsidRPr="00EE0EEB" w:rsidRDefault="0008002E" w:rsidP="006C66C7">
            <w:pPr>
              <w:pStyle w:val="TableText"/>
              <w:keepNext/>
              <w:keepLines/>
              <w:jc w:val="center"/>
            </w:pPr>
            <w:r w:rsidRPr="00EE0EEB">
              <w:t>29.6</w:t>
            </w:r>
          </w:p>
          <w:p w14:paraId="2AC9E06B" w14:textId="77777777" w:rsidR="0008002E" w:rsidRPr="00EE0EEB" w:rsidRDefault="0008002E" w:rsidP="006C66C7">
            <w:pPr>
              <w:pStyle w:val="TableText"/>
              <w:keepNext/>
              <w:keepLines/>
              <w:jc w:val="center"/>
            </w:pPr>
            <w:r w:rsidRPr="00EE0EEB">
              <w:t>(15.5, 43.8)</w:t>
            </w:r>
          </w:p>
        </w:tc>
      </w:tr>
      <w:tr w:rsidR="0008002E" w:rsidRPr="00EE0EEB" w14:paraId="4D2C8AE0" w14:textId="77777777" w:rsidTr="00E81465">
        <w:trPr>
          <w:cantSplit/>
          <w:trHeight w:val="283"/>
        </w:trPr>
        <w:tc>
          <w:tcPr>
            <w:tcW w:w="671" w:type="pct"/>
          </w:tcPr>
          <w:p w14:paraId="7EC00C8E" w14:textId="77777777" w:rsidR="0008002E" w:rsidRPr="00EE0EEB" w:rsidRDefault="0008002E" w:rsidP="006C66C7">
            <w:pPr>
              <w:pStyle w:val="TableText"/>
              <w:keepNext/>
              <w:keepLines/>
            </w:pPr>
            <w:r w:rsidRPr="00EE0EEB">
              <w:t>Week 64</w:t>
            </w:r>
          </w:p>
        </w:tc>
        <w:tc>
          <w:tcPr>
            <w:tcW w:w="998" w:type="pct"/>
            <w:vAlign w:val="center"/>
          </w:tcPr>
          <w:p w14:paraId="28AEAC68" w14:textId="77777777" w:rsidR="0008002E" w:rsidRPr="00EE0EEB" w:rsidRDefault="0008002E" w:rsidP="006C66C7">
            <w:pPr>
              <w:pStyle w:val="TableText"/>
              <w:keepNext/>
              <w:keepLines/>
              <w:jc w:val="center"/>
            </w:pPr>
            <w:r w:rsidRPr="00EE0EEB">
              <w:t>n=579</w:t>
            </w:r>
          </w:p>
          <w:p w14:paraId="5018DF55" w14:textId="77777777" w:rsidR="0008002E" w:rsidRPr="00EE0EEB" w:rsidRDefault="0008002E" w:rsidP="006C66C7">
            <w:pPr>
              <w:pStyle w:val="TableText"/>
              <w:keepNext/>
              <w:keepLines/>
              <w:jc w:val="center"/>
            </w:pPr>
            <w:r w:rsidRPr="00EE0EEB">
              <w:t>-7.79 (0.45)</w:t>
            </w:r>
          </w:p>
        </w:tc>
        <w:tc>
          <w:tcPr>
            <w:tcW w:w="920" w:type="pct"/>
            <w:vAlign w:val="center"/>
          </w:tcPr>
          <w:p w14:paraId="653C99A4" w14:textId="77777777" w:rsidR="0008002E" w:rsidRPr="00EE0EEB" w:rsidRDefault="0008002E" w:rsidP="006C66C7">
            <w:pPr>
              <w:pStyle w:val="TableText"/>
              <w:keepNext/>
              <w:keepLines/>
              <w:jc w:val="center"/>
            </w:pPr>
            <w:r w:rsidRPr="00EE0EEB">
              <w:t>n=651</w:t>
            </w:r>
          </w:p>
          <w:p w14:paraId="60DF19A5" w14:textId="77777777" w:rsidR="0008002E" w:rsidRPr="00EE0EEB" w:rsidRDefault="0008002E" w:rsidP="006C66C7">
            <w:pPr>
              <w:pStyle w:val="TableText"/>
              <w:keepNext/>
              <w:keepLines/>
              <w:jc w:val="center"/>
            </w:pPr>
            <w:r w:rsidRPr="00EE0EEB">
              <w:t>-10.38 (0.43)</w:t>
            </w:r>
          </w:p>
        </w:tc>
        <w:tc>
          <w:tcPr>
            <w:tcW w:w="1304" w:type="pct"/>
            <w:vAlign w:val="center"/>
          </w:tcPr>
          <w:p w14:paraId="69E7AC73" w14:textId="77777777" w:rsidR="0008002E" w:rsidRPr="00EE0EEB" w:rsidRDefault="0008002E" w:rsidP="006C66C7">
            <w:pPr>
              <w:pStyle w:val="TableText"/>
              <w:keepNext/>
              <w:keepLines/>
              <w:jc w:val="center"/>
            </w:pPr>
            <w:r w:rsidRPr="00EE0EEB">
              <w:t>2.59 (1.39, 3.80)</w:t>
            </w:r>
          </w:p>
          <w:p w14:paraId="77CFABFD" w14:textId="77777777" w:rsidR="0008002E" w:rsidRPr="00EE0EEB" w:rsidRDefault="0008002E" w:rsidP="006C66C7">
            <w:pPr>
              <w:pStyle w:val="TableText"/>
              <w:keepNext/>
              <w:keepLines/>
              <w:jc w:val="center"/>
            </w:pPr>
            <w:r w:rsidRPr="00EE0EEB">
              <w:t>p&lt;0.001</w:t>
            </w:r>
          </w:p>
        </w:tc>
        <w:tc>
          <w:tcPr>
            <w:tcW w:w="1107" w:type="pct"/>
            <w:vAlign w:val="center"/>
          </w:tcPr>
          <w:p w14:paraId="7505FE8B" w14:textId="77777777" w:rsidR="0008002E" w:rsidRPr="00EE0EEB" w:rsidRDefault="0008002E" w:rsidP="006C66C7">
            <w:pPr>
              <w:pStyle w:val="TableText"/>
              <w:keepNext/>
              <w:keepLines/>
              <w:jc w:val="center"/>
            </w:pPr>
            <w:r w:rsidRPr="00EE0EEB">
              <w:t>25.0</w:t>
            </w:r>
          </w:p>
          <w:p w14:paraId="02032199" w14:textId="77777777" w:rsidR="0008002E" w:rsidRPr="00EE0EEB" w:rsidRDefault="0008002E" w:rsidP="006C66C7">
            <w:pPr>
              <w:pStyle w:val="TableText"/>
              <w:keepNext/>
              <w:keepLines/>
              <w:jc w:val="center"/>
            </w:pPr>
            <w:r w:rsidRPr="00EE0EEB">
              <w:t>(13.2, 36.8)</w:t>
            </w:r>
          </w:p>
        </w:tc>
      </w:tr>
      <w:tr w:rsidR="0008002E" w:rsidRPr="00EE0EEB" w14:paraId="73EEEE59" w14:textId="77777777" w:rsidTr="00E81465">
        <w:trPr>
          <w:cantSplit/>
          <w:trHeight w:val="283"/>
        </w:trPr>
        <w:tc>
          <w:tcPr>
            <w:tcW w:w="671" w:type="pct"/>
          </w:tcPr>
          <w:p w14:paraId="40D8983B" w14:textId="77777777" w:rsidR="0008002E" w:rsidRPr="00EE0EEB" w:rsidRDefault="0008002E" w:rsidP="006C66C7">
            <w:pPr>
              <w:pStyle w:val="TableText"/>
              <w:keepNext/>
              <w:keepLines/>
            </w:pPr>
            <w:r w:rsidRPr="00EE0EEB">
              <w:t>Week 76</w:t>
            </w:r>
          </w:p>
        </w:tc>
        <w:tc>
          <w:tcPr>
            <w:tcW w:w="998" w:type="pct"/>
            <w:vAlign w:val="center"/>
          </w:tcPr>
          <w:p w14:paraId="5054ECA5" w14:textId="77777777" w:rsidR="0008002E" w:rsidRPr="00EE0EEB" w:rsidRDefault="0008002E" w:rsidP="006C66C7">
            <w:pPr>
              <w:pStyle w:val="TableText"/>
              <w:keepNext/>
              <w:keepLines/>
              <w:jc w:val="center"/>
            </w:pPr>
            <w:r w:rsidRPr="00EE0EEB">
              <w:t>n=583</w:t>
            </w:r>
          </w:p>
          <w:p w14:paraId="65074E48" w14:textId="77777777" w:rsidR="0008002E" w:rsidRPr="00EE0EEB" w:rsidRDefault="0008002E" w:rsidP="006C66C7">
            <w:pPr>
              <w:pStyle w:val="TableText"/>
              <w:keepNext/>
              <w:keepLines/>
              <w:jc w:val="center"/>
            </w:pPr>
            <w:r w:rsidRPr="00EE0EEB">
              <w:t>-10.19 (0.53)</w:t>
            </w:r>
          </w:p>
        </w:tc>
        <w:tc>
          <w:tcPr>
            <w:tcW w:w="920" w:type="pct"/>
            <w:vAlign w:val="center"/>
          </w:tcPr>
          <w:p w14:paraId="6452FFEA" w14:textId="77777777" w:rsidR="0008002E" w:rsidRPr="00EE0EEB" w:rsidRDefault="0008002E" w:rsidP="006C66C7">
            <w:pPr>
              <w:pStyle w:val="TableText"/>
              <w:keepNext/>
              <w:keepLines/>
              <w:jc w:val="center"/>
            </w:pPr>
            <w:r w:rsidRPr="00EE0EEB">
              <w:t>n=653</w:t>
            </w:r>
          </w:p>
          <w:p w14:paraId="5F309317" w14:textId="77777777" w:rsidR="0008002E" w:rsidRPr="00EE0EEB" w:rsidRDefault="0008002E" w:rsidP="006C66C7">
            <w:pPr>
              <w:pStyle w:val="TableText"/>
              <w:keepNext/>
              <w:keepLines/>
              <w:jc w:val="center"/>
            </w:pPr>
            <w:r w:rsidRPr="00EE0EEB">
              <w:t>-13.11 (0.50)</w:t>
            </w:r>
          </w:p>
        </w:tc>
        <w:tc>
          <w:tcPr>
            <w:tcW w:w="1304" w:type="pct"/>
            <w:vAlign w:val="center"/>
          </w:tcPr>
          <w:p w14:paraId="6587C673" w14:textId="77777777" w:rsidR="0008002E" w:rsidRPr="00EE0EEB" w:rsidRDefault="0008002E" w:rsidP="006C66C7">
            <w:pPr>
              <w:pStyle w:val="TableText"/>
              <w:keepNext/>
              <w:keepLines/>
              <w:jc w:val="center"/>
            </w:pPr>
            <w:r w:rsidRPr="00EE0EEB">
              <w:t>2.92 (1.51, 4.33)</w:t>
            </w:r>
          </w:p>
          <w:p w14:paraId="24D5159A" w14:textId="77777777" w:rsidR="0008002E" w:rsidRPr="00EE0EEB" w:rsidRDefault="0008002E" w:rsidP="006C66C7">
            <w:pPr>
              <w:pStyle w:val="TableText"/>
              <w:keepNext/>
              <w:keepLines/>
              <w:jc w:val="center"/>
            </w:pPr>
            <w:r w:rsidRPr="00EE0EEB">
              <w:t>p&lt;0.001</w:t>
            </w:r>
          </w:p>
        </w:tc>
        <w:tc>
          <w:tcPr>
            <w:tcW w:w="1107" w:type="pct"/>
            <w:vAlign w:val="center"/>
          </w:tcPr>
          <w:p w14:paraId="1DAA7709" w14:textId="77777777" w:rsidR="0008002E" w:rsidRPr="00EE0EEB" w:rsidRDefault="0008002E" w:rsidP="006C66C7">
            <w:pPr>
              <w:pStyle w:val="TableText"/>
              <w:keepNext/>
              <w:keepLines/>
              <w:jc w:val="center"/>
            </w:pPr>
            <w:r w:rsidRPr="00EE0EEB">
              <w:t>22.3</w:t>
            </w:r>
          </w:p>
          <w:p w14:paraId="2FA54FB0" w14:textId="77777777" w:rsidR="0008002E" w:rsidRPr="00EE0EEB" w:rsidRDefault="0008002E" w:rsidP="006C66C7">
            <w:pPr>
              <w:pStyle w:val="TableText"/>
              <w:keepNext/>
              <w:keepLines/>
              <w:jc w:val="center"/>
            </w:pPr>
            <w:r w:rsidRPr="00EE0EEB">
              <w:t>(11.4, 33.2)</w:t>
            </w:r>
          </w:p>
        </w:tc>
      </w:tr>
    </w:tbl>
    <w:p w14:paraId="303ABD40" w14:textId="77777777" w:rsidR="0008002E" w:rsidRPr="00EE0EEB" w:rsidRDefault="0008002E" w:rsidP="006C66C7">
      <w:pPr>
        <w:pStyle w:val="TableFooter"/>
        <w:keepNext/>
        <w:keepLines/>
      </w:pPr>
      <w:r w:rsidRPr="00EE0EEB">
        <w:t>Source: Table 2-53, p1</w:t>
      </w:r>
      <w:r>
        <w:t>88</w:t>
      </w:r>
      <w:r w:rsidRPr="00EE0EEB">
        <w:t xml:space="preserve"> of the submission and Table AACI.5.3, pp108-109 of the TB-2 Clinical Study Report.</w:t>
      </w:r>
    </w:p>
    <w:p w14:paraId="587B0FE6" w14:textId="18FD45D6" w:rsidR="0008002E" w:rsidRPr="00EE0EEB" w:rsidRDefault="0008002E" w:rsidP="006C66C7">
      <w:pPr>
        <w:pStyle w:val="TableFooter"/>
        <w:keepNext/>
        <w:keepLines/>
      </w:pPr>
      <w:r w:rsidRPr="00EE0EEB">
        <w:t>AD=Alzheimer</w:t>
      </w:r>
      <w:r w:rsidR="00F4444C">
        <w:t>’s</w:t>
      </w:r>
      <w:r w:rsidRPr="00EE0EEB">
        <w:t xml:space="preserve"> disease; ADAS-Cog13=Alzheimer</w:t>
      </w:r>
      <w:r w:rsidR="00F4444C">
        <w:t>’s</w:t>
      </w:r>
      <w:r w:rsidRPr="00EE0EEB">
        <w:t xml:space="preserve"> Disease Assessment Scale (Cognitive subscale); ADCS-iADL=Alzheimer</w:t>
      </w:r>
      <w:r w:rsidR="00F4444C">
        <w:t>’s</w:t>
      </w:r>
      <w:r w:rsidRPr="00EE0EEB">
        <w:t xml:space="preserve"> Disease Cooperative Study – Instrumental Activities CI=confidence interval; EES=Evaluable Efficacy Set; iADRS=Integrated Alzheimer</w:t>
      </w:r>
      <w:r w:rsidR="00F4444C">
        <w:t>’s</w:t>
      </w:r>
      <w:r w:rsidRPr="00EE0EEB">
        <w:t xml:space="preserve"> Disease Rating Scale; NCS2=natural cubic spline</w:t>
      </w:r>
      <w:r>
        <w:t>; SE=standard error.</w:t>
      </w:r>
    </w:p>
    <w:p w14:paraId="041DC79F" w14:textId="77777777" w:rsidR="0008002E" w:rsidRPr="00EE0EEB" w:rsidRDefault="0008002E" w:rsidP="006C66C7">
      <w:pPr>
        <w:pStyle w:val="TableFooter"/>
        <w:keepNext/>
        <w:keepLines/>
      </w:pPr>
      <w:r>
        <w:t>Baseline least squares mean score (SE) was similar between the donanemab and placebo arms: 103.95 (0.44).</w:t>
      </w:r>
    </w:p>
    <w:p w14:paraId="057FC2CE" w14:textId="77777777" w:rsidR="0008002E" w:rsidRPr="00EE0EEB" w:rsidRDefault="0008002E" w:rsidP="006C66C7">
      <w:pPr>
        <w:pStyle w:val="TableFooter"/>
        <w:keepNext/>
        <w:keepLines/>
        <w:rPr>
          <w:bCs/>
        </w:rPr>
      </w:pPr>
      <w:r w:rsidRPr="00EE0EEB">
        <w:rPr>
          <w:bCs/>
          <w:vertAlign w:val="superscript"/>
        </w:rPr>
        <w:t>a</w:t>
      </w:r>
      <w:r>
        <w:rPr>
          <w:bCs/>
          <w:vertAlign w:val="superscript"/>
        </w:rPr>
        <w:t xml:space="preserve"> </w:t>
      </w:r>
      <w:r w:rsidRPr="00EE0EEB">
        <w:rPr>
          <w:bCs/>
        </w:rPr>
        <w:t>The iADRS assesses the impact of cognitive loss on the ability to conduct everyday activities and provides a measure of global AD severity across the AD continuum as a single summary score. The composite score comprises two underlying domains: cognitive ability and functional ability. The actual scales administered to participants in the trial were the ADAS Cog13 and the ADCS-ADL.</w:t>
      </w:r>
    </w:p>
    <w:p w14:paraId="11611A7A" w14:textId="77777777" w:rsidR="0008002E" w:rsidRPr="00EE0EEB" w:rsidRDefault="0008002E" w:rsidP="006C66C7">
      <w:pPr>
        <w:pStyle w:val="TableFooter"/>
        <w:keepNext/>
        <w:keepLines/>
      </w:pPr>
      <w:r w:rsidRPr="00EE0EEB">
        <w:t>Lower scores on the iADRS indicate greater impairment; iADRS scores range from 0 to 144. All items of the ADAS-Cog13 and ADCS-iADL are included without additional weighting of items.</w:t>
      </w:r>
    </w:p>
    <w:p w14:paraId="5541724A" w14:textId="77777777" w:rsidR="0008002E" w:rsidRPr="00EE0EEB" w:rsidRDefault="0008002E" w:rsidP="006C66C7">
      <w:pPr>
        <w:pStyle w:val="TableFooter"/>
        <w:keepNext/>
        <w:keepLines/>
      </w:pPr>
      <w:r w:rsidRPr="00EE0EEB">
        <w:rPr>
          <w:vertAlign w:val="superscript"/>
        </w:rPr>
        <w:t>b</w:t>
      </w:r>
      <w:r w:rsidRPr="00EE0EEB">
        <w:t>A Natural Cubic Spline (NCS)</w:t>
      </w:r>
      <w:r w:rsidRPr="00EE0EEB">
        <w:rPr>
          <w:vertAlign w:val="superscript"/>
        </w:rPr>
        <w:footnoteReference w:id="30"/>
      </w:r>
      <w:r w:rsidRPr="00EE0EEB">
        <w:t xml:space="preserve"> model with 2 degrees of freedom (NCS2) was used to assess the difference between treatment groups in iADRS at Week 76.</w:t>
      </w:r>
    </w:p>
    <w:p w14:paraId="4ACA7505" w14:textId="79668659" w:rsidR="0008002E" w:rsidRPr="00EE0EEB" w:rsidRDefault="000B11AF" w:rsidP="000B11AF">
      <w:pPr>
        <w:pStyle w:val="Caption"/>
      </w:pPr>
      <w:bookmarkStart w:id="18" w:name="_Ref204780437"/>
      <w:r>
        <w:t xml:space="preserve">Figure </w:t>
      </w:r>
      <w:r>
        <w:fldChar w:fldCharType="begin"/>
      </w:r>
      <w:r>
        <w:instrText xml:space="preserve"> SEQ Figure \* ARABIC </w:instrText>
      </w:r>
      <w:r>
        <w:fldChar w:fldCharType="separate"/>
      </w:r>
      <w:r w:rsidR="00392423">
        <w:rPr>
          <w:noProof/>
        </w:rPr>
        <w:t>2</w:t>
      </w:r>
      <w:r>
        <w:fldChar w:fldCharType="end"/>
      </w:r>
      <w:bookmarkEnd w:id="18"/>
      <w:r w:rsidR="00564839">
        <w:t xml:space="preserve">: </w:t>
      </w:r>
      <w:r w:rsidR="0008002E" w:rsidRPr="5EEE9212">
        <w:t>iADRS change from baseline to 76 weeks in the overall population (NCS2)</w:t>
      </w:r>
    </w:p>
    <w:p w14:paraId="53F82F7C" w14:textId="77777777" w:rsidR="0008002E" w:rsidRPr="00EE0EEB" w:rsidRDefault="0008002E" w:rsidP="0008002E">
      <w:pPr>
        <w:pStyle w:val="TableFigNotes18"/>
      </w:pPr>
      <w:r w:rsidRPr="00EE0EEB">
        <w:rPr>
          <w:b/>
          <w:bCs/>
          <w:noProof/>
        </w:rPr>
        <w:drawing>
          <wp:inline distT="0" distB="0" distL="0" distR="0" wp14:anchorId="4F0F4179" wp14:editId="71C4F03B">
            <wp:extent cx="5705475" cy="3347085"/>
            <wp:effectExtent l="0" t="0" r="9525" b="0"/>
            <wp:docPr id="245466369" name="Picture 245466369" descr="Figure 2: iADRS change from baseline to 76 weeks in the overall population (NCS2)">
              <a:extLst xmlns:a="http://schemas.openxmlformats.org/drawingml/2006/main">
                <a:ext uri="{FF2B5EF4-FFF2-40B4-BE49-F238E27FC236}">
                  <a16:creationId xmlns:a16="http://schemas.microsoft.com/office/drawing/2014/main" id="{45702773-31A5-ED09-0B35-0C8B2E5F93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66369" name="Picture 245466369" descr="Figure 2: iADRS change from baseline to 76 weeks in the overall population (NCS2)">
                      <a:extLst>
                        <a:ext uri="{FF2B5EF4-FFF2-40B4-BE49-F238E27FC236}">
                          <a16:creationId xmlns:a16="http://schemas.microsoft.com/office/drawing/2014/main" id="{45702773-31A5-ED09-0B35-0C8B2E5F9328}"/>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a:xfrm>
                      <a:off x="0" y="0"/>
                      <a:ext cx="5810288" cy="3408573"/>
                    </a:xfrm>
                    <a:prstGeom prst="rect">
                      <a:avLst/>
                    </a:prstGeom>
                  </pic:spPr>
                </pic:pic>
              </a:graphicData>
            </a:graphic>
          </wp:inline>
        </w:drawing>
      </w:r>
    </w:p>
    <w:p w14:paraId="73428CBF" w14:textId="77777777" w:rsidR="0008002E" w:rsidRPr="00EE0EEB" w:rsidRDefault="0008002E" w:rsidP="0008002E">
      <w:pPr>
        <w:pStyle w:val="TableFooter"/>
      </w:pPr>
      <w:r w:rsidRPr="00EE0EEB">
        <w:t>Source: Figure 2-23, p193 of the submission.</w:t>
      </w:r>
    </w:p>
    <w:p w14:paraId="5B1E8062" w14:textId="08D996B2" w:rsidR="0008002E" w:rsidRPr="00EE0EEB" w:rsidRDefault="0008002E" w:rsidP="0008002E">
      <w:pPr>
        <w:pStyle w:val="TableFooter"/>
      </w:pPr>
      <w:r w:rsidRPr="00EE0EEB">
        <w:t>CI=confidence interval; iADRS=Integrated Alzheimer</w:t>
      </w:r>
      <w:r w:rsidR="00F4444C">
        <w:t>’s</w:t>
      </w:r>
      <w:r w:rsidRPr="00EE0EEB">
        <w:t xml:space="preserve"> Disease Rating Scale; NCS=natural cubic spline model</w:t>
      </w:r>
    </w:p>
    <w:p w14:paraId="3C301953" w14:textId="2BEDC44B" w:rsidR="0008002E" w:rsidRPr="00082CB2" w:rsidRDefault="0008002E" w:rsidP="00DD02B1">
      <w:pPr>
        <w:pStyle w:val="3-BodyText"/>
        <w:numPr>
          <w:ilvl w:val="1"/>
          <w:numId w:val="23"/>
        </w:numPr>
        <w:spacing w:before="60" w:after="60"/>
        <w:ind w:left="709" w:hanging="709"/>
      </w:pPr>
      <w:r w:rsidRPr="006F6126">
        <w:lastRenderedPageBreak/>
        <w:t>Mean baseline scores were similar between the donanemab and placebo arms (Least squares [LS] mean of 103.95). The LS mean (± standard error [SE]) change from baseline in iADRS score (range 0</w:t>
      </w:r>
      <w:r w:rsidR="00EF0803">
        <w:t xml:space="preserve"> to </w:t>
      </w:r>
      <w:r w:rsidRPr="006F6126">
        <w:t>144) at Week 76 in the overall population (intermediate or high levels of brain tau at screening) was -13.11 (±0.50) in the placebo arm and -10.19 (±0.53) in the donanemab arm, with a mean difference (95% CI) between the arms of 2.92 (95% CI: 1.51, 4.33</w:t>
      </w:r>
      <w:r w:rsidR="00EF0803">
        <w:t>;</w:t>
      </w:r>
      <w:r w:rsidRPr="006F6126">
        <w:t xml:space="preserve"> p&lt;0.001), favouring donanemab. This difference corresponded to 22.3% reduction of disease decline under donanemab or 77.7% of the decline under placebo (100*(13.11 – 2.92)/13.11). Separation of donanemab from placebo was detected by Week 12, which was nominally statistically significant, and was maintained through to Week 76.</w:t>
      </w:r>
      <w:r>
        <w:t xml:space="preserve"> </w:t>
      </w:r>
      <w:r w:rsidRPr="00082CB2">
        <w:t>The ESC considered that, although the difference in iADRS was statistically significant, the clinical significance of the change and whether it would result in a noticeable benefit to patients and caregivers was highly uncertain.</w:t>
      </w:r>
      <w:r w:rsidR="00551FB1">
        <w:t xml:space="preserve"> The pre-PBAC response </w:t>
      </w:r>
      <w:r w:rsidR="00D75AA2">
        <w:t>stated that the 3 point change should be interpreted in t</w:t>
      </w:r>
      <w:r w:rsidR="008D4534">
        <w:t>he context that at baseline 80% of patients had a score within a 36 point range</w:t>
      </w:r>
      <w:r w:rsidR="00674942">
        <w:t>.</w:t>
      </w:r>
    </w:p>
    <w:p w14:paraId="1C486A4F" w14:textId="77777777" w:rsidR="0008002E" w:rsidRPr="00082CB2" w:rsidRDefault="0008002E" w:rsidP="00DD02B1">
      <w:pPr>
        <w:pStyle w:val="3-BodyText"/>
        <w:numPr>
          <w:ilvl w:val="1"/>
          <w:numId w:val="23"/>
        </w:numPr>
        <w:spacing w:before="60" w:after="60"/>
        <w:ind w:left="709" w:hanging="709"/>
      </w:pPr>
      <w:r w:rsidRPr="00082CB2">
        <w:t>The ESC noted that</w:t>
      </w:r>
      <w:r>
        <w:t xml:space="preserve"> the </w:t>
      </w:r>
      <w:r w:rsidRPr="006F6126">
        <w:t>submission</w:t>
      </w:r>
      <w:r w:rsidRPr="006F6126" w:rsidDel="00460494">
        <w:t xml:space="preserve"> </w:t>
      </w:r>
      <w:r>
        <w:t>claimed</w:t>
      </w:r>
      <w:r w:rsidRPr="006F6126">
        <w:t xml:space="preserve"> that a difference between groups of ≥20% slowing of disease on the iADRS scale is considered clinically meaningful. One of the cited references in the submission to support this claim was the key publication of the TB-2 trial by Sims et al (2023)</w:t>
      </w:r>
      <w:r w:rsidRPr="006F6126">
        <w:rPr>
          <w:rStyle w:val="FootnoteReference"/>
        </w:rPr>
        <w:footnoteReference w:id="31"/>
      </w:r>
      <w:r w:rsidRPr="006F6126">
        <w:t xml:space="preserve"> who stated that donanemab treatment resulted in clinically meaningful benefit (considered to be &gt;20% slowing of clinical progression) on the iADRS scale. </w:t>
      </w:r>
      <w:r w:rsidRPr="00082CB2">
        <w:t>However, the ESC noted that there was no clear evidence provided in Sims et al (2023) to support a &gt;20% threshold for slowing of clinical progression, as a clinically meaningful difference between treatment groups. The PSCR stated that Petersen et al (2023)</w:t>
      </w:r>
      <w:r w:rsidRPr="00082CB2">
        <w:rPr>
          <w:rStyle w:val="FootnoteReference"/>
        </w:rPr>
        <w:footnoteReference w:id="32"/>
      </w:r>
      <w:r w:rsidRPr="00082CB2">
        <w:t xml:space="preserve"> also stated that a 20% or greater slowing of AD between treatment groups was clinically meaningful. The ESCs noted that Petersen et al (2023) stated that in AD, where current technology allows us to detect evidence of its onset one to two decades before death, a 20% to 30% slowing of the disease initiated in the earlier stages of the disease could mean more time in the less impaired and more functional stages of the disease, as well as a delay in the onset of a later stage (i.e., severe) decline.</w:t>
      </w:r>
    </w:p>
    <w:p w14:paraId="2123146B" w14:textId="00727CB1" w:rsidR="0008002E" w:rsidRDefault="0008002E" w:rsidP="00DD02B1">
      <w:pPr>
        <w:pStyle w:val="3-BodyText"/>
        <w:numPr>
          <w:ilvl w:val="1"/>
          <w:numId w:val="23"/>
        </w:numPr>
        <w:spacing w:before="60" w:after="60"/>
        <w:ind w:left="709" w:hanging="709"/>
      </w:pPr>
      <w:r w:rsidRPr="006F6126">
        <w:t>The submission noted that a meaningful change (or meaningful worsening) for the iADRS is a 5-point decrease from baseline for patients with baseline clinical status as MCI, or a 9 point-decrease from baseline for patients with baseline clinical status as mild AD</w:t>
      </w:r>
      <w:r w:rsidRPr="006F6126">
        <w:rPr>
          <w:rStyle w:val="FootnoteReference"/>
        </w:rPr>
        <w:footnoteReference w:id="33"/>
      </w:r>
      <w:r w:rsidRPr="006F6126">
        <w:t xml:space="preserve">. These threshold criteria for meaningful change are specifically intended to evaluate within-patient changes and are not intended to assess the magnitude and </w:t>
      </w:r>
      <w:r w:rsidRPr="006F6126">
        <w:lastRenderedPageBreak/>
        <w:t>meaningfulness of differences between group-level changes over time</w:t>
      </w:r>
      <w:r w:rsidRPr="006F6126">
        <w:rPr>
          <w:rStyle w:val="FootnoteReference"/>
        </w:rPr>
        <w:footnoteReference w:id="34"/>
      </w:r>
      <w:r w:rsidRPr="006F6126">
        <w:t>. The published minimal clinically meaningful differences (MCIDs) in the literature for iADRS also represent individual, within‐patient changes and are different from between‐group treatment effects</w:t>
      </w:r>
      <w:r w:rsidRPr="006F6126">
        <w:rPr>
          <w:vertAlign w:val="superscript"/>
        </w:rPr>
        <w:footnoteReference w:id="35"/>
      </w:r>
      <w:r w:rsidRPr="006F6126">
        <w:t>.</w:t>
      </w:r>
      <w:r w:rsidR="009A2FB2">
        <w:t xml:space="preserve"> </w:t>
      </w:r>
      <w:r w:rsidRPr="006F6126">
        <w:t xml:space="preserve">There is lack of consensus on MCIDs for between group comparisons in AD trials of anti-amyloid therapies. Various suggested MCIDs represent within patient changes and are not applicable to a between group comparison. </w:t>
      </w:r>
      <w:r w:rsidRPr="00082CB2">
        <w:t>The ESCs noted that there was no clearly established MCID in the published literature or consensus on what constitutes a clinically meaningful difference in treatment effect between groups. Based on an iADRS score range of 0</w:t>
      </w:r>
      <w:r w:rsidR="00E53DBF">
        <w:t xml:space="preserve"> to</w:t>
      </w:r>
      <w:r w:rsidR="000A5065">
        <w:t xml:space="preserve"> </w:t>
      </w:r>
      <w:r w:rsidRPr="00082CB2">
        <w:t>144, the ESC</w:t>
      </w:r>
      <w:r w:rsidR="00254C0A">
        <w:t>s</w:t>
      </w:r>
      <w:r w:rsidRPr="00082CB2">
        <w:t xml:space="preserve"> noted tha</w:t>
      </w:r>
      <w:r w:rsidRPr="00DD4254">
        <w:t>t</w:t>
      </w:r>
      <w:r>
        <w:t xml:space="preserve"> the </w:t>
      </w:r>
      <w:r w:rsidRPr="006F6126">
        <w:t>observed adjusted mean treatment difference between donanemab versus placebo appears modest.</w:t>
      </w:r>
    </w:p>
    <w:p w14:paraId="59D31DCB" w14:textId="3AC5AA29" w:rsidR="0008002E" w:rsidRPr="006F6126" w:rsidRDefault="0008002E" w:rsidP="00DD02B1">
      <w:pPr>
        <w:pStyle w:val="3-BodyText"/>
        <w:numPr>
          <w:ilvl w:val="1"/>
          <w:numId w:val="23"/>
        </w:numPr>
        <w:spacing w:before="60" w:after="60"/>
        <w:ind w:left="709" w:hanging="709"/>
      </w:pPr>
      <w:r w:rsidRPr="006F6126">
        <w:t xml:space="preserve">A time-progression model for repeated measures (PMRM) analysis was conducted to quantify the time delay in disease progression on the iADRS associated with donanemab compared with placebo. The results are summarised in </w:t>
      </w:r>
      <w:r w:rsidR="008D38DA">
        <w:fldChar w:fldCharType="begin"/>
      </w:r>
      <w:r w:rsidR="008D38DA">
        <w:instrText xml:space="preserve"> REF _Ref204779896 \h </w:instrText>
      </w:r>
      <w:r w:rsidR="008D38DA">
        <w:fldChar w:fldCharType="separate"/>
      </w:r>
      <w:r w:rsidR="00392423">
        <w:t xml:space="preserve">Table </w:t>
      </w:r>
      <w:r w:rsidR="00392423">
        <w:rPr>
          <w:noProof/>
        </w:rPr>
        <w:t>8</w:t>
      </w:r>
      <w:r w:rsidR="008D38DA">
        <w:fldChar w:fldCharType="end"/>
      </w:r>
      <w:r w:rsidRPr="006F6126">
        <w:t>.</w:t>
      </w:r>
    </w:p>
    <w:p w14:paraId="132AD52F" w14:textId="61159A9E" w:rsidR="0008002E" w:rsidRPr="00EE0EEB" w:rsidRDefault="008D38DA" w:rsidP="008D38DA">
      <w:pPr>
        <w:pStyle w:val="Caption"/>
      </w:pPr>
      <w:bookmarkStart w:id="19" w:name="_Ref204779896"/>
      <w:r>
        <w:t xml:space="preserve">Table </w:t>
      </w:r>
      <w:r>
        <w:fldChar w:fldCharType="begin"/>
      </w:r>
      <w:r>
        <w:instrText xml:space="preserve"> SEQ Table \* ARABIC </w:instrText>
      </w:r>
      <w:r>
        <w:fldChar w:fldCharType="separate"/>
      </w:r>
      <w:r w:rsidR="00392423">
        <w:rPr>
          <w:noProof/>
        </w:rPr>
        <w:t>8</w:t>
      </w:r>
      <w:r>
        <w:fldChar w:fldCharType="end"/>
      </w:r>
      <w:bookmarkEnd w:id="19"/>
      <w:r w:rsidR="000A0F04">
        <w:t xml:space="preserve">: </w:t>
      </w:r>
      <w:r w:rsidR="0008002E" w:rsidRPr="5EEE9212">
        <w:t>TB-2: Delay in disease progression as measured by iADRS change from baseline at 76 weeks in the overall population</w:t>
      </w:r>
    </w:p>
    <w:tbl>
      <w:tblPr>
        <w:tblStyle w:val="HTATableshaded"/>
        <w:tblW w:w="5000" w:type="pct"/>
        <w:tblLook w:val="04A0" w:firstRow="1" w:lastRow="0" w:firstColumn="1" w:lastColumn="0" w:noHBand="0" w:noVBand="1"/>
        <w:tblCaption w:val="Table 8: TB-2: Delay in disease progression as measured by iADRS change from baseline at 76 weeks in the overall population"/>
      </w:tblPr>
      <w:tblGrid>
        <w:gridCol w:w="6160"/>
        <w:gridCol w:w="2856"/>
      </w:tblGrid>
      <w:tr w:rsidR="0008002E" w:rsidRPr="00EE0EEB" w14:paraId="7513E506" w14:textId="77777777" w:rsidTr="00E53DBF">
        <w:trPr>
          <w:cnfStyle w:val="100000000000" w:firstRow="1" w:lastRow="0" w:firstColumn="0" w:lastColumn="0" w:oddVBand="0" w:evenVBand="0" w:oddHBand="0" w:evenHBand="0" w:firstRowFirstColumn="0" w:firstRowLastColumn="0" w:lastRowFirstColumn="0" w:lastRowLastColumn="0"/>
          <w:trHeight w:val="182"/>
        </w:trPr>
        <w:tc>
          <w:tcPr>
            <w:tcW w:w="5000" w:type="pct"/>
            <w:gridSpan w:val="2"/>
          </w:tcPr>
          <w:p w14:paraId="6D4116C8" w14:textId="77777777" w:rsidR="0008002E" w:rsidRPr="00EE0EEB" w:rsidRDefault="0008002E" w:rsidP="00E81465">
            <w:pPr>
              <w:pStyle w:val="TableText"/>
            </w:pPr>
            <w:r w:rsidRPr="00EE0EEB">
              <w:t>Delayed disease progression at 76 weeks as measured by iADRS</w:t>
            </w:r>
          </w:p>
        </w:tc>
      </w:tr>
      <w:tr w:rsidR="0008002E" w:rsidRPr="00EE0EEB" w14:paraId="5D17A766" w14:textId="77777777" w:rsidTr="00E53DBF">
        <w:trPr>
          <w:trHeight w:val="53"/>
        </w:trPr>
        <w:tc>
          <w:tcPr>
            <w:tcW w:w="3416" w:type="pct"/>
          </w:tcPr>
          <w:p w14:paraId="17460673" w14:textId="77777777" w:rsidR="0008002E" w:rsidRPr="00EE0EEB" w:rsidRDefault="0008002E" w:rsidP="00E81465">
            <w:pPr>
              <w:pStyle w:val="TableText"/>
            </w:pPr>
            <w:r w:rsidRPr="00EE0EEB">
              <w:t>Months saved versus placebo (95% CI)</w:t>
            </w:r>
          </w:p>
        </w:tc>
        <w:tc>
          <w:tcPr>
            <w:tcW w:w="1584" w:type="pct"/>
          </w:tcPr>
          <w:p w14:paraId="74723993" w14:textId="77777777" w:rsidR="0008002E" w:rsidRPr="00EE0EEB" w:rsidRDefault="0008002E" w:rsidP="00E81465">
            <w:pPr>
              <w:pStyle w:val="TableText"/>
              <w:rPr>
                <w:rFonts w:eastAsia="Calibri"/>
              </w:rPr>
            </w:pPr>
            <w:r w:rsidRPr="00EE0EEB">
              <w:t>1.38 (0.46, 2.30)</w:t>
            </w:r>
          </w:p>
        </w:tc>
      </w:tr>
      <w:tr w:rsidR="0008002E" w:rsidRPr="00EE0EEB" w14:paraId="45615965" w14:textId="77777777" w:rsidTr="00E53DBF">
        <w:trPr>
          <w:trHeight w:val="62"/>
        </w:trPr>
        <w:tc>
          <w:tcPr>
            <w:tcW w:w="3416" w:type="pct"/>
          </w:tcPr>
          <w:p w14:paraId="6F7DDC94" w14:textId="77777777" w:rsidR="0008002E" w:rsidRPr="00EE0EEB" w:rsidRDefault="0008002E" w:rsidP="00E81465">
            <w:pPr>
              <w:pStyle w:val="TableText"/>
            </w:pPr>
            <w:r w:rsidRPr="00EE0EEB">
              <w:t>p-value versus placebo</w:t>
            </w:r>
          </w:p>
        </w:tc>
        <w:tc>
          <w:tcPr>
            <w:tcW w:w="1584" w:type="pct"/>
          </w:tcPr>
          <w:p w14:paraId="4A840284" w14:textId="77777777" w:rsidR="0008002E" w:rsidRPr="00EE0EEB" w:rsidRDefault="0008002E" w:rsidP="00E81465">
            <w:pPr>
              <w:pStyle w:val="TableText"/>
            </w:pPr>
            <w:r w:rsidRPr="00EE0EEB">
              <w:t>0.004</w:t>
            </w:r>
          </w:p>
        </w:tc>
      </w:tr>
    </w:tbl>
    <w:p w14:paraId="42AF508E" w14:textId="77777777" w:rsidR="0008002E" w:rsidRPr="00EE0EEB" w:rsidRDefault="0008002E" w:rsidP="0008002E">
      <w:pPr>
        <w:pStyle w:val="TableFooter"/>
      </w:pPr>
      <w:r w:rsidRPr="00EE0EEB">
        <w:t>Source: Table 2-57, p204 of the submission.</w:t>
      </w:r>
    </w:p>
    <w:p w14:paraId="5AB241C2" w14:textId="36F37119" w:rsidR="0008002E" w:rsidRPr="00EE0EEB" w:rsidRDefault="0008002E" w:rsidP="0008002E">
      <w:pPr>
        <w:pStyle w:val="TableFooter"/>
      </w:pPr>
      <w:r w:rsidRPr="00EE0EEB">
        <w:t>iADRS=Integrated Alzheimer</w:t>
      </w:r>
      <w:r w:rsidR="00F4444C">
        <w:t>’s</w:t>
      </w:r>
      <w:r w:rsidRPr="00EE0EEB">
        <w:t xml:space="preserve"> Disease Rating Scale; CI=confidence interval</w:t>
      </w:r>
    </w:p>
    <w:p w14:paraId="03919815" w14:textId="77777777" w:rsidR="0008002E" w:rsidRPr="006F6126" w:rsidRDefault="0008002E" w:rsidP="0008002E">
      <w:pPr>
        <w:pStyle w:val="TableFooter"/>
      </w:pPr>
      <w:r w:rsidRPr="006F6126">
        <w:t>Analysis not prespecified as gated (adjusted for multiplicity) in the TB-2 statistical analysis plan.</w:t>
      </w:r>
    </w:p>
    <w:p w14:paraId="038400A0" w14:textId="559B5187" w:rsidR="0008002E" w:rsidRPr="006F6126" w:rsidRDefault="0008002E" w:rsidP="00DD02B1">
      <w:pPr>
        <w:pStyle w:val="3-BodyText"/>
        <w:numPr>
          <w:ilvl w:val="1"/>
          <w:numId w:val="23"/>
        </w:numPr>
        <w:spacing w:before="60" w:after="60"/>
        <w:ind w:left="709" w:hanging="709"/>
      </w:pPr>
      <w:r w:rsidRPr="006F6126">
        <w:t xml:space="preserve">The estimated time saved (delay in progression) with donanemab compared with placebo was 1.38 months (95% CI: 0.46, 2.3; p=0.004) in the overall population over the 18-month treatment period. </w:t>
      </w:r>
      <w:r w:rsidRPr="00082CB2">
        <w:t>The ESC</w:t>
      </w:r>
      <w:r w:rsidR="004610B5">
        <w:t>s</w:t>
      </w:r>
      <w:r w:rsidRPr="00082CB2">
        <w:t xml:space="preserve"> considered that the magnitude of time delay in progression</w:t>
      </w:r>
      <w:r w:rsidRPr="00082CB2" w:rsidDel="009246A0">
        <w:t xml:space="preserve"> </w:t>
      </w:r>
      <w:r w:rsidRPr="00082CB2">
        <w:t>was small, and that the clinical meaningfulness of the delay was highly uncertain.</w:t>
      </w:r>
      <w:r w:rsidRPr="006F6126">
        <w:t xml:space="preserve"> The submission noted that the observed delay in disease progression with donanemab compared with placebo should be interpreted within the context of the 18-month period and that placebo patients were mostly (~60%) receiving standard-of-care therapy for AD (i.e., on a background of AChEIs and/or memantine). However, a similar percentage of patients in the donanemab arm were also on concomitant medications consisting of AChEIs and/or memantine. It remains uncertain whether the estimated time saved with donanemab would increase when projected over subsequent years. </w:t>
      </w:r>
    </w:p>
    <w:p w14:paraId="7A18A6EE" w14:textId="517B4F2F" w:rsidR="0008002E" w:rsidRPr="006F6126" w:rsidRDefault="000B11AF" w:rsidP="00DD02B1">
      <w:pPr>
        <w:pStyle w:val="3-BodyText"/>
        <w:numPr>
          <w:ilvl w:val="1"/>
          <w:numId w:val="23"/>
        </w:numPr>
        <w:spacing w:before="60" w:after="60"/>
        <w:ind w:left="709" w:hanging="709"/>
      </w:pPr>
      <w:r>
        <w:fldChar w:fldCharType="begin"/>
      </w:r>
      <w:r>
        <w:instrText xml:space="preserve"> REF _Ref204780476 \h </w:instrText>
      </w:r>
      <w:r>
        <w:fldChar w:fldCharType="separate"/>
      </w:r>
      <w:r w:rsidR="00392423">
        <w:t xml:space="preserve">Figure </w:t>
      </w:r>
      <w:r w:rsidR="00392423">
        <w:rPr>
          <w:noProof/>
        </w:rPr>
        <w:t>3</w:t>
      </w:r>
      <w:r>
        <w:fldChar w:fldCharType="end"/>
      </w:r>
      <w:r w:rsidR="0008002E" w:rsidRPr="006F6126">
        <w:t xml:space="preserve"> depicts the hazard of progression or clinical worsening for the donanemab and placebo arms on the iADRS in the TB-2 overall population. </w:t>
      </w:r>
    </w:p>
    <w:p w14:paraId="1EC8EA21" w14:textId="4B504A51" w:rsidR="0008002E" w:rsidRPr="00EE0EEB" w:rsidRDefault="000B11AF" w:rsidP="000B11AF">
      <w:pPr>
        <w:pStyle w:val="Caption"/>
      </w:pPr>
      <w:bookmarkStart w:id="20" w:name="_Ref204780476"/>
      <w:r>
        <w:lastRenderedPageBreak/>
        <w:t xml:space="preserve">Figure </w:t>
      </w:r>
      <w:r>
        <w:fldChar w:fldCharType="begin"/>
      </w:r>
      <w:r>
        <w:instrText xml:space="preserve"> SEQ Figure \* ARABIC </w:instrText>
      </w:r>
      <w:r>
        <w:fldChar w:fldCharType="separate"/>
      </w:r>
      <w:r w:rsidR="00392423">
        <w:rPr>
          <w:noProof/>
        </w:rPr>
        <w:t>3</w:t>
      </w:r>
      <w:r>
        <w:fldChar w:fldCharType="end"/>
      </w:r>
      <w:bookmarkEnd w:id="20"/>
      <w:r w:rsidR="00564839">
        <w:t xml:space="preserve">: </w:t>
      </w:r>
      <w:r w:rsidR="0008002E" w:rsidRPr="5EEE9212">
        <w:t>TB-2: Hazard of disease progression to MCID on the iADRS in the overall population (Cox proportional hazards model)</w:t>
      </w:r>
    </w:p>
    <w:p w14:paraId="1CCABC99" w14:textId="77777777" w:rsidR="0008002E" w:rsidRPr="00EE0EEB" w:rsidRDefault="0008002E" w:rsidP="0008002E">
      <w:pPr>
        <w:pStyle w:val="BodyText"/>
      </w:pPr>
      <w:r w:rsidRPr="00EE0EEB">
        <w:rPr>
          <w:noProof/>
        </w:rPr>
        <w:drawing>
          <wp:inline distT="0" distB="0" distL="0" distR="0" wp14:anchorId="64A85024" wp14:editId="7DE63751">
            <wp:extent cx="5046980" cy="2189023"/>
            <wp:effectExtent l="0" t="0" r="1270" b="1905"/>
            <wp:docPr id="364623335" name="Picture 364623335" descr="Figure 3: TB-2: Hazard of disease progression to MCID on the iADRS in the overall population (Cox proportional hazard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23335" name="Picture 364623335" descr="Figure 3: TB-2: Hazard of disease progression to MCID on the iADRS in the overall population (Cox proportional hazards mod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1620" cy="2217059"/>
                    </a:xfrm>
                    <a:prstGeom prst="rect">
                      <a:avLst/>
                    </a:prstGeom>
                    <a:noFill/>
                  </pic:spPr>
                </pic:pic>
              </a:graphicData>
            </a:graphic>
          </wp:inline>
        </w:drawing>
      </w:r>
    </w:p>
    <w:p w14:paraId="28B1ED6F" w14:textId="77777777" w:rsidR="0008002E" w:rsidRPr="006F6126" w:rsidRDefault="0008002E" w:rsidP="0008002E">
      <w:pPr>
        <w:pStyle w:val="TableFooter"/>
      </w:pPr>
      <w:r w:rsidRPr="006F6126">
        <w:t>Source: Figure 2-30, p203 of the submission and p658 of the TB-2 CSR.</w:t>
      </w:r>
    </w:p>
    <w:p w14:paraId="4CEE8979" w14:textId="0E299B88" w:rsidR="0008002E" w:rsidRPr="006F6126" w:rsidRDefault="0008002E" w:rsidP="0008002E">
      <w:pPr>
        <w:pStyle w:val="TableFooter"/>
      </w:pPr>
      <w:r w:rsidRPr="006F6126">
        <w:t>AD=Alzheimer</w:t>
      </w:r>
      <w:r w:rsidR="00F4444C">
        <w:t>’s</w:t>
      </w:r>
      <w:r w:rsidRPr="006F6126">
        <w:t xml:space="preserve"> disease; CI=confidence interval; DON=donanemab; iADRS=integrated Alzheimer</w:t>
      </w:r>
      <w:r w:rsidR="00F4444C">
        <w:t>’s</w:t>
      </w:r>
      <w:r w:rsidRPr="006F6126">
        <w:t xml:space="preserve"> Disease Rating Scale; MCI=mild cognitive impairment; MCID=minimal clinically important difference (within patient change); PBO=placebo; SE=standard error.</w:t>
      </w:r>
    </w:p>
    <w:p w14:paraId="761CD21A" w14:textId="77777777" w:rsidR="0008002E" w:rsidRPr="006F6126" w:rsidRDefault="0008002E" w:rsidP="0008002E">
      <w:pPr>
        <w:pStyle w:val="TableFooter"/>
      </w:pPr>
      <w:r w:rsidRPr="006F6126">
        <w:t>Increasing values in Y-axis for percentage of patients progressing on iADRS correspond to 0%, 10%, 20%, 30%, 40%, and 50%, respectively.</w:t>
      </w:r>
    </w:p>
    <w:p w14:paraId="4AB525E8" w14:textId="77777777" w:rsidR="0008002E" w:rsidRPr="006F6126" w:rsidRDefault="0008002E" w:rsidP="0008002E">
      <w:pPr>
        <w:pStyle w:val="TableFooter"/>
      </w:pPr>
      <w:r w:rsidRPr="006F6126">
        <w:t>MCID was defined in the Clinical Study Report as iADRS change ≥5 points for MCI due to AD and ≥9 points for mild dementia due to AD at 2 consecutive study visits. MCIDs represent within patient changes and not between group differences.</w:t>
      </w:r>
    </w:p>
    <w:p w14:paraId="227C15DE" w14:textId="1BB72B79" w:rsidR="0008002E" w:rsidRPr="00EE0EEB" w:rsidRDefault="0008002E" w:rsidP="00DD02B1">
      <w:pPr>
        <w:pStyle w:val="3-BodyText"/>
        <w:numPr>
          <w:ilvl w:val="1"/>
          <w:numId w:val="23"/>
        </w:numPr>
        <w:spacing w:before="60" w:after="60"/>
        <w:ind w:left="709" w:hanging="709"/>
      </w:pPr>
      <w:r w:rsidRPr="006F6126">
        <w:t>29% of patients in the donanemab arm compared with 40% of patients in the placebo</w:t>
      </w:r>
      <w:r w:rsidRPr="00EE0EEB">
        <w:t xml:space="preserve"> arm reached the MCID for a clinical worsening event (≥5-point or ≥9-point decrease in the iADRS score for MCI or mild AD, respectively). The reduction in hazard of progression associated with donanemab on the iADRS scale was 30% (HR </w:t>
      </w:r>
      <w:r>
        <w:t xml:space="preserve">= </w:t>
      </w:r>
      <w:r w:rsidRPr="00EE0EEB">
        <w:t>0.70</w:t>
      </w:r>
      <w:r w:rsidR="00891754">
        <w:t xml:space="preserve">; </w:t>
      </w:r>
      <w:r w:rsidRPr="00EE0EEB">
        <w:t>95% CI</w:t>
      </w:r>
      <w:r>
        <w:t>:</w:t>
      </w:r>
      <w:r w:rsidRPr="00EE0EEB">
        <w:t xml:space="preserve"> 0.58, 0.84).</w:t>
      </w:r>
    </w:p>
    <w:p w14:paraId="0D5F9E4C" w14:textId="35F3913F" w:rsidR="0008002E" w:rsidRPr="00EE0EEB" w:rsidRDefault="008D38DA" w:rsidP="00DD02B1">
      <w:pPr>
        <w:pStyle w:val="3-BodyText"/>
        <w:numPr>
          <w:ilvl w:val="1"/>
          <w:numId w:val="23"/>
        </w:numPr>
        <w:spacing w:before="60" w:after="60"/>
        <w:ind w:left="709" w:hanging="709"/>
      </w:pPr>
      <w:r>
        <w:fldChar w:fldCharType="begin"/>
      </w:r>
      <w:r>
        <w:instrText xml:space="preserve"> REF _Ref204779929 \h </w:instrText>
      </w:r>
      <w:r>
        <w:fldChar w:fldCharType="separate"/>
      </w:r>
      <w:r w:rsidR="00392423">
        <w:t xml:space="preserve">Table </w:t>
      </w:r>
      <w:r w:rsidR="00392423">
        <w:rPr>
          <w:noProof/>
        </w:rPr>
        <w:t>9</w:t>
      </w:r>
      <w:r>
        <w:fldChar w:fldCharType="end"/>
      </w:r>
      <w:r w:rsidR="0008002E" w:rsidRPr="00EE0EEB">
        <w:t xml:space="preserve"> summarises results for the key secondary outcomes in the overall population of TB-2.</w:t>
      </w:r>
    </w:p>
    <w:p w14:paraId="28488960" w14:textId="2F418962" w:rsidR="0008002E" w:rsidRPr="00EE0EEB" w:rsidRDefault="008D38DA" w:rsidP="006C66C7">
      <w:pPr>
        <w:pStyle w:val="Caption"/>
        <w:keepLines/>
        <w:rPr>
          <w:highlight w:val="yellow"/>
        </w:rPr>
      </w:pPr>
      <w:bookmarkStart w:id="21" w:name="_Ref204779929"/>
      <w:r>
        <w:lastRenderedPageBreak/>
        <w:t xml:space="preserve">Table </w:t>
      </w:r>
      <w:r>
        <w:fldChar w:fldCharType="begin"/>
      </w:r>
      <w:r>
        <w:instrText xml:space="preserve"> SEQ Table \* ARABIC </w:instrText>
      </w:r>
      <w:r>
        <w:fldChar w:fldCharType="separate"/>
      </w:r>
      <w:r w:rsidR="00392423">
        <w:rPr>
          <w:noProof/>
        </w:rPr>
        <w:t>9</w:t>
      </w:r>
      <w:r>
        <w:fldChar w:fldCharType="end"/>
      </w:r>
      <w:bookmarkEnd w:id="21"/>
      <w:r w:rsidR="000A0F04">
        <w:t xml:space="preserve">: </w:t>
      </w:r>
      <w:r w:rsidR="0008002E" w:rsidRPr="5EEE9212">
        <w:t>TB-2: Results of the key secondary endpoints</w:t>
      </w:r>
      <w:r w:rsidR="0008002E" w:rsidRPr="5EEE9212">
        <w:rPr>
          <w:vertAlign w:val="superscript"/>
        </w:rPr>
        <w:t>a</w:t>
      </w:r>
      <w:r w:rsidR="0008002E" w:rsidRPr="5EEE9212">
        <w:t xml:space="preserve"> in the overall population (EES)</w:t>
      </w:r>
    </w:p>
    <w:tbl>
      <w:tblPr>
        <w:tblStyle w:val="HTATableshaded"/>
        <w:tblW w:w="5000" w:type="pct"/>
        <w:tblLook w:val="04A0" w:firstRow="1" w:lastRow="0" w:firstColumn="1" w:lastColumn="0" w:noHBand="0" w:noVBand="1"/>
        <w:tblCaption w:val="Table 9: TB-2: Results of the key secondary endpointsa in the overall population (EES)"/>
      </w:tblPr>
      <w:tblGrid>
        <w:gridCol w:w="958"/>
        <w:gridCol w:w="925"/>
        <w:gridCol w:w="1235"/>
        <w:gridCol w:w="957"/>
        <w:gridCol w:w="959"/>
        <w:gridCol w:w="1322"/>
        <w:gridCol w:w="1318"/>
        <w:gridCol w:w="1342"/>
      </w:tblGrid>
      <w:tr w:rsidR="0008002E" w:rsidRPr="00EE0EEB" w14:paraId="77BE7518" w14:textId="77777777" w:rsidTr="00AB6701">
        <w:trPr>
          <w:cnfStyle w:val="100000000000" w:firstRow="1" w:lastRow="0" w:firstColumn="0" w:lastColumn="0" w:oddVBand="0" w:evenVBand="0" w:oddHBand="0" w:evenHBand="0" w:firstRowFirstColumn="0" w:firstRowLastColumn="0" w:lastRowFirstColumn="0" w:lastRowLastColumn="0"/>
          <w:cantSplit/>
          <w:trHeight w:val="110"/>
        </w:trPr>
        <w:tc>
          <w:tcPr>
            <w:tcW w:w="1729" w:type="pct"/>
            <w:gridSpan w:val="3"/>
            <w:tcMar>
              <w:left w:w="20" w:type="dxa"/>
              <w:right w:w="20" w:type="dxa"/>
            </w:tcMar>
          </w:tcPr>
          <w:p w14:paraId="01CAF175" w14:textId="77777777" w:rsidR="0008002E" w:rsidRPr="00EE0EEB" w:rsidRDefault="0008002E" w:rsidP="006C66C7">
            <w:pPr>
              <w:pStyle w:val="TableText"/>
              <w:keepNext/>
              <w:keepLines/>
              <w:jc w:val="center"/>
              <w:rPr>
                <w:b/>
                <w:bCs/>
              </w:rPr>
            </w:pPr>
            <w:r w:rsidRPr="00EE0EEB">
              <w:rPr>
                <w:b/>
              </w:rPr>
              <w:t>Donanemab</w:t>
            </w:r>
          </w:p>
        </w:tc>
        <w:tc>
          <w:tcPr>
            <w:tcW w:w="1796" w:type="pct"/>
            <w:gridSpan w:val="3"/>
            <w:tcMar>
              <w:left w:w="20" w:type="dxa"/>
              <w:right w:w="20" w:type="dxa"/>
            </w:tcMar>
          </w:tcPr>
          <w:p w14:paraId="619DD737" w14:textId="77777777" w:rsidR="0008002E" w:rsidRPr="00EE0EEB" w:rsidRDefault="0008002E" w:rsidP="006C66C7">
            <w:pPr>
              <w:pStyle w:val="TableText"/>
              <w:keepNext/>
              <w:keepLines/>
              <w:jc w:val="center"/>
              <w:rPr>
                <w:b/>
                <w:bCs/>
              </w:rPr>
            </w:pPr>
            <w:r w:rsidRPr="00EE0EEB">
              <w:rPr>
                <w:b/>
              </w:rPr>
              <w:t>Placebo</w:t>
            </w:r>
          </w:p>
        </w:tc>
        <w:tc>
          <w:tcPr>
            <w:tcW w:w="731" w:type="pct"/>
            <w:vMerge w:val="restart"/>
            <w:tcMar>
              <w:left w:w="20" w:type="dxa"/>
              <w:right w:w="20" w:type="dxa"/>
            </w:tcMar>
          </w:tcPr>
          <w:p w14:paraId="7F563E48" w14:textId="77777777" w:rsidR="0008002E" w:rsidRPr="00EE0EEB" w:rsidRDefault="0008002E" w:rsidP="006C66C7">
            <w:pPr>
              <w:pStyle w:val="TableText"/>
              <w:keepNext/>
              <w:keepLines/>
              <w:jc w:val="center"/>
              <w:rPr>
                <w:b/>
                <w:bCs/>
              </w:rPr>
            </w:pPr>
            <w:r w:rsidRPr="00EE0EEB">
              <w:rPr>
                <w:b/>
              </w:rPr>
              <w:t>LSM difference</w:t>
            </w:r>
            <w:r>
              <w:rPr>
                <w:b/>
              </w:rPr>
              <w:t>:</w:t>
            </w:r>
          </w:p>
          <w:p w14:paraId="2AA0572E" w14:textId="77777777" w:rsidR="0008002E" w:rsidRPr="00EE0EEB" w:rsidRDefault="0008002E" w:rsidP="006C66C7">
            <w:pPr>
              <w:pStyle w:val="TableText"/>
              <w:keepNext/>
              <w:keepLines/>
              <w:jc w:val="center"/>
              <w:rPr>
                <w:b/>
                <w:bCs/>
              </w:rPr>
            </w:pPr>
            <w:r>
              <w:rPr>
                <w:b/>
              </w:rPr>
              <w:t>d</w:t>
            </w:r>
            <w:r w:rsidRPr="00EE0EEB">
              <w:rPr>
                <w:b/>
              </w:rPr>
              <w:t>onanemab vs</w:t>
            </w:r>
            <w:r>
              <w:rPr>
                <w:b/>
              </w:rPr>
              <w:t xml:space="preserve"> p</w:t>
            </w:r>
            <w:r w:rsidRPr="00EE0EEB">
              <w:rPr>
                <w:b/>
              </w:rPr>
              <w:t>lacebo</w:t>
            </w:r>
          </w:p>
          <w:p w14:paraId="643D3F79" w14:textId="77777777" w:rsidR="0008002E" w:rsidRPr="00EE0EEB" w:rsidRDefault="0008002E" w:rsidP="006C66C7">
            <w:pPr>
              <w:pStyle w:val="TableText"/>
              <w:keepNext/>
              <w:keepLines/>
              <w:jc w:val="center"/>
              <w:rPr>
                <w:b/>
                <w:bCs/>
              </w:rPr>
            </w:pPr>
            <w:r w:rsidRPr="00EE0EEB">
              <w:rPr>
                <w:b/>
              </w:rPr>
              <w:t>(95% CI)</w:t>
            </w:r>
          </w:p>
          <w:p w14:paraId="1CB8F4E7" w14:textId="77777777" w:rsidR="0008002E" w:rsidRPr="00EE0EEB" w:rsidRDefault="0008002E" w:rsidP="006C66C7">
            <w:pPr>
              <w:pStyle w:val="TableText"/>
              <w:keepNext/>
              <w:keepLines/>
              <w:jc w:val="center"/>
              <w:rPr>
                <w:b/>
                <w:bCs/>
              </w:rPr>
            </w:pPr>
            <w:r w:rsidRPr="00EE0EEB">
              <w:rPr>
                <w:b/>
              </w:rPr>
              <w:t>p-value</w:t>
            </w:r>
          </w:p>
        </w:tc>
        <w:tc>
          <w:tcPr>
            <w:tcW w:w="744" w:type="pct"/>
            <w:vMerge w:val="restart"/>
            <w:tcMar>
              <w:left w:w="20" w:type="dxa"/>
              <w:right w:w="20" w:type="dxa"/>
            </w:tcMar>
          </w:tcPr>
          <w:p w14:paraId="7E9803A0" w14:textId="77777777" w:rsidR="0008002E" w:rsidRPr="00EE0EEB" w:rsidRDefault="0008002E" w:rsidP="006C66C7">
            <w:pPr>
              <w:pStyle w:val="TableText"/>
              <w:keepNext/>
              <w:keepLines/>
              <w:jc w:val="center"/>
              <w:rPr>
                <w:b/>
                <w:bCs/>
              </w:rPr>
            </w:pPr>
            <w:r w:rsidRPr="00EE0EEB">
              <w:rPr>
                <w:b/>
              </w:rPr>
              <w:t>% reduction (slowing) in decline</w:t>
            </w:r>
            <w:r>
              <w:rPr>
                <w:b/>
              </w:rPr>
              <w:t>:</w:t>
            </w:r>
          </w:p>
          <w:p w14:paraId="28D01CCB" w14:textId="77777777" w:rsidR="0008002E" w:rsidRPr="00EE0EEB" w:rsidRDefault="0008002E" w:rsidP="006C66C7">
            <w:pPr>
              <w:pStyle w:val="TableText"/>
              <w:keepNext/>
              <w:keepLines/>
              <w:jc w:val="center"/>
              <w:rPr>
                <w:b/>
                <w:bCs/>
              </w:rPr>
            </w:pPr>
            <w:r>
              <w:rPr>
                <w:b/>
              </w:rPr>
              <w:t>d</w:t>
            </w:r>
            <w:r w:rsidRPr="00EE0EEB">
              <w:rPr>
                <w:b/>
              </w:rPr>
              <w:t xml:space="preserve">onanemab </w:t>
            </w:r>
            <w:r>
              <w:rPr>
                <w:b/>
              </w:rPr>
              <w:t>vs</w:t>
            </w:r>
            <w:r w:rsidRPr="00EE0EEB">
              <w:rPr>
                <w:b/>
              </w:rPr>
              <w:t xml:space="preserve"> </w:t>
            </w:r>
            <w:r>
              <w:rPr>
                <w:b/>
              </w:rPr>
              <w:t>p</w:t>
            </w:r>
            <w:r w:rsidRPr="00EE0EEB">
              <w:rPr>
                <w:b/>
              </w:rPr>
              <w:t>lacebo</w:t>
            </w:r>
          </w:p>
          <w:p w14:paraId="52ED6166" w14:textId="77777777" w:rsidR="0008002E" w:rsidRPr="00EE0EEB" w:rsidRDefault="0008002E" w:rsidP="006C66C7">
            <w:pPr>
              <w:pStyle w:val="TableText"/>
              <w:keepNext/>
              <w:keepLines/>
              <w:jc w:val="center"/>
              <w:rPr>
                <w:b/>
                <w:bCs/>
              </w:rPr>
            </w:pPr>
            <w:r w:rsidRPr="00EE0EEB">
              <w:rPr>
                <w:b/>
              </w:rPr>
              <w:t>(95% CI)</w:t>
            </w:r>
            <w:r w:rsidRPr="00EE0EEB">
              <w:rPr>
                <w:b/>
                <w:vertAlign w:val="superscript"/>
              </w:rPr>
              <w:t>b</w:t>
            </w:r>
          </w:p>
        </w:tc>
      </w:tr>
      <w:tr w:rsidR="0008002E" w:rsidRPr="00EE0EEB" w14:paraId="25A4D6F5" w14:textId="77777777" w:rsidTr="00AB6701">
        <w:trPr>
          <w:cantSplit/>
          <w:trHeight w:val="65"/>
        </w:trPr>
        <w:tc>
          <w:tcPr>
            <w:tcW w:w="1044" w:type="pct"/>
            <w:gridSpan w:val="2"/>
            <w:tcMar>
              <w:left w:w="20" w:type="dxa"/>
              <w:right w:w="20" w:type="dxa"/>
            </w:tcMar>
          </w:tcPr>
          <w:p w14:paraId="609F2143" w14:textId="77777777" w:rsidR="0008002E" w:rsidRPr="00EE0EEB" w:rsidRDefault="0008002E" w:rsidP="006C66C7">
            <w:pPr>
              <w:pStyle w:val="TableText"/>
              <w:keepNext/>
              <w:keepLines/>
              <w:jc w:val="center"/>
              <w:rPr>
                <w:b/>
                <w:bCs/>
              </w:rPr>
            </w:pPr>
            <w:r w:rsidRPr="00EE0EEB">
              <w:rPr>
                <w:b/>
              </w:rPr>
              <w:t>Mean (SD)</w:t>
            </w:r>
          </w:p>
        </w:tc>
        <w:tc>
          <w:tcPr>
            <w:tcW w:w="685" w:type="pct"/>
            <w:vMerge w:val="restart"/>
            <w:tcMar>
              <w:left w:w="20" w:type="dxa"/>
              <w:right w:w="20" w:type="dxa"/>
            </w:tcMar>
          </w:tcPr>
          <w:p w14:paraId="53CBF7CE" w14:textId="77777777" w:rsidR="0008002E" w:rsidRPr="00EE0EEB" w:rsidRDefault="0008002E" w:rsidP="006C66C7">
            <w:pPr>
              <w:pStyle w:val="TableText"/>
              <w:keepNext/>
              <w:keepLines/>
              <w:jc w:val="center"/>
              <w:rPr>
                <w:b/>
                <w:bCs/>
              </w:rPr>
            </w:pPr>
            <w:r w:rsidRPr="00EE0EEB">
              <w:rPr>
                <w:b/>
              </w:rPr>
              <w:t>LSM change from baseline</w:t>
            </w:r>
          </w:p>
          <w:p w14:paraId="52EE8C53" w14:textId="77777777" w:rsidR="0008002E" w:rsidRPr="00EE0EEB" w:rsidRDefault="0008002E" w:rsidP="006C66C7">
            <w:pPr>
              <w:pStyle w:val="TableText"/>
              <w:keepNext/>
              <w:keepLines/>
              <w:jc w:val="center"/>
              <w:rPr>
                <w:b/>
                <w:bCs/>
              </w:rPr>
            </w:pPr>
            <w:r w:rsidRPr="00EE0EEB">
              <w:rPr>
                <w:b/>
              </w:rPr>
              <w:t>(95% CI)</w:t>
            </w:r>
          </w:p>
        </w:tc>
        <w:tc>
          <w:tcPr>
            <w:tcW w:w="1063" w:type="pct"/>
            <w:gridSpan w:val="2"/>
            <w:tcMar>
              <w:left w:w="20" w:type="dxa"/>
              <w:right w:w="20" w:type="dxa"/>
            </w:tcMar>
          </w:tcPr>
          <w:p w14:paraId="248A3AF9" w14:textId="77777777" w:rsidR="0008002E" w:rsidRPr="00EE0EEB" w:rsidRDefault="0008002E" w:rsidP="006C66C7">
            <w:pPr>
              <w:pStyle w:val="TableText"/>
              <w:keepNext/>
              <w:keepLines/>
              <w:jc w:val="center"/>
              <w:rPr>
                <w:b/>
                <w:bCs/>
              </w:rPr>
            </w:pPr>
            <w:r w:rsidRPr="00EE0EEB">
              <w:rPr>
                <w:b/>
              </w:rPr>
              <w:t>Mean (SD)</w:t>
            </w:r>
          </w:p>
        </w:tc>
        <w:tc>
          <w:tcPr>
            <w:tcW w:w="733" w:type="pct"/>
            <w:vMerge w:val="restart"/>
            <w:tcMar>
              <w:left w:w="20" w:type="dxa"/>
              <w:right w:w="20" w:type="dxa"/>
            </w:tcMar>
          </w:tcPr>
          <w:p w14:paraId="66052EBB" w14:textId="77777777" w:rsidR="0008002E" w:rsidRPr="00EE0EEB" w:rsidRDefault="0008002E" w:rsidP="006C66C7">
            <w:pPr>
              <w:pStyle w:val="TableText"/>
              <w:keepNext/>
              <w:keepLines/>
              <w:jc w:val="center"/>
              <w:rPr>
                <w:b/>
                <w:bCs/>
              </w:rPr>
            </w:pPr>
            <w:r w:rsidRPr="00EE0EEB">
              <w:rPr>
                <w:b/>
              </w:rPr>
              <w:t>LSM change from baseline</w:t>
            </w:r>
          </w:p>
          <w:p w14:paraId="6FDEB8B0" w14:textId="77777777" w:rsidR="0008002E" w:rsidRPr="00EE0EEB" w:rsidRDefault="0008002E" w:rsidP="006C66C7">
            <w:pPr>
              <w:pStyle w:val="TableText"/>
              <w:keepNext/>
              <w:keepLines/>
              <w:jc w:val="center"/>
              <w:rPr>
                <w:b/>
                <w:bCs/>
              </w:rPr>
            </w:pPr>
            <w:r w:rsidRPr="00EE0EEB">
              <w:rPr>
                <w:b/>
              </w:rPr>
              <w:t>(95% CI)</w:t>
            </w:r>
          </w:p>
        </w:tc>
        <w:tc>
          <w:tcPr>
            <w:tcW w:w="731" w:type="pct"/>
            <w:vMerge/>
            <w:tcMar>
              <w:left w:w="20" w:type="dxa"/>
              <w:right w:w="20" w:type="dxa"/>
            </w:tcMar>
          </w:tcPr>
          <w:p w14:paraId="4E602256" w14:textId="77777777" w:rsidR="0008002E" w:rsidRPr="00EE0EEB" w:rsidRDefault="0008002E" w:rsidP="006C66C7">
            <w:pPr>
              <w:pStyle w:val="TableText"/>
              <w:keepNext/>
              <w:keepLines/>
              <w:jc w:val="center"/>
            </w:pPr>
          </w:p>
        </w:tc>
        <w:tc>
          <w:tcPr>
            <w:tcW w:w="744" w:type="pct"/>
            <w:vMerge/>
            <w:tcMar>
              <w:left w:w="20" w:type="dxa"/>
              <w:right w:w="20" w:type="dxa"/>
            </w:tcMar>
          </w:tcPr>
          <w:p w14:paraId="59121462" w14:textId="77777777" w:rsidR="0008002E" w:rsidRPr="00EE0EEB" w:rsidRDefault="0008002E" w:rsidP="006C66C7">
            <w:pPr>
              <w:pStyle w:val="TableText"/>
              <w:keepNext/>
              <w:keepLines/>
              <w:jc w:val="center"/>
            </w:pPr>
          </w:p>
        </w:tc>
      </w:tr>
      <w:tr w:rsidR="0008002E" w:rsidRPr="00EE0EEB" w14:paraId="36C9E753" w14:textId="77777777" w:rsidTr="00AB6701">
        <w:trPr>
          <w:cantSplit/>
          <w:trHeight w:val="283"/>
        </w:trPr>
        <w:tc>
          <w:tcPr>
            <w:tcW w:w="531" w:type="pct"/>
            <w:tcMar>
              <w:left w:w="20" w:type="dxa"/>
              <w:right w:w="20" w:type="dxa"/>
            </w:tcMar>
          </w:tcPr>
          <w:p w14:paraId="3FD7494C" w14:textId="77777777" w:rsidR="0008002E" w:rsidRPr="00EE0EEB" w:rsidRDefault="0008002E" w:rsidP="006C66C7">
            <w:pPr>
              <w:pStyle w:val="TableText"/>
              <w:keepNext/>
              <w:keepLines/>
              <w:jc w:val="center"/>
              <w:rPr>
                <w:b/>
                <w:bCs/>
              </w:rPr>
            </w:pPr>
            <w:r w:rsidRPr="00EE0EEB">
              <w:rPr>
                <w:b/>
              </w:rPr>
              <w:t>Baseline</w:t>
            </w:r>
          </w:p>
        </w:tc>
        <w:tc>
          <w:tcPr>
            <w:tcW w:w="513" w:type="pct"/>
            <w:tcMar>
              <w:left w:w="20" w:type="dxa"/>
              <w:right w:w="20" w:type="dxa"/>
            </w:tcMar>
          </w:tcPr>
          <w:p w14:paraId="4123CFB6" w14:textId="77777777" w:rsidR="0008002E" w:rsidRPr="00EE0EEB" w:rsidRDefault="0008002E" w:rsidP="006C66C7">
            <w:pPr>
              <w:pStyle w:val="TableText"/>
              <w:keepNext/>
              <w:keepLines/>
              <w:jc w:val="center"/>
              <w:rPr>
                <w:b/>
                <w:bCs/>
              </w:rPr>
            </w:pPr>
            <w:r w:rsidRPr="00EE0EEB">
              <w:rPr>
                <w:b/>
              </w:rPr>
              <w:t>W76</w:t>
            </w:r>
          </w:p>
        </w:tc>
        <w:tc>
          <w:tcPr>
            <w:tcW w:w="685" w:type="pct"/>
            <w:vMerge/>
            <w:tcMar>
              <w:left w:w="20" w:type="dxa"/>
              <w:right w:w="20" w:type="dxa"/>
            </w:tcMar>
          </w:tcPr>
          <w:p w14:paraId="15E45090" w14:textId="77777777" w:rsidR="0008002E" w:rsidRPr="00EE0EEB" w:rsidRDefault="0008002E" w:rsidP="006C66C7">
            <w:pPr>
              <w:pStyle w:val="TableText"/>
              <w:keepNext/>
              <w:keepLines/>
              <w:jc w:val="center"/>
              <w:rPr>
                <w:b/>
                <w:bCs/>
              </w:rPr>
            </w:pPr>
          </w:p>
        </w:tc>
        <w:tc>
          <w:tcPr>
            <w:tcW w:w="531" w:type="pct"/>
            <w:tcMar>
              <w:left w:w="20" w:type="dxa"/>
              <w:right w:w="20" w:type="dxa"/>
            </w:tcMar>
          </w:tcPr>
          <w:p w14:paraId="72F356D0" w14:textId="77777777" w:rsidR="0008002E" w:rsidRPr="00EE0EEB" w:rsidRDefault="0008002E" w:rsidP="006C66C7">
            <w:pPr>
              <w:pStyle w:val="TableText"/>
              <w:keepNext/>
              <w:keepLines/>
              <w:jc w:val="center"/>
              <w:rPr>
                <w:b/>
                <w:bCs/>
              </w:rPr>
            </w:pPr>
            <w:r w:rsidRPr="00EE0EEB">
              <w:rPr>
                <w:b/>
              </w:rPr>
              <w:t>Baseline</w:t>
            </w:r>
          </w:p>
        </w:tc>
        <w:tc>
          <w:tcPr>
            <w:tcW w:w="532" w:type="pct"/>
            <w:tcMar>
              <w:left w:w="20" w:type="dxa"/>
              <w:right w:w="20" w:type="dxa"/>
            </w:tcMar>
          </w:tcPr>
          <w:p w14:paraId="7C5653BC" w14:textId="77777777" w:rsidR="0008002E" w:rsidRPr="00EE0EEB" w:rsidRDefault="0008002E" w:rsidP="006C66C7">
            <w:pPr>
              <w:pStyle w:val="TableText"/>
              <w:keepNext/>
              <w:keepLines/>
              <w:jc w:val="center"/>
              <w:rPr>
                <w:b/>
                <w:bCs/>
              </w:rPr>
            </w:pPr>
            <w:r w:rsidRPr="00EE0EEB">
              <w:rPr>
                <w:b/>
              </w:rPr>
              <w:t>W76</w:t>
            </w:r>
          </w:p>
        </w:tc>
        <w:tc>
          <w:tcPr>
            <w:tcW w:w="733" w:type="pct"/>
            <w:vMerge/>
            <w:tcMar>
              <w:left w:w="20" w:type="dxa"/>
              <w:right w:w="20" w:type="dxa"/>
            </w:tcMar>
          </w:tcPr>
          <w:p w14:paraId="16D73BF9" w14:textId="77777777" w:rsidR="0008002E" w:rsidRPr="00EE0EEB" w:rsidRDefault="0008002E" w:rsidP="006C66C7">
            <w:pPr>
              <w:pStyle w:val="TableText"/>
              <w:keepNext/>
              <w:keepLines/>
              <w:jc w:val="center"/>
            </w:pPr>
          </w:p>
        </w:tc>
        <w:tc>
          <w:tcPr>
            <w:tcW w:w="731" w:type="pct"/>
            <w:vMerge/>
            <w:tcMar>
              <w:left w:w="20" w:type="dxa"/>
              <w:right w:w="20" w:type="dxa"/>
            </w:tcMar>
          </w:tcPr>
          <w:p w14:paraId="5A248FDB" w14:textId="77777777" w:rsidR="0008002E" w:rsidRPr="00EE0EEB" w:rsidRDefault="0008002E" w:rsidP="006C66C7">
            <w:pPr>
              <w:pStyle w:val="TableText"/>
              <w:keepNext/>
              <w:keepLines/>
              <w:jc w:val="center"/>
            </w:pPr>
          </w:p>
        </w:tc>
        <w:tc>
          <w:tcPr>
            <w:tcW w:w="744" w:type="pct"/>
            <w:vMerge/>
            <w:tcMar>
              <w:left w:w="20" w:type="dxa"/>
              <w:right w:w="20" w:type="dxa"/>
            </w:tcMar>
          </w:tcPr>
          <w:p w14:paraId="47AF9A93" w14:textId="77777777" w:rsidR="0008002E" w:rsidRPr="00EE0EEB" w:rsidRDefault="0008002E" w:rsidP="006C66C7">
            <w:pPr>
              <w:pStyle w:val="TableText"/>
              <w:keepNext/>
              <w:keepLines/>
              <w:jc w:val="center"/>
            </w:pPr>
          </w:p>
        </w:tc>
      </w:tr>
      <w:tr w:rsidR="0008002E" w:rsidRPr="00EE0EEB" w14:paraId="1E390941" w14:textId="77777777" w:rsidTr="00FC3DF2">
        <w:trPr>
          <w:cantSplit/>
          <w:trHeight w:val="134"/>
        </w:trPr>
        <w:tc>
          <w:tcPr>
            <w:tcW w:w="5000" w:type="pct"/>
            <w:gridSpan w:val="8"/>
            <w:tcMar>
              <w:left w:w="20" w:type="dxa"/>
              <w:right w:w="20" w:type="dxa"/>
            </w:tcMar>
          </w:tcPr>
          <w:p w14:paraId="7ABC2088" w14:textId="77777777" w:rsidR="0008002E" w:rsidRPr="00EE0EEB" w:rsidRDefault="0008002E" w:rsidP="006C66C7">
            <w:pPr>
              <w:pStyle w:val="TableText"/>
              <w:keepNext/>
              <w:keepLines/>
              <w:rPr>
                <w:b/>
                <w:bCs/>
              </w:rPr>
            </w:pPr>
            <w:r w:rsidRPr="00EE0EEB">
              <w:rPr>
                <w:b/>
              </w:rPr>
              <w:t>CDR-SB</w:t>
            </w:r>
          </w:p>
        </w:tc>
      </w:tr>
      <w:tr w:rsidR="0008002E" w:rsidRPr="00EE0EEB" w14:paraId="2D8D1C24" w14:textId="77777777" w:rsidTr="00FC3DF2">
        <w:trPr>
          <w:cantSplit/>
          <w:trHeight w:val="134"/>
        </w:trPr>
        <w:tc>
          <w:tcPr>
            <w:tcW w:w="531" w:type="pct"/>
            <w:tcMar>
              <w:left w:w="20" w:type="dxa"/>
              <w:right w:w="20" w:type="dxa"/>
            </w:tcMar>
            <w:vAlign w:val="center"/>
          </w:tcPr>
          <w:p w14:paraId="0D24C23B" w14:textId="77777777" w:rsidR="0008002E" w:rsidRPr="00EE0EEB" w:rsidRDefault="0008002E" w:rsidP="006C66C7">
            <w:pPr>
              <w:pStyle w:val="TableText"/>
              <w:keepNext/>
              <w:keepLines/>
              <w:jc w:val="center"/>
            </w:pPr>
            <w:r w:rsidRPr="00EE0EEB">
              <w:t>n=794</w:t>
            </w:r>
          </w:p>
        </w:tc>
        <w:tc>
          <w:tcPr>
            <w:tcW w:w="513" w:type="pct"/>
            <w:tcMar>
              <w:left w:w="20" w:type="dxa"/>
              <w:right w:w="20" w:type="dxa"/>
            </w:tcMar>
            <w:vAlign w:val="center"/>
          </w:tcPr>
          <w:p w14:paraId="563C0D13" w14:textId="77777777" w:rsidR="0008002E" w:rsidRPr="00EE0EEB" w:rsidRDefault="0008002E" w:rsidP="006C66C7">
            <w:pPr>
              <w:pStyle w:val="TableText"/>
              <w:keepNext/>
              <w:keepLines/>
              <w:jc w:val="center"/>
            </w:pPr>
            <w:r w:rsidRPr="00EE0EEB">
              <w:t>n=598</w:t>
            </w:r>
          </w:p>
        </w:tc>
        <w:tc>
          <w:tcPr>
            <w:tcW w:w="685" w:type="pct"/>
            <w:tcMar>
              <w:left w:w="20" w:type="dxa"/>
              <w:right w:w="20" w:type="dxa"/>
            </w:tcMar>
            <w:vAlign w:val="center"/>
          </w:tcPr>
          <w:p w14:paraId="58CE8238" w14:textId="77777777" w:rsidR="0008002E" w:rsidRPr="00EE0EEB" w:rsidRDefault="0008002E" w:rsidP="006C66C7">
            <w:pPr>
              <w:pStyle w:val="TableText"/>
              <w:keepNext/>
              <w:keepLines/>
              <w:jc w:val="center"/>
            </w:pPr>
          </w:p>
        </w:tc>
        <w:tc>
          <w:tcPr>
            <w:tcW w:w="531" w:type="pct"/>
            <w:tcMar>
              <w:left w:w="20" w:type="dxa"/>
              <w:right w:w="20" w:type="dxa"/>
            </w:tcMar>
            <w:vAlign w:val="center"/>
          </w:tcPr>
          <w:p w14:paraId="056682E7" w14:textId="77777777" w:rsidR="0008002E" w:rsidRPr="00EE0EEB" w:rsidRDefault="0008002E" w:rsidP="006C66C7">
            <w:pPr>
              <w:pStyle w:val="TableText"/>
              <w:keepNext/>
              <w:keepLines/>
              <w:jc w:val="center"/>
            </w:pPr>
            <w:r w:rsidRPr="00EE0EEB">
              <w:t>n=838</w:t>
            </w:r>
          </w:p>
        </w:tc>
        <w:tc>
          <w:tcPr>
            <w:tcW w:w="532" w:type="pct"/>
            <w:tcMar>
              <w:left w:w="20" w:type="dxa"/>
              <w:right w:w="20" w:type="dxa"/>
            </w:tcMar>
            <w:vAlign w:val="center"/>
          </w:tcPr>
          <w:p w14:paraId="48B88241" w14:textId="77777777" w:rsidR="0008002E" w:rsidRPr="00EE0EEB" w:rsidRDefault="0008002E" w:rsidP="006C66C7">
            <w:pPr>
              <w:pStyle w:val="TableText"/>
              <w:keepNext/>
              <w:keepLines/>
              <w:jc w:val="center"/>
            </w:pPr>
            <w:r w:rsidRPr="00EE0EEB">
              <w:t>n=672</w:t>
            </w:r>
          </w:p>
        </w:tc>
        <w:tc>
          <w:tcPr>
            <w:tcW w:w="733" w:type="pct"/>
            <w:tcMar>
              <w:left w:w="20" w:type="dxa"/>
              <w:right w:w="20" w:type="dxa"/>
            </w:tcMar>
            <w:vAlign w:val="center"/>
          </w:tcPr>
          <w:p w14:paraId="6969C324" w14:textId="77777777" w:rsidR="0008002E" w:rsidRPr="00EE0EEB" w:rsidRDefault="0008002E" w:rsidP="006C66C7">
            <w:pPr>
              <w:pStyle w:val="TableText"/>
              <w:keepNext/>
              <w:keepLines/>
              <w:jc w:val="center"/>
            </w:pPr>
          </w:p>
        </w:tc>
        <w:tc>
          <w:tcPr>
            <w:tcW w:w="731" w:type="pct"/>
            <w:tcMar>
              <w:left w:w="20" w:type="dxa"/>
              <w:right w:w="20" w:type="dxa"/>
            </w:tcMar>
            <w:vAlign w:val="center"/>
          </w:tcPr>
          <w:p w14:paraId="19701984" w14:textId="77777777" w:rsidR="0008002E" w:rsidRPr="00EE0EEB" w:rsidRDefault="0008002E" w:rsidP="006C66C7">
            <w:pPr>
              <w:pStyle w:val="TableText"/>
              <w:keepNext/>
              <w:keepLines/>
              <w:jc w:val="center"/>
            </w:pPr>
          </w:p>
        </w:tc>
        <w:tc>
          <w:tcPr>
            <w:tcW w:w="744" w:type="pct"/>
            <w:tcMar>
              <w:left w:w="20" w:type="dxa"/>
              <w:right w:w="20" w:type="dxa"/>
            </w:tcMar>
            <w:vAlign w:val="center"/>
          </w:tcPr>
          <w:p w14:paraId="7C8FA3D5" w14:textId="77777777" w:rsidR="0008002E" w:rsidRPr="00EE0EEB" w:rsidRDefault="0008002E" w:rsidP="006C66C7">
            <w:pPr>
              <w:pStyle w:val="TableText"/>
              <w:keepNext/>
              <w:keepLines/>
              <w:jc w:val="center"/>
            </w:pPr>
          </w:p>
        </w:tc>
      </w:tr>
      <w:tr w:rsidR="0008002E" w:rsidRPr="00EE0EEB" w14:paraId="1F8D47BD" w14:textId="77777777" w:rsidTr="00FC3DF2">
        <w:trPr>
          <w:cantSplit/>
          <w:trHeight w:val="494"/>
        </w:trPr>
        <w:tc>
          <w:tcPr>
            <w:tcW w:w="531" w:type="pct"/>
            <w:tcMar>
              <w:left w:w="20" w:type="dxa"/>
              <w:right w:w="20" w:type="dxa"/>
            </w:tcMar>
            <w:vAlign w:val="center"/>
          </w:tcPr>
          <w:p w14:paraId="197D4B00" w14:textId="77777777" w:rsidR="0008002E" w:rsidRPr="00EE0EEB" w:rsidRDefault="0008002E" w:rsidP="006C66C7">
            <w:pPr>
              <w:pStyle w:val="TableText"/>
              <w:keepNext/>
              <w:keepLines/>
              <w:jc w:val="center"/>
            </w:pPr>
            <w:r w:rsidRPr="00EE0EEB">
              <w:t xml:space="preserve">3.92 </w:t>
            </w:r>
            <w:r>
              <w:br/>
            </w:r>
            <w:r w:rsidRPr="00EE0EEB">
              <w:t>(2.06)</w:t>
            </w:r>
          </w:p>
        </w:tc>
        <w:tc>
          <w:tcPr>
            <w:tcW w:w="513" w:type="pct"/>
            <w:tcMar>
              <w:left w:w="20" w:type="dxa"/>
              <w:right w:w="20" w:type="dxa"/>
            </w:tcMar>
            <w:vAlign w:val="center"/>
          </w:tcPr>
          <w:p w14:paraId="76B30222" w14:textId="77777777" w:rsidR="0008002E" w:rsidRPr="00EE0EEB" w:rsidRDefault="0008002E" w:rsidP="006C66C7">
            <w:pPr>
              <w:pStyle w:val="TableText"/>
              <w:keepNext/>
              <w:keepLines/>
              <w:jc w:val="center"/>
            </w:pPr>
            <w:r w:rsidRPr="00EE0EEB">
              <w:t xml:space="preserve">5.25 </w:t>
            </w:r>
            <w:r>
              <w:br/>
            </w:r>
            <w:r w:rsidRPr="00EE0EEB">
              <w:t>(3.21)</w:t>
            </w:r>
          </w:p>
        </w:tc>
        <w:tc>
          <w:tcPr>
            <w:tcW w:w="685" w:type="pct"/>
            <w:tcMar>
              <w:left w:w="20" w:type="dxa"/>
              <w:right w:w="20" w:type="dxa"/>
            </w:tcMar>
            <w:vAlign w:val="center"/>
          </w:tcPr>
          <w:p w14:paraId="4C65C8F6" w14:textId="77777777" w:rsidR="0008002E" w:rsidRPr="00EE0EEB" w:rsidRDefault="0008002E" w:rsidP="006C66C7">
            <w:pPr>
              <w:pStyle w:val="TableText"/>
              <w:keepNext/>
              <w:keepLines/>
              <w:jc w:val="center"/>
            </w:pPr>
            <w:r w:rsidRPr="00EE0EEB">
              <w:t>1.66</w:t>
            </w:r>
          </w:p>
          <w:p w14:paraId="77DB73E2" w14:textId="77777777" w:rsidR="0008002E" w:rsidRPr="00EE0EEB" w:rsidRDefault="0008002E" w:rsidP="006C66C7">
            <w:pPr>
              <w:pStyle w:val="TableText"/>
              <w:keepNext/>
              <w:keepLines/>
              <w:jc w:val="center"/>
            </w:pPr>
            <w:r w:rsidRPr="00EE0EEB">
              <w:t>(1.48, 1.83)</w:t>
            </w:r>
          </w:p>
        </w:tc>
        <w:tc>
          <w:tcPr>
            <w:tcW w:w="531" w:type="pct"/>
            <w:tcMar>
              <w:left w:w="20" w:type="dxa"/>
              <w:right w:w="20" w:type="dxa"/>
            </w:tcMar>
            <w:vAlign w:val="center"/>
          </w:tcPr>
          <w:p w14:paraId="38F9A23C" w14:textId="77777777" w:rsidR="0008002E" w:rsidRPr="00EE0EEB" w:rsidRDefault="0008002E" w:rsidP="006C66C7">
            <w:pPr>
              <w:pStyle w:val="TableText"/>
              <w:keepNext/>
              <w:keepLines/>
              <w:jc w:val="center"/>
            </w:pPr>
            <w:r w:rsidRPr="00EE0EEB">
              <w:t xml:space="preserve">3.89 </w:t>
            </w:r>
            <w:r>
              <w:br/>
            </w:r>
            <w:r w:rsidRPr="00EE0EEB">
              <w:t>(2.03)</w:t>
            </w:r>
          </w:p>
        </w:tc>
        <w:tc>
          <w:tcPr>
            <w:tcW w:w="532" w:type="pct"/>
            <w:tcMar>
              <w:left w:w="20" w:type="dxa"/>
              <w:right w:w="20" w:type="dxa"/>
            </w:tcMar>
            <w:vAlign w:val="center"/>
          </w:tcPr>
          <w:p w14:paraId="5BD19875" w14:textId="77777777" w:rsidR="0008002E" w:rsidRPr="00EE0EEB" w:rsidRDefault="0008002E" w:rsidP="006C66C7">
            <w:pPr>
              <w:pStyle w:val="TableText"/>
              <w:keepNext/>
              <w:keepLines/>
              <w:jc w:val="center"/>
            </w:pPr>
            <w:r w:rsidRPr="00EE0EEB">
              <w:t xml:space="preserve">5.80 </w:t>
            </w:r>
            <w:r>
              <w:br/>
            </w:r>
            <w:r w:rsidRPr="00EE0EEB">
              <w:t>(3.22)</w:t>
            </w:r>
          </w:p>
        </w:tc>
        <w:tc>
          <w:tcPr>
            <w:tcW w:w="733" w:type="pct"/>
            <w:tcMar>
              <w:left w:w="20" w:type="dxa"/>
              <w:right w:w="20" w:type="dxa"/>
            </w:tcMar>
            <w:vAlign w:val="center"/>
          </w:tcPr>
          <w:p w14:paraId="12D2B758" w14:textId="77777777" w:rsidR="0008002E" w:rsidRPr="00EE0EEB" w:rsidRDefault="0008002E" w:rsidP="006C66C7">
            <w:pPr>
              <w:pStyle w:val="TableText"/>
              <w:keepNext/>
              <w:keepLines/>
              <w:jc w:val="center"/>
            </w:pPr>
            <w:r w:rsidRPr="00EE0EEB">
              <w:t>2.33</w:t>
            </w:r>
          </w:p>
          <w:p w14:paraId="38D06198" w14:textId="77777777" w:rsidR="0008002E" w:rsidRPr="00EE0EEB" w:rsidRDefault="0008002E" w:rsidP="006C66C7">
            <w:pPr>
              <w:pStyle w:val="TableText"/>
              <w:keepNext/>
              <w:keepLines/>
              <w:jc w:val="center"/>
            </w:pPr>
            <w:r w:rsidRPr="00EE0EEB">
              <w:t>(2.16, 2.50)</w:t>
            </w:r>
          </w:p>
        </w:tc>
        <w:tc>
          <w:tcPr>
            <w:tcW w:w="731" w:type="pct"/>
            <w:tcMar>
              <w:left w:w="20" w:type="dxa"/>
              <w:right w:w="20" w:type="dxa"/>
            </w:tcMar>
            <w:vAlign w:val="center"/>
          </w:tcPr>
          <w:p w14:paraId="2D3CC7A8" w14:textId="77777777" w:rsidR="0008002E" w:rsidRPr="00EE0EEB" w:rsidRDefault="0008002E" w:rsidP="006C66C7">
            <w:pPr>
              <w:pStyle w:val="TableText"/>
              <w:keepNext/>
              <w:keepLines/>
              <w:jc w:val="center"/>
            </w:pPr>
            <w:r w:rsidRPr="00EE0EEB">
              <w:t>−0.67</w:t>
            </w:r>
          </w:p>
          <w:p w14:paraId="0FC43DCB" w14:textId="77777777" w:rsidR="0008002E" w:rsidRPr="00EE0EEB" w:rsidRDefault="0008002E" w:rsidP="006C66C7">
            <w:pPr>
              <w:pStyle w:val="TableText"/>
              <w:keepNext/>
              <w:keepLines/>
              <w:jc w:val="center"/>
            </w:pPr>
            <w:r w:rsidRPr="00EE0EEB">
              <w:t>(−0.92, −0.43)</w:t>
            </w:r>
          </w:p>
          <w:p w14:paraId="76834C57" w14:textId="77777777" w:rsidR="0008002E" w:rsidRPr="00EE0EEB" w:rsidRDefault="0008002E" w:rsidP="006C66C7">
            <w:pPr>
              <w:pStyle w:val="TableText"/>
              <w:keepNext/>
              <w:keepLines/>
              <w:jc w:val="center"/>
            </w:pPr>
            <w:r w:rsidRPr="00EE0EEB">
              <w:t>&lt;0.001</w:t>
            </w:r>
          </w:p>
        </w:tc>
        <w:tc>
          <w:tcPr>
            <w:tcW w:w="744" w:type="pct"/>
            <w:tcMar>
              <w:left w:w="20" w:type="dxa"/>
              <w:right w:w="20" w:type="dxa"/>
            </w:tcMar>
            <w:vAlign w:val="center"/>
          </w:tcPr>
          <w:p w14:paraId="26149D45" w14:textId="77777777" w:rsidR="0008002E" w:rsidRPr="00EE0EEB" w:rsidRDefault="0008002E" w:rsidP="006C66C7">
            <w:pPr>
              <w:pStyle w:val="TableText"/>
              <w:keepNext/>
              <w:keepLines/>
              <w:jc w:val="center"/>
            </w:pPr>
            <w:r w:rsidRPr="00EE0EEB">
              <w:t>28.9</w:t>
            </w:r>
          </w:p>
          <w:p w14:paraId="7FE216B0" w14:textId="77777777" w:rsidR="0008002E" w:rsidRPr="00EE0EEB" w:rsidRDefault="0008002E" w:rsidP="006C66C7">
            <w:pPr>
              <w:pStyle w:val="TableText"/>
              <w:keepNext/>
              <w:keepLines/>
              <w:jc w:val="center"/>
            </w:pPr>
            <w:r w:rsidRPr="00EE0EEB">
              <w:t>(18.3, 39.5)</w:t>
            </w:r>
          </w:p>
        </w:tc>
      </w:tr>
      <w:tr w:rsidR="0008002E" w:rsidRPr="00EE0EEB" w14:paraId="1EF25DD5" w14:textId="77777777" w:rsidTr="00FC3DF2">
        <w:trPr>
          <w:cantSplit/>
          <w:trHeight w:val="70"/>
        </w:trPr>
        <w:tc>
          <w:tcPr>
            <w:tcW w:w="5000" w:type="pct"/>
            <w:gridSpan w:val="8"/>
            <w:tcMar>
              <w:left w:w="20" w:type="dxa"/>
              <w:right w:w="20" w:type="dxa"/>
            </w:tcMar>
          </w:tcPr>
          <w:p w14:paraId="0A05E36C" w14:textId="77777777" w:rsidR="0008002E" w:rsidRPr="00EE0EEB" w:rsidRDefault="0008002E" w:rsidP="006C66C7">
            <w:pPr>
              <w:pStyle w:val="TableText"/>
              <w:keepNext/>
              <w:keepLines/>
              <w:rPr>
                <w:b/>
                <w:bCs/>
              </w:rPr>
            </w:pPr>
            <w:r w:rsidRPr="00EE0EEB">
              <w:rPr>
                <w:b/>
              </w:rPr>
              <w:t>ADCS-iADL</w:t>
            </w:r>
          </w:p>
        </w:tc>
      </w:tr>
      <w:tr w:rsidR="0008002E" w:rsidRPr="00EE0EEB" w14:paraId="1DD11FA2" w14:textId="77777777" w:rsidTr="00FC3DF2">
        <w:trPr>
          <w:cantSplit/>
          <w:trHeight w:val="70"/>
        </w:trPr>
        <w:tc>
          <w:tcPr>
            <w:tcW w:w="531" w:type="pct"/>
            <w:tcMar>
              <w:left w:w="20" w:type="dxa"/>
              <w:right w:w="20" w:type="dxa"/>
            </w:tcMar>
            <w:vAlign w:val="center"/>
          </w:tcPr>
          <w:p w14:paraId="530685AD" w14:textId="77777777" w:rsidR="0008002E" w:rsidRPr="00EE0EEB" w:rsidRDefault="0008002E" w:rsidP="006C66C7">
            <w:pPr>
              <w:pStyle w:val="TableText"/>
              <w:keepNext/>
              <w:keepLines/>
              <w:jc w:val="center"/>
            </w:pPr>
            <w:r w:rsidRPr="00EE0EEB">
              <w:t>n=780</w:t>
            </w:r>
          </w:p>
        </w:tc>
        <w:tc>
          <w:tcPr>
            <w:tcW w:w="513" w:type="pct"/>
            <w:tcMar>
              <w:left w:w="20" w:type="dxa"/>
              <w:right w:w="20" w:type="dxa"/>
            </w:tcMar>
            <w:vAlign w:val="center"/>
          </w:tcPr>
          <w:p w14:paraId="3C431AC2" w14:textId="77777777" w:rsidR="0008002E" w:rsidRPr="00EE0EEB" w:rsidRDefault="0008002E" w:rsidP="006C66C7">
            <w:pPr>
              <w:pStyle w:val="TableText"/>
              <w:keepNext/>
              <w:keepLines/>
              <w:jc w:val="center"/>
            </w:pPr>
            <w:r w:rsidRPr="00EE0EEB">
              <w:t>n=591</w:t>
            </w:r>
          </w:p>
        </w:tc>
        <w:tc>
          <w:tcPr>
            <w:tcW w:w="685" w:type="pct"/>
            <w:tcMar>
              <w:left w:w="20" w:type="dxa"/>
              <w:right w:w="20" w:type="dxa"/>
            </w:tcMar>
            <w:vAlign w:val="center"/>
          </w:tcPr>
          <w:p w14:paraId="7566674E" w14:textId="77777777" w:rsidR="0008002E" w:rsidRPr="00EE0EEB" w:rsidRDefault="0008002E" w:rsidP="006C66C7">
            <w:pPr>
              <w:pStyle w:val="TableText"/>
              <w:keepNext/>
              <w:keepLines/>
              <w:jc w:val="center"/>
            </w:pPr>
          </w:p>
        </w:tc>
        <w:tc>
          <w:tcPr>
            <w:tcW w:w="531" w:type="pct"/>
            <w:tcMar>
              <w:left w:w="20" w:type="dxa"/>
              <w:right w:w="20" w:type="dxa"/>
            </w:tcMar>
            <w:vAlign w:val="center"/>
          </w:tcPr>
          <w:p w14:paraId="74960B93" w14:textId="77777777" w:rsidR="0008002E" w:rsidRPr="00EE0EEB" w:rsidRDefault="0008002E" w:rsidP="006C66C7">
            <w:pPr>
              <w:pStyle w:val="TableText"/>
              <w:keepNext/>
              <w:keepLines/>
              <w:jc w:val="center"/>
            </w:pPr>
            <w:r w:rsidRPr="00EE0EEB">
              <w:t>n=826</w:t>
            </w:r>
          </w:p>
        </w:tc>
        <w:tc>
          <w:tcPr>
            <w:tcW w:w="532" w:type="pct"/>
            <w:tcMar>
              <w:left w:w="20" w:type="dxa"/>
              <w:right w:w="20" w:type="dxa"/>
            </w:tcMar>
            <w:vAlign w:val="center"/>
          </w:tcPr>
          <w:p w14:paraId="3B470A80" w14:textId="77777777" w:rsidR="0008002E" w:rsidRPr="00EE0EEB" w:rsidRDefault="0008002E" w:rsidP="006C66C7">
            <w:pPr>
              <w:pStyle w:val="TableText"/>
              <w:keepNext/>
              <w:keepLines/>
              <w:jc w:val="center"/>
            </w:pPr>
            <w:r w:rsidRPr="00EE0EEB">
              <w:t>n=661</w:t>
            </w:r>
          </w:p>
        </w:tc>
        <w:tc>
          <w:tcPr>
            <w:tcW w:w="733" w:type="pct"/>
            <w:tcMar>
              <w:left w:w="20" w:type="dxa"/>
              <w:right w:w="20" w:type="dxa"/>
            </w:tcMar>
            <w:vAlign w:val="center"/>
          </w:tcPr>
          <w:p w14:paraId="2F6AB355" w14:textId="77777777" w:rsidR="0008002E" w:rsidRPr="00EE0EEB" w:rsidRDefault="0008002E" w:rsidP="006C66C7">
            <w:pPr>
              <w:pStyle w:val="TableText"/>
              <w:keepNext/>
              <w:keepLines/>
              <w:jc w:val="center"/>
            </w:pPr>
          </w:p>
        </w:tc>
        <w:tc>
          <w:tcPr>
            <w:tcW w:w="731" w:type="pct"/>
            <w:tcMar>
              <w:left w:w="20" w:type="dxa"/>
              <w:right w:w="20" w:type="dxa"/>
            </w:tcMar>
            <w:vAlign w:val="center"/>
          </w:tcPr>
          <w:p w14:paraId="2B6E8DC3" w14:textId="77777777" w:rsidR="0008002E" w:rsidRPr="00EE0EEB" w:rsidRDefault="0008002E" w:rsidP="006C66C7">
            <w:pPr>
              <w:pStyle w:val="TableText"/>
              <w:keepNext/>
              <w:keepLines/>
              <w:jc w:val="center"/>
            </w:pPr>
          </w:p>
        </w:tc>
        <w:tc>
          <w:tcPr>
            <w:tcW w:w="744" w:type="pct"/>
            <w:tcMar>
              <w:left w:w="20" w:type="dxa"/>
              <w:right w:w="20" w:type="dxa"/>
            </w:tcMar>
            <w:vAlign w:val="center"/>
          </w:tcPr>
          <w:p w14:paraId="4B412910" w14:textId="77777777" w:rsidR="0008002E" w:rsidRPr="00EE0EEB" w:rsidRDefault="0008002E" w:rsidP="006C66C7">
            <w:pPr>
              <w:pStyle w:val="TableText"/>
              <w:keepNext/>
              <w:keepLines/>
              <w:jc w:val="center"/>
            </w:pPr>
          </w:p>
        </w:tc>
      </w:tr>
      <w:tr w:rsidR="0008002E" w:rsidRPr="00EE0EEB" w14:paraId="3BBAC32A" w14:textId="77777777" w:rsidTr="00FC3DF2">
        <w:trPr>
          <w:cantSplit/>
          <w:trHeight w:val="158"/>
        </w:trPr>
        <w:tc>
          <w:tcPr>
            <w:tcW w:w="531" w:type="pct"/>
            <w:tcMar>
              <w:left w:w="20" w:type="dxa"/>
              <w:right w:w="20" w:type="dxa"/>
            </w:tcMar>
            <w:vAlign w:val="center"/>
          </w:tcPr>
          <w:p w14:paraId="7AB75500" w14:textId="77777777" w:rsidR="0008002E" w:rsidRPr="00EE0EEB" w:rsidRDefault="0008002E" w:rsidP="006C66C7">
            <w:pPr>
              <w:pStyle w:val="TableText"/>
              <w:keepNext/>
              <w:keepLines/>
              <w:jc w:val="center"/>
            </w:pPr>
            <w:r w:rsidRPr="00EE0EEB">
              <w:t xml:space="preserve">47.96 </w:t>
            </w:r>
            <w:r>
              <w:br/>
            </w:r>
            <w:r w:rsidRPr="00EE0EEB">
              <w:t>(7.85)</w:t>
            </w:r>
          </w:p>
        </w:tc>
        <w:tc>
          <w:tcPr>
            <w:tcW w:w="513" w:type="pct"/>
            <w:tcMar>
              <w:left w:w="20" w:type="dxa"/>
              <w:right w:w="20" w:type="dxa"/>
            </w:tcMar>
            <w:vAlign w:val="center"/>
          </w:tcPr>
          <w:p w14:paraId="6644E852" w14:textId="77777777" w:rsidR="0008002E" w:rsidRPr="00EE0EEB" w:rsidRDefault="0008002E" w:rsidP="006C66C7">
            <w:pPr>
              <w:pStyle w:val="TableText"/>
              <w:keepNext/>
              <w:keepLines/>
              <w:jc w:val="center"/>
            </w:pPr>
            <w:r w:rsidRPr="00EE0EEB">
              <w:t>44.53 (11.06)</w:t>
            </w:r>
          </w:p>
        </w:tc>
        <w:tc>
          <w:tcPr>
            <w:tcW w:w="685" w:type="pct"/>
            <w:tcMar>
              <w:left w:w="20" w:type="dxa"/>
              <w:right w:w="20" w:type="dxa"/>
            </w:tcMar>
            <w:vAlign w:val="center"/>
          </w:tcPr>
          <w:p w14:paraId="7C916D6C" w14:textId="77777777" w:rsidR="0008002E" w:rsidRPr="00EE0EEB" w:rsidRDefault="0008002E" w:rsidP="006C66C7">
            <w:pPr>
              <w:pStyle w:val="TableText"/>
              <w:keepNext/>
              <w:keepLines/>
              <w:jc w:val="center"/>
            </w:pPr>
            <w:r w:rsidRPr="00EE0EEB">
              <w:t>−4.42</w:t>
            </w:r>
          </w:p>
          <w:p w14:paraId="721FCE0E" w14:textId="77777777" w:rsidR="0008002E" w:rsidRPr="00EE0EEB" w:rsidRDefault="0008002E" w:rsidP="006C66C7">
            <w:pPr>
              <w:pStyle w:val="TableText"/>
              <w:keepNext/>
              <w:keepLines/>
              <w:jc w:val="center"/>
            </w:pPr>
            <w:r w:rsidRPr="00EE0EEB">
              <w:t>(−5.05, −3.80)</w:t>
            </w:r>
          </w:p>
        </w:tc>
        <w:tc>
          <w:tcPr>
            <w:tcW w:w="531" w:type="pct"/>
            <w:tcMar>
              <w:left w:w="20" w:type="dxa"/>
              <w:right w:w="20" w:type="dxa"/>
            </w:tcMar>
            <w:vAlign w:val="center"/>
          </w:tcPr>
          <w:p w14:paraId="4930D8CF" w14:textId="77777777" w:rsidR="0008002E" w:rsidRPr="00EE0EEB" w:rsidRDefault="0008002E" w:rsidP="006C66C7">
            <w:pPr>
              <w:pStyle w:val="TableText"/>
              <w:keepNext/>
              <w:keepLines/>
              <w:jc w:val="center"/>
            </w:pPr>
            <w:r w:rsidRPr="00EE0EEB">
              <w:t xml:space="preserve">47.98 </w:t>
            </w:r>
            <w:r>
              <w:br/>
            </w:r>
            <w:r w:rsidRPr="00EE0EEB">
              <w:t>(7.70)</w:t>
            </w:r>
          </w:p>
        </w:tc>
        <w:tc>
          <w:tcPr>
            <w:tcW w:w="532" w:type="pct"/>
            <w:tcMar>
              <w:left w:w="20" w:type="dxa"/>
              <w:right w:w="20" w:type="dxa"/>
            </w:tcMar>
            <w:vAlign w:val="center"/>
          </w:tcPr>
          <w:p w14:paraId="71FA626D" w14:textId="77777777" w:rsidR="0008002E" w:rsidRPr="00EE0EEB" w:rsidRDefault="0008002E" w:rsidP="006C66C7">
            <w:pPr>
              <w:pStyle w:val="TableText"/>
              <w:keepNext/>
              <w:keepLines/>
              <w:jc w:val="center"/>
            </w:pPr>
            <w:r w:rsidRPr="00EE0EEB">
              <w:t>43.30 (10.61)</w:t>
            </w:r>
          </w:p>
        </w:tc>
        <w:tc>
          <w:tcPr>
            <w:tcW w:w="733" w:type="pct"/>
            <w:tcMar>
              <w:left w:w="20" w:type="dxa"/>
              <w:right w:w="20" w:type="dxa"/>
            </w:tcMar>
            <w:vAlign w:val="center"/>
          </w:tcPr>
          <w:p w14:paraId="2D9ED8A6" w14:textId="77777777" w:rsidR="0008002E" w:rsidRPr="00EE0EEB" w:rsidRDefault="0008002E" w:rsidP="006C66C7">
            <w:pPr>
              <w:pStyle w:val="TableText"/>
              <w:keepNext/>
              <w:keepLines/>
              <w:jc w:val="center"/>
            </w:pPr>
            <w:r w:rsidRPr="00EE0EEB">
              <w:t>−6.13</w:t>
            </w:r>
          </w:p>
          <w:p w14:paraId="41EA2542" w14:textId="77777777" w:rsidR="0008002E" w:rsidRPr="00EE0EEB" w:rsidRDefault="0008002E" w:rsidP="006C66C7">
            <w:pPr>
              <w:pStyle w:val="TableText"/>
              <w:keepNext/>
              <w:keepLines/>
              <w:jc w:val="center"/>
            </w:pPr>
            <w:r w:rsidRPr="00EE0EEB">
              <w:t>(−6.72, −5.53)</w:t>
            </w:r>
          </w:p>
        </w:tc>
        <w:tc>
          <w:tcPr>
            <w:tcW w:w="731" w:type="pct"/>
            <w:tcMar>
              <w:left w:w="20" w:type="dxa"/>
              <w:right w:w="20" w:type="dxa"/>
            </w:tcMar>
            <w:vAlign w:val="center"/>
          </w:tcPr>
          <w:p w14:paraId="4EA41D5B" w14:textId="77777777" w:rsidR="0008002E" w:rsidRPr="00EE0EEB" w:rsidRDefault="0008002E" w:rsidP="006C66C7">
            <w:pPr>
              <w:pStyle w:val="TableText"/>
              <w:keepNext/>
              <w:keepLines/>
              <w:jc w:val="center"/>
            </w:pPr>
            <w:r w:rsidRPr="00EE0EEB">
              <w:t>1.70</w:t>
            </w:r>
          </w:p>
          <w:p w14:paraId="090717BC" w14:textId="77777777" w:rsidR="0008002E" w:rsidRPr="00EE0EEB" w:rsidRDefault="0008002E" w:rsidP="006C66C7">
            <w:pPr>
              <w:pStyle w:val="TableText"/>
              <w:keepNext/>
              <w:keepLines/>
              <w:jc w:val="center"/>
            </w:pPr>
            <w:r w:rsidRPr="00EE0EEB">
              <w:t>(0.84, 2.57)</w:t>
            </w:r>
          </w:p>
          <w:p w14:paraId="70263B72" w14:textId="77777777" w:rsidR="0008002E" w:rsidRPr="00EE0EEB" w:rsidRDefault="0008002E" w:rsidP="006C66C7">
            <w:pPr>
              <w:pStyle w:val="TableText"/>
              <w:keepNext/>
              <w:keepLines/>
              <w:jc w:val="center"/>
            </w:pPr>
            <w:r w:rsidRPr="00EE0EEB">
              <w:t>p=0.0001</w:t>
            </w:r>
          </w:p>
        </w:tc>
        <w:tc>
          <w:tcPr>
            <w:tcW w:w="744" w:type="pct"/>
            <w:tcMar>
              <w:left w:w="20" w:type="dxa"/>
              <w:right w:w="20" w:type="dxa"/>
            </w:tcMar>
            <w:vAlign w:val="center"/>
          </w:tcPr>
          <w:p w14:paraId="05C36E71" w14:textId="77777777" w:rsidR="0008002E" w:rsidRPr="00EE0EEB" w:rsidRDefault="0008002E" w:rsidP="006C66C7">
            <w:pPr>
              <w:pStyle w:val="TableText"/>
              <w:keepNext/>
              <w:keepLines/>
              <w:jc w:val="center"/>
            </w:pPr>
            <w:r w:rsidRPr="00EE0EEB">
              <w:t>27.8</w:t>
            </w:r>
          </w:p>
          <w:p w14:paraId="3570996D" w14:textId="77777777" w:rsidR="0008002E" w:rsidRPr="00EE0EEB" w:rsidRDefault="0008002E" w:rsidP="006C66C7">
            <w:pPr>
              <w:pStyle w:val="TableText"/>
              <w:keepNext/>
              <w:keepLines/>
              <w:jc w:val="center"/>
            </w:pPr>
            <w:r w:rsidRPr="00EE0EEB">
              <w:t>(13.5, 42.1)</w:t>
            </w:r>
          </w:p>
        </w:tc>
      </w:tr>
      <w:tr w:rsidR="0008002E" w:rsidRPr="00EE0EEB" w14:paraId="0B6270AC" w14:textId="77777777" w:rsidTr="00FC3DF2">
        <w:trPr>
          <w:cantSplit/>
          <w:trHeight w:val="70"/>
        </w:trPr>
        <w:tc>
          <w:tcPr>
            <w:tcW w:w="5000" w:type="pct"/>
            <w:gridSpan w:val="8"/>
            <w:tcMar>
              <w:left w:w="20" w:type="dxa"/>
              <w:right w:w="20" w:type="dxa"/>
            </w:tcMar>
          </w:tcPr>
          <w:p w14:paraId="06DDF090" w14:textId="77777777" w:rsidR="0008002E" w:rsidRPr="00EE0EEB" w:rsidRDefault="0008002E" w:rsidP="006C66C7">
            <w:pPr>
              <w:pStyle w:val="TableText"/>
              <w:keepNext/>
              <w:keepLines/>
              <w:rPr>
                <w:b/>
                <w:bCs/>
              </w:rPr>
            </w:pPr>
            <w:r w:rsidRPr="00EE0EEB">
              <w:rPr>
                <w:b/>
              </w:rPr>
              <w:t>ADAS</w:t>
            </w:r>
            <w:r w:rsidRPr="00EE0EEB">
              <w:rPr>
                <w:b/>
              </w:rPr>
              <w:noBreakHyphen/>
              <w:t>Cog13</w:t>
            </w:r>
          </w:p>
        </w:tc>
      </w:tr>
      <w:tr w:rsidR="0008002E" w:rsidRPr="00EE0EEB" w14:paraId="5CEFE125" w14:textId="77777777" w:rsidTr="00FC3DF2">
        <w:trPr>
          <w:cantSplit/>
          <w:trHeight w:val="70"/>
        </w:trPr>
        <w:tc>
          <w:tcPr>
            <w:tcW w:w="531" w:type="pct"/>
            <w:tcMar>
              <w:left w:w="20" w:type="dxa"/>
              <w:right w:w="20" w:type="dxa"/>
            </w:tcMar>
            <w:vAlign w:val="center"/>
          </w:tcPr>
          <w:p w14:paraId="5A893E57" w14:textId="77777777" w:rsidR="0008002E" w:rsidRPr="00EE0EEB" w:rsidRDefault="0008002E" w:rsidP="006C66C7">
            <w:pPr>
              <w:pStyle w:val="TableText"/>
              <w:keepNext/>
              <w:keepLines/>
              <w:jc w:val="center"/>
            </w:pPr>
            <w:r w:rsidRPr="00EE0EEB">
              <w:t>n=797</w:t>
            </w:r>
          </w:p>
        </w:tc>
        <w:tc>
          <w:tcPr>
            <w:tcW w:w="513" w:type="pct"/>
            <w:tcMar>
              <w:left w:w="20" w:type="dxa"/>
              <w:right w:w="20" w:type="dxa"/>
            </w:tcMar>
            <w:vAlign w:val="center"/>
          </w:tcPr>
          <w:p w14:paraId="5E2970DC" w14:textId="77777777" w:rsidR="0008002E" w:rsidRPr="00EE0EEB" w:rsidRDefault="0008002E" w:rsidP="006C66C7">
            <w:pPr>
              <w:pStyle w:val="TableText"/>
              <w:keepNext/>
              <w:keepLines/>
              <w:jc w:val="center"/>
            </w:pPr>
            <w:r w:rsidRPr="00EE0EEB">
              <w:t>n=607</w:t>
            </w:r>
          </w:p>
        </w:tc>
        <w:tc>
          <w:tcPr>
            <w:tcW w:w="685" w:type="pct"/>
            <w:tcMar>
              <w:left w:w="20" w:type="dxa"/>
              <w:right w:w="20" w:type="dxa"/>
            </w:tcMar>
            <w:vAlign w:val="center"/>
          </w:tcPr>
          <w:p w14:paraId="76DB9F48" w14:textId="77777777" w:rsidR="0008002E" w:rsidRPr="00EE0EEB" w:rsidRDefault="0008002E" w:rsidP="006C66C7">
            <w:pPr>
              <w:pStyle w:val="TableText"/>
              <w:keepNext/>
              <w:keepLines/>
              <w:jc w:val="center"/>
            </w:pPr>
          </w:p>
        </w:tc>
        <w:tc>
          <w:tcPr>
            <w:tcW w:w="531" w:type="pct"/>
            <w:tcMar>
              <w:left w:w="20" w:type="dxa"/>
              <w:right w:w="20" w:type="dxa"/>
            </w:tcMar>
            <w:vAlign w:val="center"/>
          </w:tcPr>
          <w:p w14:paraId="627A748E" w14:textId="77777777" w:rsidR="0008002E" w:rsidRPr="00EE0EEB" w:rsidRDefault="0008002E" w:rsidP="006C66C7">
            <w:pPr>
              <w:pStyle w:val="TableText"/>
              <w:keepNext/>
              <w:keepLines/>
              <w:jc w:val="center"/>
            </w:pPr>
            <w:r w:rsidRPr="00EE0EEB">
              <w:t>n=841</w:t>
            </w:r>
          </w:p>
        </w:tc>
        <w:tc>
          <w:tcPr>
            <w:tcW w:w="532" w:type="pct"/>
            <w:tcMar>
              <w:left w:w="20" w:type="dxa"/>
              <w:right w:w="20" w:type="dxa"/>
            </w:tcMar>
            <w:vAlign w:val="center"/>
          </w:tcPr>
          <w:p w14:paraId="0ED65EE7" w14:textId="77777777" w:rsidR="0008002E" w:rsidRPr="00EE0EEB" w:rsidRDefault="0008002E" w:rsidP="006C66C7">
            <w:pPr>
              <w:pStyle w:val="TableText"/>
              <w:keepNext/>
              <w:keepLines/>
              <w:jc w:val="center"/>
            </w:pPr>
            <w:r w:rsidRPr="00EE0EEB">
              <w:t>n=677</w:t>
            </w:r>
          </w:p>
        </w:tc>
        <w:tc>
          <w:tcPr>
            <w:tcW w:w="733" w:type="pct"/>
            <w:tcMar>
              <w:left w:w="20" w:type="dxa"/>
              <w:right w:w="20" w:type="dxa"/>
            </w:tcMar>
            <w:vAlign w:val="center"/>
          </w:tcPr>
          <w:p w14:paraId="51038C4C" w14:textId="77777777" w:rsidR="0008002E" w:rsidRPr="00EE0EEB" w:rsidRDefault="0008002E" w:rsidP="006C66C7">
            <w:pPr>
              <w:pStyle w:val="TableText"/>
              <w:keepNext/>
              <w:keepLines/>
              <w:jc w:val="center"/>
            </w:pPr>
          </w:p>
        </w:tc>
        <w:tc>
          <w:tcPr>
            <w:tcW w:w="731" w:type="pct"/>
            <w:tcMar>
              <w:left w:w="20" w:type="dxa"/>
              <w:right w:w="20" w:type="dxa"/>
            </w:tcMar>
            <w:vAlign w:val="center"/>
          </w:tcPr>
          <w:p w14:paraId="102A2B49" w14:textId="77777777" w:rsidR="0008002E" w:rsidRPr="00EE0EEB" w:rsidRDefault="0008002E" w:rsidP="006C66C7">
            <w:pPr>
              <w:pStyle w:val="TableText"/>
              <w:keepNext/>
              <w:keepLines/>
              <w:jc w:val="center"/>
            </w:pPr>
          </w:p>
        </w:tc>
        <w:tc>
          <w:tcPr>
            <w:tcW w:w="744" w:type="pct"/>
            <w:tcMar>
              <w:left w:w="20" w:type="dxa"/>
              <w:right w:w="20" w:type="dxa"/>
            </w:tcMar>
            <w:vAlign w:val="center"/>
          </w:tcPr>
          <w:p w14:paraId="3CCB43AC" w14:textId="77777777" w:rsidR="0008002E" w:rsidRPr="00EE0EEB" w:rsidRDefault="0008002E" w:rsidP="006C66C7">
            <w:pPr>
              <w:pStyle w:val="TableText"/>
              <w:keepNext/>
              <w:keepLines/>
              <w:jc w:val="center"/>
            </w:pPr>
          </w:p>
        </w:tc>
      </w:tr>
      <w:tr w:rsidR="0008002E" w:rsidRPr="00EE0EEB" w14:paraId="69073C7A" w14:textId="77777777" w:rsidTr="00AB6701">
        <w:trPr>
          <w:cantSplit/>
          <w:trHeight w:val="283"/>
        </w:trPr>
        <w:tc>
          <w:tcPr>
            <w:tcW w:w="531" w:type="pct"/>
            <w:tcMar>
              <w:left w:w="20" w:type="dxa"/>
              <w:right w:w="20" w:type="dxa"/>
            </w:tcMar>
            <w:vAlign w:val="center"/>
          </w:tcPr>
          <w:p w14:paraId="799D231A" w14:textId="77777777" w:rsidR="0008002E" w:rsidRPr="00EE0EEB" w:rsidRDefault="0008002E" w:rsidP="006C66C7">
            <w:pPr>
              <w:pStyle w:val="TableText"/>
              <w:keepNext/>
              <w:keepLines/>
              <w:jc w:val="center"/>
            </w:pPr>
            <w:r w:rsidRPr="00EE0EEB">
              <w:t xml:space="preserve">28.53 </w:t>
            </w:r>
            <w:r>
              <w:br/>
            </w:r>
            <w:r w:rsidRPr="00EE0EEB">
              <w:t>(8.78)</w:t>
            </w:r>
          </w:p>
        </w:tc>
        <w:tc>
          <w:tcPr>
            <w:tcW w:w="513" w:type="pct"/>
            <w:tcMar>
              <w:left w:w="20" w:type="dxa"/>
              <w:right w:w="20" w:type="dxa"/>
            </w:tcMar>
            <w:vAlign w:val="center"/>
          </w:tcPr>
          <w:p w14:paraId="1C589468" w14:textId="77777777" w:rsidR="0008002E" w:rsidRPr="00EE0EEB" w:rsidRDefault="0008002E" w:rsidP="006C66C7">
            <w:pPr>
              <w:pStyle w:val="TableText"/>
              <w:keepNext/>
              <w:keepLines/>
              <w:jc w:val="center"/>
            </w:pPr>
            <w:r w:rsidRPr="00EE0EEB">
              <w:t>32.72 (12.44)</w:t>
            </w:r>
          </w:p>
        </w:tc>
        <w:tc>
          <w:tcPr>
            <w:tcW w:w="685" w:type="pct"/>
            <w:tcMar>
              <w:left w:w="20" w:type="dxa"/>
              <w:right w:w="20" w:type="dxa"/>
            </w:tcMar>
            <w:vAlign w:val="center"/>
          </w:tcPr>
          <w:p w14:paraId="0D422C48" w14:textId="77777777" w:rsidR="0008002E" w:rsidRPr="00EE0EEB" w:rsidRDefault="0008002E" w:rsidP="006C66C7">
            <w:pPr>
              <w:pStyle w:val="TableText"/>
              <w:keepNext/>
              <w:keepLines/>
              <w:jc w:val="center"/>
            </w:pPr>
            <w:r w:rsidRPr="00EE0EEB">
              <w:t>5.46</w:t>
            </w:r>
          </w:p>
          <w:p w14:paraId="3EA9791C" w14:textId="77777777" w:rsidR="0008002E" w:rsidRPr="00EE0EEB" w:rsidRDefault="0008002E" w:rsidP="006C66C7">
            <w:pPr>
              <w:pStyle w:val="TableText"/>
              <w:keepNext/>
              <w:keepLines/>
              <w:jc w:val="center"/>
            </w:pPr>
            <w:r w:rsidRPr="00EE0EEB">
              <w:t>(4.91, 6.01)</w:t>
            </w:r>
          </w:p>
        </w:tc>
        <w:tc>
          <w:tcPr>
            <w:tcW w:w="531" w:type="pct"/>
            <w:tcMar>
              <w:left w:w="20" w:type="dxa"/>
              <w:right w:w="20" w:type="dxa"/>
            </w:tcMar>
            <w:vAlign w:val="center"/>
          </w:tcPr>
          <w:p w14:paraId="0697EE6F" w14:textId="77777777" w:rsidR="0008002E" w:rsidRPr="00EE0EEB" w:rsidRDefault="0008002E" w:rsidP="006C66C7">
            <w:pPr>
              <w:pStyle w:val="TableText"/>
              <w:keepNext/>
              <w:keepLines/>
              <w:jc w:val="center"/>
            </w:pPr>
            <w:r w:rsidRPr="00EE0EEB">
              <w:t xml:space="preserve">29.16 </w:t>
            </w:r>
            <w:r>
              <w:br/>
            </w:r>
            <w:r w:rsidRPr="00EE0EEB">
              <w:t>(8.85)</w:t>
            </w:r>
          </w:p>
        </w:tc>
        <w:tc>
          <w:tcPr>
            <w:tcW w:w="532" w:type="pct"/>
            <w:tcMar>
              <w:left w:w="20" w:type="dxa"/>
              <w:right w:w="20" w:type="dxa"/>
            </w:tcMar>
            <w:vAlign w:val="center"/>
          </w:tcPr>
          <w:p w14:paraId="0DA2C1D7" w14:textId="77777777" w:rsidR="0008002E" w:rsidRPr="00EE0EEB" w:rsidRDefault="0008002E" w:rsidP="006C66C7">
            <w:pPr>
              <w:pStyle w:val="TableText"/>
              <w:keepNext/>
              <w:keepLines/>
              <w:jc w:val="center"/>
            </w:pPr>
            <w:r w:rsidRPr="00EE0EEB">
              <w:t>34.53 (12.00)</w:t>
            </w:r>
          </w:p>
        </w:tc>
        <w:tc>
          <w:tcPr>
            <w:tcW w:w="733" w:type="pct"/>
            <w:tcMar>
              <w:left w:w="20" w:type="dxa"/>
              <w:right w:w="20" w:type="dxa"/>
            </w:tcMar>
            <w:vAlign w:val="center"/>
          </w:tcPr>
          <w:p w14:paraId="37F2FA58" w14:textId="77777777" w:rsidR="0008002E" w:rsidRPr="00EE0EEB" w:rsidRDefault="0008002E" w:rsidP="006C66C7">
            <w:pPr>
              <w:pStyle w:val="TableText"/>
              <w:keepNext/>
              <w:keepLines/>
              <w:jc w:val="center"/>
            </w:pPr>
            <w:r w:rsidRPr="00EE0EEB">
              <w:t>6.79</w:t>
            </w:r>
          </w:p>
          <w:p w14:paraId="7F7AE65E" w14:textId="77777777" w:rsidR="0008002E" w:rsidRPr="00EE0EEB" w:rsidRDefault="0008002E" w:rsidP="006C66C7">
            <w:pPr>
              <w:pStyle w:val="TableText"/>
              <w:keepNext/>
              <w:keepLines/>
              <w:jc w:val="center"/>
            </w:pPr>
            <w:r w:rsidRPr="00EE0EEB">
              <w:t>(6.26, 7.32)</w:t>
            </w:r>
          </w:p>
        </w:tc>
        <w:tc>
          <w:tcPr>
            <w:tcW w:w="731" w:type="pct"/>
            <w:tcMar>
              <w:left w:w="20" w:type="dxa"/>
              <w:right w:w="20" w:type="dxa"/>
            </w:tcMar>
            <w:vAlign w:val="center"/>
          </w:tcPr>
          <w:p w14:paraId="28E4B3A3" w14:textId="77777777" w:rsidR="0008002E" w:rsidRPr="00EE0EEB" w:rsidRDefault="0008002E" w:rsidP="006C66C7">
            <w:pPr>
              <w:pStyle w:val="TableText"/>
              <w:keepNext/>
              <w:keepLines/>
              <w:jc w:val="center"/>
            </w:pPr>
            <w:r w:rsidRPr="00EE0EEB">
              <w:t>−1.33</w:t>
            </w:r>
          </w:p>
          <w:p w14:paraId="68CC480F" w14:textId="77777777" w:rsidR="0008002E" w:rsidRPr="00EE0EEB" w:rsidRDefault="0008002E" w:rsidP="006C66C7">
            <w:pPr>
              <w:pStyle w:val="TableText"/>
              <w:keepNext/>
              <w:keepLines/>
              <w:jc w:val="center"/>
            </w:pPr>
            <w:r w:rsidRPr="00EE0EEB">
              <w:t>(−2.09, −0.57)</w:t>
            </w:r>
          </w:p>
          <w:p w14:paraId="7FF54B1A" w14:textId="77777777" w:rsidR="0008002E" w:rsidRPr="00EE0EEB" w:rsidRDefault="0008002E" w:rsidP="006C66C7">
            <w:pPr>
              <w:pStyle w:val="TableText"/>
              <w:keepNext/>
              <w:keepLines/>
              <w:jc w:val="center"/>
            </w:pPr>
            <w:r w:rsidRPr="00EE0EEB">
              <w:t>p=0.0006</w:t>
            </w:r>
          </w:p>
        </w:tc>
        <w:tc>
          <w:tcPr>
            <w:tcW w:w="744" w:type="pct"/>
            <w:tcMar>
              <w:left w:w="20" w:type="dxa"/>
              <w:right w:w="20" w:type="dxa"/>
            </w:tcMar>
            <w:vAlign w:val="center"/>
          </w:tcPr>
          <w:p w14:paraId="004F149E" w14:textId="77777777" w:rsidR="0008002E" w:rsidRPr="00EE0EEB" w:rsidRDefault="0008002E" w:rsidP="006C66C7">
            <w:pPr>
              <w:pStyle w:val="TableText"/>
              <w:keepNext/>
              <w:keepLines/>
              <w:jc w:val="center"/>
            </w:pPr>
            <w:r w:rsidRPr="00EE0EEB">
              <w:t>19.5</w:t>
            </w:r>
          </w:p>
          <w:p w14:paraId="74D6A1B9" w14:textId="77777777" w:rsidR="0008002E" w:rsidRPr="00EE0EEB" w:rsidRDefault="0008002E" w:rsidP="006C66C7">
            <w:pPr>
              <w:pStyle w:val="TableText"/>
              <w:keepNext/>
              <w:keepLines/>
              <w:jc w:val="center"/>
            </w:pPr>
            <w:r w:rsidRPr="00EE0EEB">
              <w:t>(8.2, 30.8)</w:t>
            </w:r>
          </w:p>
        </w:tc>
      </w:tr>
      <w:tr w:rsidR="0008002E" w:rsidRPr="00EE0EEB" w14:paraId="2B7032A1" w14:textId="77777777" w:rsidTr="00FC3DF2">
        <w:trPr>
          <w:cantSplit/>
          <w:trHeight w:val="70"/>
        </w:trPr>
        <w:tc>
          <w:tcPr>
            <w:tcW w:w="5000" w:type="pct"/>
            <w:gridSpan w:val="8"/>
            <w:tcMar>
              <w:left w:w="20" w:type="dxa"/>
              <w:right w:w="20" w:type="dxa"/>
            </w:tcMar>
          </w:tcPr>
          <w:p w14:paraId="55A80FBA" w14:textId="77777777" w:rsidR="0008002E" w:rsidRPr="00EE0EEB" w:rsidRDefault="0008002E" w:rsidP="006C66C7">
            <w:pPr>
              <w:pStyle w:val="TableText"/>
              <w:keepNext/>
              <w:keepLines/>
              <w:rPr>
                <w:b/>
                <w:bCs/>
              </w:rPr>
            </w:pPr>
            <w:r w:rsidRPr="00EE0EEB">
              <w:rPr>
                <w:b/>
              </w:rPr>
              <w:t>MMSE</w:t>
            </w:r>
          </w:p>
        </w:tc>
      </w:tr>
      <w:tr w:rsidR="0008002E" w:rsidRPr="00EE0EEB" w14:paraId="3A14F79C" w14:textId="77777777" w:rsidTr="00FC3DF2">
        <w:trPr>
          <w:cantSplit/>
          <w:trHeight w:val="70"/>
        </w:trPr>
        <w:tc>
          <w:tcPr>
            <w:tcW w:w="531" w:type="pct"/>
            <w:tcMar>
              <w:left w:w="20" w:type="dxa"/>
              <w:right w:w="20" w:type="dxa"/>
            </w:tcMar>
            <w:vAlign w:val="center"/>
          </w:tcPr>
          <w:p w14:paraId="0A531F16" w14:textId="77777777" w:rsidR="0008002E" w:rsidRPr="00EE0EEB" w:rsidRDefault="0008002E" w:rsidP="006C66C7">
            <w:pPr>
              <w:pStyle w:val="TableText"/>
              <w:keepNext/>
              <w:keepLines/>
              <w:jc w:val="center"/>
            </w:pPr>
            <w:r w:rsidRPr="00EE0EEB">
              <w:t>n=796</w:t>
            </w:r>
          </w:p>
        </w:tc>
        <w:tc>
          <w:tcPr>
            <w:tcW w:w="513" w:type="pct"/>
            <w:tcMar>
              <w:left w:w="20" w:type="dxa"/>
              <w:right w:w="20" w:type="dxa"/>
            </w:tcMar>
            <w:vAlign w:val="center"/>
          </w:tcPr>
          <w:p w14:paraId="31DC453E" w14:textId="77777777" w:rsidR="0008002E" w:rsidRPr="00EE0EEB" w:rsidRDefault="0008002E" w:rsidP="006C66C7">
            <w:pPr>
              <w:pStyle w:val="TableText"/>
              <w:keepNext/>
              <w:keepLines/>
              <w:jc w:val="center"/>
            </w:pPr>
            <w:r w:rsidRPr="00EE0EEB">
              <w:t>n=600</w:t>
            </w:r>
          </w:p>
        </w:tc>
        <w:tc>
          <w:tcPr>
            <w:tcW w:w="685" w:type="pct"/>
            <w:tcMar>
              <w:left w:w="20" w:type="dxa"/>
              <w:right w:w="20" w:type="dxa"/>
            </w:tcMar>
            <w:vAlign w:val="center"/>
          </w:tcPr>
          <w:p w14:paraId="6A59227A" w14:textId="77777777" w:rsidR="0008002E" w:rsidRPr="00EE0EEB" w:rsidRDefault="0008002E" w:rsidP="006C66C7">
            <w:pPr>
              <w:pStyle w:val="TableText"/>
              <w:keepNext/>
              <w:keepLines/>
              <w:jc w:val="center"/>
            </w:pPr>
          </w:p>
        </w:tc>
        <w:tc>
          <w:tcPr>
            <w:tcW w:w="531" w:type="pct"/>
            <w:tcMar>
              <w:left w:w="20" w:type="dxa"/>
              <w:right w:w="20" w:type="dxa"/>
            </w:tcMar>
            <w:vAlign w:val="center"/>
          </w:tcPr>
          <w:p w14:paraId="788CA30B" w14:textId="77777777" w:rsidR="0008002E" w:rsidRPr="00EE0EEB" w:rsidRDefault="0008002E" w:rsidP="006C66C7">
            <w:pPr>
              <w:pStyle w:val="TableText"/>
              <w:keepNext/>
              <w:keepLines/>
              <w:jc w:val="center"/>
            </w:pPr>
            <w:r w:rsidRPr="00EE0EEB">
              <w:t>n=841</w:t>
            </w:r>
          </w:p>
        </w:tc>
        <w:tc>
          <w:tcPr>
            <w:tcW w:w="532" w:type="pct"/>
            <w:tcMar>
              <w:left w:w="20" w:type="dxa"/>
              <w:right w:w="20" w:type="dxa"/>
            </w:tcMar>
            <w:vAlign w:val="center"/>
          </w:tcPr>
          <w:p w14:paraId="4657DF72" w14:textId="77777777" w:rsidR="0008002E" w:rsidRPr="00EE0EEB" w:rsidRDefault="0008002E" w:rsidP="006C66C7">
            <w:pPr>
              <w:pStyle w:val="TableText"/>
              <w:keepNext/>
              <w:keepLines/>
              <w:jc w:val="center"/>
            </w:pPr>
            <w:r w:rsidRPr="00EE0EEB">
              <w:t>n=679</w:t>
            </w:r>
          </w:p>
        </w:tc>
        <w:tc>
          <w:tcPr>
            <w:tcW w:w="733" w:type="pct"/>
            <w:tcMar>
              <w:left w:w="20" w:type="dxa"/>
              <w:right w:w="20" w:type="dxa"/>
            </w:tcMar>
            <w:vAlign w:val="center"/>
          </w:tcPr>
          <w:p w14:paraId="3423FB65" w14:textId="77777777" w:rsidR="0008002E" w:rsidRPr="00EE0EEB" w:rsidRDefault="0008002E" w:rsidP="006C66C7">
            <w:pPr>
              <w:pStyle w:val="TableText"/>
              <w:keepNext/>
              <w:keepLines/>
              <w:jc w:val="center"/>
            </w:pPr>
          </w:p>
        </w:tc>
        <w:tc>
          <w:tcPr>
            <w:tcW w:w="731" w:type="pct"/>
            <w:tcMar>
              <w:left w:w="20" w:type="dxa"/>
              <w:right w:w="20" w:type="dxa"/>
            </w:tcMar>
            <w:vAlign w:val="center"/>
          </w:tcPr>
          <w:p w14:paraId="63702981" w14:textId="77777777" w:rsidR="0008002E" w:rsidRPr="00EE0EEB" w:rsidRDefault="0008002E" w:rsidP="006C66C7">
            <w:pPr>
              <w:pStyle w:val="TableText"/>
              <w:keepNext/>
              <w:keepLines/>
              <w:jc w:val="center"/>
            </w:pPr>
          </w:p>
        </w:tc>
        <w:tc>
          <w:tcPr>
            <w:tcW w:w="744" w:type="pct"/>
            <w:tcMar>
              <w:left w:w="20" w:type="dxa"/>
              <w:right w:w="20" w:type="dxa"/>
            </w:tcMar>
            <w:vAlign w:val="center"/>
          </w:tcPr>
          <w:p w14:paraId="60F53591" w14:textId="77777777" w:rsidR="0008002E" w:rsidRPr="00EE0EEB" w:rsidRDefault="0008002E" w:rsidP="006C66C7">
            <w:pPr>
              <w:pStyle w:val="TableText"/>
              <w:keepNext/>
              <w:keepLines/>
              <w:jc w:val="center"/>
            </w:pPr>
          </w:p>
        </w:tc>
      </w:tr>
      <w:tr w:rsidR="0008002E" w:rsidRPr="00EE0EEB" w14:paraId="54021DF8" w14:textId="77777777" w:rsidTr="00AB6701">
        <w:trPr>
          <w:cantSplit/>
          <w:trHeight w:val="283"/>
        </w:trPr>
        <w:tc>
          <w:tcPr>
            <w:tcW w:w="531" w:type="pct"/>
            <w:tcMar>
              <w:left w:w="20" w:type="dxa"/>
              <w:right w:w="20" w:type="dxa"/>
            </w:tcMar>
            <w:vAlign w:val="center"/>
          </w:tcPr>
          <w:p w14:paraId="516BDFC8" w14:textId="77777777" w:rsidR="0008002E" w:rsidRPr="00EE0EEB" w:rsidRDefault="0008002E" w:rsidP="006C66C7">
            <w:pPr>
              <w:pStyle w:val="TableText"/>
              <w:keepNext/>
              <w:keepLines/>
              <w:jc w:val="center"/>
            </w:pPr>
            <w:r w:rsidRPr="00EE0EEB">
              <w:t xml:space="preserve">22.52 </w:t>
            </w:r>
            <w:r>
              <w:br/>
            </w:r>
            <w:r w:rsidRPr="00EE0EEB">
              <w:t>(3.84)</w:t>
            </w:r>
          </w:p>
        </w:tc>
        <w:tc>
          <w:tcPr>
            <w:tcW w:w="513" w:type="pct"/>
            <w:tcMar>
              <w:left w:w="20" w:type="dxa"/>
              <w:right w:w="20" w:type="dxa"/>
            </w:tcMar>
            <w:vAlign w:val="center"/>
          </w:tcPr>
          <w:p w14:paraId="3274D9C4" w14:textId="77777777" w:rsidR="0008002E" w:rsidRPr="00EE0EEB" w:rsidRDefault="0008002E" w:rsidP="006C66C7">
            <w:pPr>
              <w:pStyle w:val="TableText"/>
              <w:keepNext/>
              <w:keepLines/>
              <w:jc w:val="center"/>
            </w:pPr>
            <w:r w:rsidRPr="00EE0EEB">
              <w:t>20.71 (5.52)</w:t>
            </w:r>
          </w:p>
        </w:tc>
        <w:tc>
          <w:tcPr>
            <w:tcW w:w="685" w:type="pct"/>
            <w:tcMar>
              <w:left w:w="20" w:type="dxa"/>
              <w:right w:w="20" w:type="dxa"/>
            </w:tcMar>
            <w:vAlign w:val="center"/>
          </w:tcPr>
          <w:p w14:paraId="47D31370" w14:textId="77777777" w:rsidR="0008002E" w:rsidRPr="00EE0EEB" w:rsidRDefault="0008002E" w:rsidP="006C66C7">
            <w:pPr>
              <w:pStyle w:val="TableText"/>
              <w:keepNext/>
              <w:keepLines/>
              <w:jc w:val="center"/>
            </w:pPr>
            <w:r w:rsidRPr="00EE0EEB">
              <w:t>−2.47</w:t>
            </w:r>
          </w:p>
          <w:p w14:paraId="079D845C" w14:textId="77777777" w:rsidR="0008002E" w:rsidRPr="00EE0EEB" w:rsidRDefault="0008002E" w:rsidP="006C66C7">
            <w:pPr>
              <w:pStyle w:val="TableText"/>
              <w:keepNext/>
              <w:keepLines/>
              <w:jc w:val="center"/>
            </w:pPr>
            <w:r w:rsidRPr="00EE0EEB">
              <w:t>(−2.73, −2.20)</w:t>
            </w:r>
          </w:p>
        </w:tc>
        <w:tc>
          <w:tcPr>
            <w:tcW w:w="531" w:type="pct"/>
            <w:tcMar>
              <w:left w:w="20" w:type="dxa"/>
              <w:right w:w="20" w:type="dxa"/>
            </w:tcMar>
            <w:vAlign w:val="center"/>
          </w:tcPr>
          <w:p w14:paraId="40EB7AA3" w14:textId="77777777" w:rsidR="0008002E" w:rsidRDefault="0008002E" w:rsidP="006C66C7">
            <w:pPr>
              <w:pStyle w:val="TableText"/>
              <w:keepNext/>
              <w:keepLines/>
              <w:jc w:val="center"/>
            </w:pPr>
            <w:r w:rsidRPr="00EE0EEB">
              <w:t xml:space="preserve">22.20 </w:t>
            </w:r>
          </w:p>
          <w:p w14:paraId="24CCA86B" w14:textId="77777777" w:rsidR="0008002E" w:rsidRPr="00EE0EEB" w:rsidRDefault="0008002E" w:rsidP="006C66C7">
            <w:pPr>
              <w:pStyle w:val="TableText"/>
              <w:keepNext/>
              <w:keepLines/>
              <w:jc w:val="center"/>
            </w:pPr>
            <w:r w:rsidRPr="00EE0EEB">
              <w:t>(3.90)</w:t>
            </w:r>
          </w:p>
        </w:tc>
        <w:tc>
          <w:tcPr>
            <w:tcW w:w="532" w:type="pct"/>
            <w:tcMar>
              <w:left w:w="20" w:type="dxa"/>
              <w:right w:w="20" w:type="dxa"/>
            </w:tcMar>
            <w:vAlign w:val="center"/>
          </w:tcPr>
          <w:p w14:paraId="5A65C53F" w14:textId="77777777" w:rsidR="0008002E" w:rsidRPr="00EE0EEB" w:rsidRDefault="0008002E" w:rsidP="006C66C7">
            <w:pPr>
              <w:pStyle w:val="TableText"/>
              <w:keepNext/>
              <w:keepLines/>
              <w:jc w:val="center"/>
            </w:pPr>
            <w:r w:rsidRPr="00EE0EEB">
              <w:t xml:space="preserve">19.79 </w:t>
            </w:r>
            <w:r>
              <w:br/>
            </w:r>
            <w:r w:rsidRPr="00EE0EEB">
              <w:t>(5.51)</w:t>
            </w:r>
          </w:p>
        </w:tc>
        <w:tc>
          <w:tcPr>
            <w:tcW w:w="733" w:type="pct"/>
            <w:tcMar>
              <w:left w:w="20" w:type="dxa"/>
              <w:right w:w="20" w:type="dxa"/>
            </w:tcMar>
            <w:vAlign w:val="center"/>
          </w:tcPr>
          <w:p w14:paraId="0D4CDA75" w14:textId="77777777" w:rsidR="0008002E" w:rsidRPr="00EE0EEB" w:rsidRDefault="0008002E" w:rsidP="006C66C7">
            <w:pPr>
              <w:pStyle w:val="TableText"/>
              <w:keepNext/>
              <w:keepLines/>
              <w:jc w:val="center"/>
            </w:pPr>
            <w:r w:rsidRPr="00EE0EEB">
              <w:t>−2.94</w:t>
            </w:r>
          </w:p>
          <w:p w14:paraId="58656271" w14:textId="77777777" w:rsidR="0008002E" w:rsidRPr="00EE0EEB" w:rsidRDefault="0008002E" w:rsidP="006C66C7">
            <w:pPr>
              <w:pStyle w:val="TableText"/>
              <w:keepNext/>
              <w:keepLines/>
              <w:jc w:val="center"/>
            </w:pPr>
            <w:r w:rsidRPr="00EE0EEB">
              <w:t>(−3.20, −2.69)</w:t>
            </w:r>
          </w:p>
        </w:tc>
        <w:tc>
          <w:tcPr>
            <w:tcW w:w="731" w:type="pct"/>
            <w:tcMar>
              <w:left w:w="20" w:type="dxa"/>
              <w:right w:w="20" w:type="dxa"/>
            </w:tcMar>
            <w:vAlign w:val="center"/>
          </w:tcPr>
          <w:p w14:paraId="447E5BC6" w14:textId="77777777" w:rsidR="0008002E" w:rsidRPr="00EE0EEB" w:rsidRDefault="0008002E" w:rsidP="006C66C7">
            <w:pPr>
              <w:pStyle w:val="TableText"/>
              <w:keepNext/>
              <w:keepLines/>
              <w:jc w:val="center"/>
            </w:pPr>
            <w:r w:rsidRPr="00EE0EEB">
              <w:t>0.47</w:t>
            </w:r>
          </w:p>
          <w:p w14:paraId="3E9382C9" w14:textId="77777777" w:rsidR="0008002E" w:rsidRPr="00EE0EEB" w:rsidRDefault="0008002E" w:rsidP="006C66C7">
            <w:pPr>
              <w:pStyle w:val="TableText"/>
              <w:keepNext/>
              <w:keepLines/>
              <w:jc w:val="center"/>
            </w:pPr>
            <w:r w:rsidRPr="00EE0EEB">
              <w:t>(0.10, 0.84)</w:t>
            </w:r>
          </w:p>
          <w:p w14:paraId="3C0D3A47" w14:textId="77777777" w:rsidR="0008002E" w:rsidRPr="00EE0EEB" w:rsidRDefault="0008002E" w:rsidP="006C66C7">
            <w:pPr>
              <w:pStyle w:val="TableText"/>
              <w:keepNext/>
              <w:keepLines/>
              <w:jc w:val="center"/>
            </w:pPr>
            <w:r w:rsidRPr="00EE0EEB">
              <w:t>p=0.012</w:t>
            </w:r>
          </w:p>
        </w:tc>
        <w:tc>
          <w:tcPr>
            <w:tcW w:w="744" w:type="pct"/>
            <w:tcMar>
              <w:left w:w="20" w:type="dxa"/>
              <w:right w:w="20" w:type="dxa"/>
            </w:tcMar>
            <w:vAlign w:val="center"/>
          </w:tcPr>
          <w:p w14:paraId="628186CA" w14:textId="77777777" w:rsidR="0008002E" w:rsidRPr="00EE0EEB" w:rsidRDefault="0008002E" w:rsidP="006C66C7">
            <w:pPr>
              <w:pStyle w:val="TableText"/>
              <w:keepNext/>
              <w:keepLines/>
              <w:jc w:val="center"/>
            </w:pPr>
            <w:r w:rsidRPr="00EE0EEB">
              <w:t>16.1</w:t>
            </w:r>
          </w:p>
          <w:p w14:paraId="1E1CDAC9" w14:textId="77777777" w:rsidR="0008002E" w:rsidRPr="00EE0EEB" w:rsidRDefault="0008002E" w:rsidP="006C66C7">
            <w:pPr>
              <w:pStyle w:val="TableText"/>
              <w:keepNext/>
              <w:keepLines/>
              <w:jc w:val="center"/>
            </w:pPr>
            <w:r w:rsidRPr="00EE0EEB">
              <w:t>(3.5, 28.7)</w:t>
            </w:r>
          </w:p>
        </w:tc>
      </w:tr>
    </w:tbl>
    <w:p w14:paraId="7044A1D6" w14:textId="77777777" w:rsidR="0008002E" w:rsidRPr="00EE0EEB" w:rsidRDefault="0008002E" w:rsidP="006C66C7">
      <w:pPr>
        <w:pStyle w:val="TableFooter"/>
        <w:keepNext/>
        <w:keepLines/>
      </w:pPr>
      <w:r w:rsidRPr="00EE0EEB">
        <w:t>Source: Table 2-54, p195 of the submission and Section 5.1, TB-2 Clinical Study Report.</w:t>
      </w:r>
    </w:p>
    <w:p w14:paraId="14017A6B" w14:textId="0AD596E7" w:rsidR="0008002E" w:rsidRPr="00EE0EEB" w:rsidRDefault="0008002E" w:rsidP="006C66C7">
      <w:pPr>
        <w:pStyle w:val="TableFooter"/>
        <w:keepNext/>
        <w:keepLines/>
      </w:pPr>
      <w:r w:rsidRPr="00EE0EEB">
        <w:t>ADAS Cog13=13-Item Alzheimer</w:t>
      </w:r>
      <w:r w:rsidR="00F4444C">
        <w:t>’s</w:t>
      </w:r>
      <w:r w:rsidRPr="00EE0EEB">
        <w:t xml:space="preserve"> Disease Assessment Scale – Cognitive Subscale; ADCS-iADL=Alzheimer</w:t>
      </w:r>
      <w:r w:rsidR="00F4444C">
        <w:t>’s</w:t>
      </w:r>
      <w:r w:rsidRPr="00EE0EEB">
        <w:t xml:space="preserve"> Disease Cooperative Study–Instrumental Activities of Daily Living; CDR-SB=sum of boxes of the Clinical Dementia Rating Scale; CI=confidence interval; EES=evaluable efficacy set; LSM=least squares mean; MMSE=Mini-Mental State Examination; NCS2=natural cubic spline with 2 degrees of freedom; W76=Week 76.</w:t>
      </w:r>
    </w:p>
    <w:p w14:paraId="17C20F19" w14:textId="77777777" w:rsidR="0008002E" w:rsidRPr="00EE0EEB" w:rsidRDefault="0008002E" w:rsidP="006C66C7">
      <w:pPr>
        <w:pStyle w:val="TableFooter"/>
        <w:keepNext/>
        <w:keepLines/>
      </w:pPr>
      <w:r w:rsidRPr="00EE0EEB">
        <w:rPr>
          <w:vertAlign w:val="superscript"/>
        </w:rPr>
        <w:t>a</w:t>
      </w:r>
      <w:r>
        <w:rPr>
          <w:vertAlign w:val="superscript"/>
        </w:rPr>
        <w:t xml:space="preserve"> </w:t>
      </w:r>
      <w:r w:rsidRPr="00EE0EEB">
        <w:t>ADAS Cog13 scores range from 0 to 85, with higher scores indicating greater overall cognition deficit; ADCS-iADL scores range from 0 to 59, with lower scores indicating greater impairment in daily function; CDR-SB scores range from 0 to 18, with higher scores indicating greater clinical impairment, and MMSE scores ranges from 0 to 30, with lower scores indicating greater level of impairment.</w:t>
      </w:r>
    </w:p>
    <w:p w14:paraId="0AC9FCB7" w14:textId="77777777" w:rsidR="0008002E" w:rsidRPr="00EE0EEB" w:rsidRDefault="0008002E" w:rsidP="006C66C7">
      <w:pPr>
        <w:pStyle w:val="TableFooter"/>
        <w:keepNext/>
        <w:keepLines/>
      </w:pPr>
      <w:r w:rsidRPr="00EE0EEB">
        <w:rPr>
          <w:vertAlign w:val="superscript"/>
        </w:rPr>
        <w:t>b</w:t>
      </w:r>
      <w:r>
        <w:rPr>
          <w:vertAlign w:val="superscript"/>
        </w:rPr>
        <w:t xml:space="preserve"> </w:t>
      </w:r>
      <w:r w:rsidRPr="00EE0EEB">
        <w:t>The percentage of slowing of clinical progression was calculated by dividing the LSM change from baseline treatment differences at 76 weeks by the LSM change from baseline with placebo at 76 weeks and multiplying by 100. The CI was estimated using the Delta method</w:t>
      </w:r>
    </w:p>
    <w:p w14:paraId="01F0A8AA" w14:textId="041D21B7" w:rsidR="0008002E" w:rsidRPr="00EE0EEB" w:rsidRDefault="0008002E" w:rsidP="00DD02B1">
      <w:pPr>
        <w:pStyle w:val="3-BodyText"/>
        <w:numPr>
          <w:ilvl w:val="1"/>
          <w:numId w:val="23"/>
        </w:numPr>
        <w:spacing w:before="60" w:after="60"/>
        <w:ind w:left="709" w:hanging="709"/>
      </w:pPr>
      <w:r w:rsidRPr="00EE0EEB">
        <w:t>For CDR-SB, treatment with donanemab was associated with a statistically significant reduction in disease decline on change from baseline at 76 weeks compared to placebo in the overall population (</w:t>
      </w:r>
      <w:r>
        <w:t xml:space="preserve">LSM difference = </w:t>
      </w:r>
      <w:r w:rsidRPr="00EE0EEB">
        <w:t>-0.67 [28.9% reduction in decline], p&lt;0.001). Separation of the donanemab arm from the placebo arm was apparent by Week 12 (</w:t>
      </w:r>
      <w:r>
        <w:t xml:space="preserve">LSM difference = </w:t>
      </w:r>
      <w:r w:rsidRPr="00EE0EEB">
        <w:t>-0.16</w:t>
      </w:r>
      <w:r w:rsidR="00B07897">
        <w:t>;</w:t>
      </w:r>
      <w:r w:rsidRPr="00EE0EEB">
        <w:t xml:space="preserve"> 95% CI</w:t>
      </w:r>
      <w:r>
        <w:t>:</w:t>
      </w:r>
      <w:r w:rsidRPr="00EE0EEB">
        <w:t xml:space="preserve"> -0.29, -0.04), which was </w:t>
      </w:r>
      <w:r w:rsidRPr="00F27251">
        <w:t xml:space="preserve">nominally </w:t>
      </w:r>
      <w:r w:rsidRPr="00EE0EEB">
        <w:t>statistically significant and was maintained through to Week 76 (</w:t>
      </w:r>
      <w:r w:rsidR="000B11AF">
        <w:t xml:space="preserve">see </w:t>
      </w:r>
      <w:r w:rsidR="000B11AF">
        <w:fldChar w:fldCharType="begin"/>
      </w:r>
      <w:r w:rsidR="000B11AF">
        <w:instrText xml:space="preserve"> REF _Ref204780497 \h </w:instrText>
      </w:r>
      <w:r w:rsidR="000B11AF">
        <w:fldChar w:fldCharType="separate"/>
      </w:r>
      <w:r w:rsidR="00392423">
        <w:t xml:space="preserve">Figure </w:t>
      </w:r>
      <w:r w:rsidR="00392423">
        <w:rPr>
          <w:noProof/>
        </w:rPr>
        <w:t>4</w:t>
      </w:r>
      <w:r w:rsidR="000B11AF">
        <w:fldChar w:fldCharType="end"/>
      </w:r>
      <w:r w:rsidRPr="00EE0EEB">
        <w:t>).</w:t>
      </w:r>
    </w:p>
    <w:p w14:paraId="08832D5F" w14:textId="34D5D16E" w:rsidR="0008002E" w:rsidRPr="00EE0EEB" w:rsidRDefault="000B11AF" w:rsidP="000B11AF">
      <w:pPr>
        <w:pStyle w:val="Caption"/>
      </w:pPr>
      <w:bookmarkStart w:id="22" w:name="_Ref204780497"/>
      <w:r>
        <w:lastRenderedPageBreak/>
        <w:t xml:space="preserve">Figure </w:t>
      </w:r>
      <w:r>
        <w:fldChar w:fldCharType="begin"/>
      </w:r>
      <w:r>
        <w:instrText xml:space="preserve"> SEQ Figure \* ARABIC </w:instrText>
      </w:r>
      <w:r>
        <w:fldChar w:fldCharType="separate"/>
      </w:r>
      <w:r w:rsidR="00392423">
        <w:rPr>
          <w:noProof/>
        </w:rPr>
        <w:t>4</w:t>
      </w:r>
      <w:r>
        <w:fldChar w:fldCharType="end"/>
      </w:r>
      <w:bookmarkEnd w:id="22"/>
      <w:r w:rsidR="00564839">
        <w:t xml:space="preserve">: </w:t>
      </w:r>
      <w:r w:rsidR="0008002E" w:rsidRPr="00EE0EEB">
        <w:t>TB-2: CDR-SB change from baseline to 76 weeks in the overall population (MMRM)</w:t>
      </w:r>
    </w:p>
    <w:p w14:paraId="2B703E0D" w14:textId="77777777" w:rsidR="0008002E" w:rsidRPr="00EE0EEB" w:rsidRDefault="0008002E" w:rsidP="0008002E">
      <w:r w:rsidRPr="00EE0EEB">
        <w:rPr>
          <w:noProof/>
        </w:rPr>
        <w:drawing>
          <wp:inline distT="0" distB="0" distL="0" distR="0" wp14:anchorId="2312C9D6" wp14:editId="14E49F79">
            <wp:extent cx="5010494" cy="2898843"/>
            <wp:effectExtent l="0" t="0" r="0" b="0"/>
            <wp:docPr id="702013218" name="Picture 702013218" descr="Figure 4: TB-2: CDR-SB change from baseline to 76 weeks in the overall population (MM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13218" name="Picture 702013218" descr="Figure 4: TB-2: CDR-SB change from baseline to 76 weeks in the overall population (MMR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71200" cy="2933965"/>
                    </a:xfrm>
                    <a:prstGeom prst="rect">
                      <a:avLst/>
                    </a:prstGeom>
                    <a:noFill/>
                    <a:ln>
                      <a:noFill/>
                    </a:ln>
                  </pic:spPr>
                </pic:pic>
              </a:graphicData>
            </a:graphic>
          </wp:inline>
        </w:drawing>
      </w:r>
    </w:p>
    <w:p w14:paraId="0C094D76" w14:textId="77777777" w:rsidR="0008002E" w:rsidRPr="00EE0EEB" w:rsidRDefault="0008002E" w:rsidP="0008002E">
      <w:pPr>
        <w:pStyle w:val="TableFooter"/>
      </w:pPr>
      <w:r w:rsidRPr="00EE0EEB">
        <w:t>Source: Figure 2-24, p197 of the submission.</w:t>
      </w:r>
    </w:p>
    <w:p w14:paraId="5BED5CCD" w14:textId="77777777" w:rsidR="0008002E" w:rsidRPr="00EE0EEB" w:rsidRDefault="0008002E" w:rsidP="0008002E">
      <w:pPr>
        <w:pStyle w:val="TableFooter"/>
      </w:pPr>
      <w:r w:rsidRPr="00EE0EEB">
        <w:t>CDR-SB=Clinical Dementia Rating – Sum of Boxes; CI=confidence interval; MMRM=Mixed Model for Repeated Measures</w:t>
      </w:r>
    </w:p>
    <w:p w14:paraId="3C0E1E1F" w14:textId="12108DEE" w:rsidR="0008002E" w:rsidRPr="00EE0EEB" w:rsidRDefault="0008002E" w:rsidP="00DD02B1">
      <w:pPr>
        <w:pStyle w:val="3-BodyText"/>
        <w:numPr>
          <w:ilvl w:val="1"/>
          <w:numId w:val="23"/>
        </w:numPr>
        <w:spacing w:before="60" w:after="60"/>
        <w:ind w:left="709" w:hanging="709"/>
      </w:pPr>
      <w:r w:rsidRPr="00EE0EEB">
        <w:t xml:space="preserve">An exploratory analysis of CDR-SB by domain type is depicted in </w:t>
      </w:r>
      <w:r w:rsidR="000B11AF">
        <w:fldChar w:fldCharType="begin"/>
      </w:r>
      <w:r w:rsidR="000B11AF">
        <w:instrText xml:space="preserve"> REF _Ref204780519 \h </w:instrText>
      </w:r>
      <w:r w:rsidR="000B11AF">
        <w:fldChar w:fldCharType="separate"/>
      </w:r>
      <w:r w:rsidR="00392423">
        <w:t xml:space="preserve">Figure </w:t>
      </w:r>
      <w:r w:rsidR="00392423">
        <w:rPr>
          <w:noProof/>
        </w:rPr>
        <w:t>5</w:t>
      </w:r>
      <w:r w:rsidR="000B11AF">
        <w:fldChar w:fldCharType="end"/>
      </w:r>
      <w:r w:rsidRPr="00EE0EEB">
        <w:t>.</w:t>
      </w:r>
    </w:p>
    <w:p w14:paraId="04A64DCD" w14:textId="30E22003" w:rsidR="0008002E" w:rsidRPr="00EE0EEB" w:rsidRDefault="000B11AF" w:rsidP="000B11AF">
      <w:pPr>
        <w:pStyle w:val="Caption"/>
      </w:pPr>
      <w:bookmarkStart w:id="23" w:name="_Ref204780519"/>
      <w:r>
        <w:t xml:space="preserve">Figure </w:t>
      </w:r>
      <w:r>
        <w:fldChar w:fldCharType="begin"/>
      </w:r>
      <w:r>
        <w:instrText xml:space="preserve"> SEQ Figure \* ARABIC </w:instrText>
      </w:r>
      <w:r>
        <w:fldChar w:fldCharType="separate"/>
      </w:r>
      <w:r w:rsidR="00392423">
        <w:rPr>
          <w:noProof/>
        </w:rPr>
        <w:t>5</w:t>
      </w:r>
      <w:r>
        <w:fldChar w:fldCharType="end"/>
      </w:r>
      <w:bookmarkEnd w:id="23"/>
      <w:r w:rsidR="0018181B">
        <w:t xml:space="preserve">: </w:t>
      </w:r>
      <w:r w:rsidR="0008002E" w:rsidRPr="00EE0EEB">
        <w:t>TB-2: Treatment effect of donanemab across individual CDR-SB domains in the overall population at 76 weeks</w:t>
      </w:r>
    </w:p>
    <w:p w14:paraId="7B037056" w14:textId="77777777" w:rsidR="0008002E" w:rsidRPr="00EE0EEB" w:rsidRDefault="0008002E" w:rsidP="0008002E">
      <w:r w:rsidRPr="00EE0EEB">
        <w:rPr>
          <w:noProof/>
        </w:rPr>
        <w:drawing>
          <wp:inline distT="0" distB="0" distL="0" distR="0" wp14:anchorId="00DDBF73" wp14:editId="67321D22">
            <wp:extent cx="4832350" cy="3199765"/>
            <wp:effectExtent l="0" t="0" r="6350" b="635"/>
            <wp:docPr id="447723445" name="Picture 447723445" descr="Figure 5: TB-2: Treatment effect of donanemab across individual CDR-SB domains in the overall population at 76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23445" name="Picture 447723445" descr="Figure 5: TB-2: Treatment effect of donanemab across individual CDR-SB domains in the overall population at 76 weeks"/>
                    <pic:cNvPicPr/>
                  </pic:nvPicPr>
                  <pic:blipFill>
                    <a:blip r:embed="rId16"/>
                    <a:stretch>
                      <a:fillRect/>
                    </a:stretch>
                  </pic:blipFill>
                  <pic:spPr>
                    <a:xfrm>
                      <a:off x="0" y="0"/>
                      <a:ext cx="4847452" cy="3209765"/>
                    </a:xfrm>
                    <a:prstGeom prst="rect">
                      <a:avLst/>
                    </a:prstGeom>
                  </pic:spPr>
                </pic:pic>
              </a:graphicData>
            </a:graphic>
          </wp:inline>
        </w:drawing>
      </w:r>
    </w:p>
    <w:p w14:paraId="4DF97C4B" w14:textId="77777777" w:rsidR="0008002E" w:rsidRPr="00EE0EEB" w:rsidRDefault="0008002E" w:rsidP="0008002E">
      <w:pPr>
        <w:pStyle w:val="TableFooter"/>
      </w:pPr>
      <w:r w:rsidRPr="00EE0EEB">
        <w:t xml:space="preserve">Source: Figure 2-25, p197 of the submission </w:t>
      </w:r>
    </w:p>
    <w:p w14:paraId="77221632" w14:textId="77777777" w:rsidR="0008002E" w:rsidRPr="00EE0EEB" w:rsidRDefault="0008002E" w:rsidP="0008002E">
      <w:pPr>
        <w:pStyle w:val="TableFooter"/>
      </w:pPr>
      <w:r w:rsidRPr="00EE0EEB">
        <w:t>CDR-SB=Clinical Dementia Rating Scale – Sum of Boxes; CI=confidence interval</w:t>
      </w:r>
    </w:p>
    <w:p w14:paraId="71BA6AE8" w14:textId="77777777" w:rsidR="0008002E" w:rsidRPr="006F6126" w:rsidRDefault="0008002E" w:rsidP="00DD02B1">
      <w:pPr>
        <w:pStyle w:val="3-BodyText"/>
        <w:numPr>
          <w:ilvl w:val="1"/>
          <w:numId w:val="23"/>
        </w:numPr>
        <w:spacing w:before="60" w:after="60"/>
        <w:ind w:left="709" w:hanging="709"/>
      </w:pPr>
      <w:r w:rsidRPr="00EE0EEB">
        <w:t xml:space="preserve">The reduction in the CDR-SB score at </w:t>
      </w:r>
      <w:r>
        <w:t>W</w:t>
      </w:r>
      <w:r w:rsidRPr="00EE0EEB">
        <w:t>eek 76 observed in donanemab-treated patients in the overall population was statistically significant (p</w:t>
      </w:r>
      <w:r>
        <w:t xml:space="preserve"> </w:t>
      </w:r>
      <w:r w:rsidRPr="00EE0EEB">
        <w:t>≤</w:t>
      </w:r>
      <w:r>
        <w:t xml:space="preserve"> </w:t>
      </w:r>
      <w:r w:rsidRPr="00EE0EEB">
        <w:t xml:space="preserve">0.002) across all 6 CDR-SB domains (memory, orientation, judgement/problem solving, community affairs, home/hobbies, and personal care). </w:t>
      </w:r>
      <w:r w:rsidRPr="006F6126">
        <w:t xml:space="preserve">The percent reduction in decline associated </w:t>
      </w:r>
      <w:r w:rsidRPr="006F6126">
        <w:lastRenderedPageBreak/>
        <w:t>with donanemab versus placebo varied from 21.2% in the Community (Function) domain to 32.9% for Memory (Cognitive) domain.</w:t>
      </w:r>
    </w:p>
    <w:p w14:paraId="17A4321B" w14:textId="3D76BE9C" w:rsidR="0008002E" w:rsidRPr="00EE0EEB" w:rsidRDefault="000B11AF" w:rsidP="00DD02B1">
      <w:pPr>
        <w:pStyle w:val="3-BodyText"/>
        <w:numPr>
          <w:ilvl w:val="1"/>
          <w:numId w:val="23"/>
        </w:numPr>
        <w:spacing w:before="60" w:after="60"/>
        <w:ind w:left="709" w:hanging="709"/>
      </w:pPr>
      <w:r>
        <w:fldChar w:fldCharType="begin"/>
      </w:r>
      <w:r>
        <w:instrText xml:space="preserve"> REF _Ref204780550 \h </w:instrText>
      </w:r>
      <w:r>
        <w:fldChar w:fldCharType="separate"/>
      </w:r>
      <w:r w:rsidR="00392423">
        <w:t xml:space="preserve">Figure </w:t>
      </w:r>
      <w:r w:rsidR="00392423">
        <w:rPr>
          <w:noProof/>
        </w:rPr>
        <w:t>6</w:t>
      </w:r>
      <w:r>
        <w:fldChar w:fldCharType="end"/>
      </w:r>
      <w:r w:rsidR="0008002E" w:rsidRPr="00EE0EEB">
        <w:t xml:space="preserve"> depicts the hazard of progression in the donanemab and placebo arms as measured by CDR-SB in the overall population.</w:t>
      </w:r>
    </w:p>
    <w:p w14:paraId="1122F7F9" w14:textId="70832ECB" w:rsidR="0008002E" w:rsidRPr="00EE0EEB" w:rsidRDefault="000B11AF" w:rsidP="000B11AF">
      <w:pPr>
        <w:pStyle w:val="Caption"/>
      </w:pPr>
      <w:bookmarkStart w:id="24" w:name="_Ref204780550"/>
      <w:r>
        <w:t xml:space="preserve">Figure </w:t>
      </w:r>
      <w:r>
        <w:fldChar w:fldCharType="begin"/>
      </w:r>
      <w:r>
        <w:instrText xml:space="preserve"> SEQ Figure \* ARABIC </w:instrText>
      </w:r>
      <w:r>
        <w:fldChar w:fldCharType="separate"/>
      </w:r>
      <w:r w:rsidR="00392423">
        <w:rPr>
          <w:noProof/>
        </w:rPr>
        <w:t>6</w:t>
      </w:r>
      <w:r>
        <w:fldChar w:fldCharType="end"/>
      </w:r>
      <w:bookmarkEnd w:id="24"/>
      <w:r w:rsidR="0018181B">
        <w:t xml:space="preserve">: </w:t>
      </w:r>
      <w:r w:rsidR="0008002E" w:rsidRPr="00EE0EEB">
        <w:t>TB-2: Hazard of disease progression by treatment arm based on CDR-SB change in the overall population (Cox proportional hazards model)</w:t>
      </w:r>
    </w:p>
    <w:p w14:paraId="058FCDD9" w14:textId="77777777" w:rsidR="0008002E" w:rsidRPr="00EE0EEB" w:rsidRDefault="0008002E" w:rsidP="0008002E">
      <w:r w:rsidRPr="00EE0EEB">
        <w:rPr>
          <w:noProof/>
        </w:rPr>
        <w:drawing>
          <wp:inline distT="0" distB="0" distL="0" distR="0" wp14:anchorId="49217538" wp14:editId="33B68E9C">
            <wp:extent cx="5467350" cy="2447925"/>
            <wp:effectExtent l="0" t="0" r="0" b="9525"/>
            <wp:docPr id="1408581671" name="Picture 1408581671" descr="Figure 6: TB-2: Hazard of disease progression by treatment arm based on CDR-SB change in the overall population (Cox proportional hazard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81671" name="Picture 1408581671" descr="Figure 6: TB-2: Hazard of disease progression by treatment arm based on CDR-SB change in the overall population (Cox proportional hazards mode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14648" cy="2469102"/>
                    </a:xfrm>
                    <a:prstGeom prst="rect">
                      <a:avLst/>
                    </a:prstGeom>
                    <a:noFill/>
                  </pic:spPr>
                </pic:pic>
              </a:graphicData>
            </a:graphic>
          </wp:inline>
        </w:drawing>
      </w:r>
    </w:p>
    <w:p w14:paraId="78D8AEC2" w14:textId="77777777" w:rsidR="0008002E" w:rsidRPr="00EE0EEB" w:rsidRDefault="0008002E" w:rsidP="0008002E">
      <w:pPr>
        <w:pStyle w:val="TableFooter"/>
      </w:pPr>
      <w:r w:rsidRPr="00EE0EEB">
        <w:t>Source: Figure 2-31, p202 of the submission.</w:t>
      </w:r>
    </w:p>
    <w:p w14:paraId="2BB539C5" w14:textId="77777777" w:rsidR="0008002E" w:rsidRPr="00EE0EEB" w:rsidRDefault="0008002E" w:rsidP="0008002E">
      <w:pPr>
        <w:pStyle w:val="TableFooter"/>
      </w:pPr>
      <w:r w:rsidRPr="00EE0EEB">
        <w:t>CDR-SB=Clinical Dementia Rating Scale–Sum of Boxes; CI=confidence interval; DON=donanemab; PBO=placebo; MCI=mild cognitive impairment; SE=standard error.</w:t>
      </w:r>
    </w:p>
    <w:p w14:paraId="6276069E" w14:textId="77777777" w:rsidR="0008002E" w:rsidRPr="00EE0EEB" w:rsidRDefault="0008002E" w:rsidP="0008002E">
      <w:pPr>
        <w:pStyle w:val="TableFooter"/>
      </w:pPr>
      <w:r w:rsidRPr="00EE0EEB">
        <w:t>***</w:t>
      </w:r>
      <w:r w:rsidRPr="00EE0EEB">
        <w:rPr>
          <w:rFonts w:asciiTheme="minorHAnsi" w:eastAsiaTheme="minorHAnsi" w:hAnsiTheme="minorHAnsi" w:cstheme="minorBidi"/>
          <w:snapToGrid/>
          <w:sz w:val="24"/>
          <w:szCs w:val="22"/>
        </w:rPr>
        <w:t xml:space="preserve"> </w:t>
      </w:r>
      <w:r w:rsidRPr="00EE0EEB">
        <w:t>p&lt;.001</w:t>
      </w:r>
    </w:p>
    <w:p w14:paraId="64E8C33F" w14:textId="77777777" w:rsidR="0008002E" w:rsidRPr="00EE0EEB" w:rsidRDefault="0008002E" w:rsidP="0008002E">
      <w:pPr>
        <w:pStyle w:val="TableFooter"/>
      </w:pPr>
      <w:r w:rsidRPr="00EE0EEB">
        <w:t>Note: CDR-SB range from 0 to 18, with higher scores indicating greater clinical impairment. Meaningful within person change in progression on CDR-SB was defined in the Clinical Study Report as a change ≥1 point for patients with MCI, and ≥2 points for patients with mild dementia due to AD at 2 consecutive study visits.</w:t>
      </w:r>
    </w:p>
    <w:p w14:paraId="50973EA6" w14:textId="609E49DE" w:rsidR="0008002E" w:rsidRPr="006F6126" w:rsidRDefault="0008002E" w:rsidP="00DD02B1">
      <w:pPr>
        <w:pStyle w:val="3-BodyText"/>
        <w:numPr>
          <w:ilvl w:val="1"/>
          <w:numId w:val="23"/>
        </w:numPr>
        <w:spacing w:before="60" w:after="60"/>
        <w:ind w:left="709" w:hanging="709"/>
      </w:pPr>
      <w:r w:rsidRPr="006F6126">
        <w:t>There was a 38% statistically significant reduction in the hazard of disease progression, as measured by an increase in the CDR-SB</w:t>
      </w:r>
      <w:r w:rsidRPr="006F6126">
        <w:rPr>
          <w:rStyle w:val="FootnoteReference"/>
        </w:rPr>
        <w:footnoteReference w:id="36"/>
      </w:r>
      <w:r w:rsidRPr="006F6126">
        <w:t>, associated with the donanemab arm compared to the placebo arm in the overall population (HR</w:t>
      </w:r>
      <w:r>
        <w:t xml:space="preserve"> =</w:t>
      </w:r>
      <w:r w:rsidRPr="006F6126">
        <w:t xml:space="preserve"> 0.62</w:t>
      </w:r>
      <w:r w:rsidR="00B07897">
        <w:t>;</w:t>
      </w:r>
      <w:r w:rsidRPr="006F6126">
        <w:t xml:space="preserve"> 95% CI: 0.52, 0.75; p&lt;.001). Meaningful decline (within patient) was observed in 229 (28%) donanemab-treated patients and in 348 (41%) placebo-treated participants.</w:t>
      </w:r>
    </w:p>
    <w:p w14:paraId="554B3C52" w14:textId="77777777" w:rsidR="0008002E" w:rsidRPr="006F6126" w:rsidRDefault="0008002E" w:rsidP="00DD02B1">
      <w:pPr>
        <w:pStyle w:val="3-BodyText"/>
        <w:numPr>
          <w:ilvl w:val="1"/>
          <w:numId w:val="23"/>
        </w:numPr>
        <w:spacing w:before="60" w:after="60"/>
        <w:ind w:left="709" w:hanging="709"/>
      </w:pPr>
      <w:r w:rsidRPr="006F6126">
        <w:t>A time-progression model for repeated measures analysis indicated that the time saved or time delay in progression associated with donanemab compared to placebo was 5.44 months (95% CI: 3.90, 6.98) over the 18-month period in TB-2.</w:t>
      </w:r>
    </w:p>
    <w:p w14:paraId="425603B6" w14:textId="4FDE0B10" w:rsidR="0008002E" w:rsidRPr="00082CB2" w:rsidRDefault="0008002E" w:rsidP="00DD02B1">
      <w:pPr>
        <w:pStyle w:val="3-BodyText"/>
        <w:numPr>
          <w:ilvl w:val="1"/>
          <w:numId w:val="23"/>
        </w:numPr>
        <w:spacing w:before="60" w:after="60"/>
        <w:ind w:left="709" w:hanging="709"/>
      </w:pPr>
      <w:r w:rsidRPr="00082CB2">
        <w:t xml:space="preserve">The ESCs noted that iADRS score (the primary outcome) is a composite score comprising of functional ability/clinical progression and cognitive ability (see paragraph </w:t>
      </w:r>
      <w:r w:rsidR="007231D7" w:rsidRPr="00082CB2">
        <w:fldChar w:fldCharType="begin"/>
      </w:r>
      <w:r w:rsidR="007231D7" w:rsidRPr="00082CB2">
        <w:instrText xml:space="preserve"> REF _Ref201333154 \r \h </w:instrText>
      </w:r>
      <w:r w:rsidR="00082CB2">
        <w:instrText xml:space="preserve"> \* MERGEFORMAT </w:instrText>
      </w:r>
      <w:r w:rsidR="007231D7" w:rsidRPr="00082CB2">
        <w:fldChar w:fldCharType="separate"/>
      </w:r>
      <w:r w:rsidR="00392423">
        <w:t>6.10</w:t>
      </w:r>
      <w:r w:rsidR="007231D7" w:rsidRPr="00082CB2">
        <w:fldChar w:fldCharType="end"/>
      </w:r>
      <w:r w:rsidRPr="00082CB2">
        <w:t xml:space="preserve">), both of which were secondary outcomes of the TB-2 trial. Functional ability/clinical progression was measured using the ADCS-iADL scale which ranged from 0 to 59, with lower scores indicating greater impairment of function. Cognitive ability was measured using the ADAC-Cog13 scale, which ranged from 0 to 85, with </w:t>
      </w:r>
      <w:r w:rsidRPr="00082CB2">
        <w:lastRenderedPageBreak/>
        <w:t xml:space="preserve">higher scores indicating greater overall cognition deficit (i.e. improved cognition from baseline results in a negative value). The iADRS was calculated as follows: ADCR-iADL – ADAS-Cog13 + 85. </w:t>
      </w:r>
    </w:p>
    <w:p w14:paraId="78D9227F" w14:textId="2FD1DEAA" w:rsidR="0008002E" w:rsidRPr="00082CB2" w:rsidRDefault="000B11AF" w:rsidP="00DD02B1">
      <w:pPr>
        <w:pStyle w:val="3-BodyText"/>
        <w:numPr>
          <w:ilvl w:val="1"/>
          <w:numId w:val="23"/>
        </w:numPr>
        <w:spacing w:before="60" w:after="60"/>
        <w:ind w:left="709" w:hanging="709"/>
      </w:pPr>
      <w:r>
        <w:fldChar w:fldCharType="begin"/>
      </w:r>
      <w:r>
        <w:instrText xml:space="preserve"> REF _Ref204780577 \h </w:instrText>
      </w:r>
      <w:r>
        <w:fldChar w:fldCharType="separate"/>
      </w:r>
      <w:r w:rsidR="00392423">
        <w:t xml:space="preserve">Figure </w:t>
      </w:r>
      <w:r w:rsidR="00392423">
        <w:rPr>
          <w:noProof/>
        </w:rPr>
        <w:t>7</w:t>
      </w:r>
      <w:r>
        <w:fldChar w:fldCharType="end"/>
      </w:r>
      <w:r w:rsidR="0008002E" w:rsidRPr="00082CB2">
        <w:t xml:space="preserve"> presents the change from baseline for the ADCS-iADL and ADAS-Cog13 scores to Week 76.</w:t>
      </w:r>
    </w:p>
    <w:p w14:paraId="3D0D69FB" w14:textId="556E29AC" w:rsidR="0008002E" w:rsidRPr="000129C5" w:rsidRDefault="000B11AF" w:rsidP="000B11AF">
      <w:pPr>
        <w:pStyle w:val="Caption"/>
      </w:pPr>
      <w:bookmarkStart w:id="25" w:name="_Ref204780577"/>
      <w:r>
        <w:t xml:space="preserve">Figure </w:t>
      </w:r>
      <w:r>
        <w:fldChar w:fldCharType="begin"/>
      </w:r>
      <w:r>
        <w:instrText xml:space="preserve"> SEQ Figure \* ARABIC </w:instrText>
      </w:r>
      <w:r>
        <w:fldChar w:fldCharType="separate"/>
      </w:r>
      <w:r w:rsidR="00392423">
        <w:rPr>
          <w:noProof/>
        </w:rPr>
        <w:t>7</w:t>
      </w:r>
      <w:r>
        <w:fldChar w:fldCharType="end"/>
      </w:r>
      <w:bookmarkEnd w:id="25"/>
      <w:r w:rsidR="0018181B">
        <w:t xml:space="preserve">: </w:t>
      </w:r>
      <w:r w:rsidR="0008002E" w:rsidRPr="5EEE9212">
        <w:t>Change from baseline in ADCS-iADL (functional ability; LEFT) and ADAS-Cog13 (cognitive ability; RIGHT) to week 76 in the overall population (NCS2)</w:t>
      </w:r>
    </w:p>
    <w:p w14:paraId="46A7A829" w14:textId="77777777" w:rsidR="0008002E" w:rsidRPr="000129C5" w:rsidRDefault="0008002E" w:rsidP="0008002E">
      <w:pPr>
        <w:rPr>
          <w:i/>
        </w:rPr>
      </w:pPr>
      <w:r w:rsidRPr="000129C5">
        <w:rPr>
          <w:i/>
          <w:noProof/>
        </w:rPr>
        <w:drawing>
          <wp:inline distT="0" distB="0" distL="0" distR="0" wp14:anchorId="0576BF4A" wp14:editId="78E132EF">
            <wp:extent cx="2846567" cy="1774294"/>
            <wp:effectExtent l="0" t="0" r="0" b="0"/>
            <wp:docPr id="1456285901" name="Picture 1456285901" descr="Figure 7a: Change from baseline in ADCS-iADL (functional ability) to week 76 in the overall population (N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85901" name="Picture 1456285901" descr="Figure 7a: Change from baseline in ADCS-iADL (functional ability) to week 76 in the overall population (NCS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0802" cy="1789400"/>
                    </a:xfrm>
                    <a:prstGeom prst="rect">
                      <a:avLst/>
                    </a:prstGeom>
                    <a:noFill/>
                    <a:ln>
                      <a:noFill/>
                    </a:ln>
                  </pic:spPr>
                </pic:pic>
              </a:graphicData>
            </a:graphic>
          </wp:inline>
        </w:drawing>
      </w:r>
      <w:r w:rsidRPr="000129C5">
        <w:rPr>
          <w:i/>
          <w:noProof/>
        </w:rPr>
        <w:drawing>
          <wp:inline distT="0" distB="0" distL="0" distR="0" wp14:anchorId="711F5269" wp14:editId="2FF967C4">
            <wp:extent cx="2846070" cy="1729841"/>
            <wp:effectExtent l="0" t="0" r="0" b="3810"/>
            <wp:docPr id="1236571634" name="Picture 1236571634" descr="Figure 7b: Change from baseline in ADAS-Cog13 (cognitive ability) to week 76 in the overall population (N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71634" name="Picture 1236571634" descr="Figure 7b: Change from baseline in ADAS-Cog13 (cognitive ability) to week 76 in the overall population (NCS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7567" cy="1742907"/>
                    </a:xfrm>
                    <a:prstGeom prst="rect">
                      <a:avLst/>
                    </a:prstGeom>
                    <a:noFill/>
                    <a:ln>
                      <a:noFill/>
                    </a:ln>
                  </pic:spPr>
                </pic:pic>
              </a:graphicData>
            </a:graphic>
          </wp:inline>
        </w:drawing>
      </w:r>
    </w:p>
    <w:p w14:paraId="28EB0EE7" w14:textId="77777777" w:rsidR="0008002E" w:rsidRPr="00C62727" w:rsidRDefault="0008002E" w:rsidP="0008002E">
      <w:pPr>
        <w:pStyle w:val="TableFooter"/>
        <w:rPr>
          <w:iCs/>
        </w:rPr>
      </w:pPr>
      <w:r w:rsidRPr="00C62727">
        <w:rPr>
          <w:iCs/>
        </w:rPr>
        <w:t>Source: Figures AACI.5.8 and AACI.5.10, pp133 and 141 of the TRAILBLASER-ALZ 2 CSR</w:t>
      </w:r>
    </w:p>
    <w:p w14:paraId="5CA77DDF" w14:textId="46EBD14F" w:rsidR="0008002E" w:rsidRPr="00C62727" w:rsidRDefault="0008002E" w:rsidP="0008002E">
      <w:pPr>
        <w:pStyle w:val="TableFooter"/>
        <w:rPr>
          <w:iCs/>
        </w:rPr>
      </w:pPr>
      <w:r w:rsidRPr="00C62727">
        <w:rPr>
          <w:iCs/>
        </w:rPr>
        <w:t>ADAS-Cog13=Alzheimer</w:t>
      </w:r>
      <w:r w:rsidR="00F4444C">
        <w:rPr>
          <w:iCs/>
        </w:rPr>
        <w:t>’s</w:t>
      </w:r>
      <w:r w:rsidRPr="00C62727">
        <w:rPr>
          <w:iCs/>
        </w:rPr>
        <w:t xml:space="preserve"> Disease Assessment Scale – 13-item Cognitive subscale; ADCS-iADL =Alzheimer</w:t>
      </w:r>
      <w:r w:rsidR="00F4444C">
        <w:rPr>
          <w:iCs/>
        </w:rPr>
        <w:t>’s</w:t>
      </w:r>
      <w:r w:rsidRPr="00C62727">
        <w:rPr>
          <w:iCs/>
        </w:rPr>
        <w:t xml:space="preserve"> Disease Cooperative Study – instrumental Activities of Daily Living subscale; LS=least squares, NCS2=natural cubic spline model with 2 degrees of freedom; SE=standard error </w:t>
      </w:r>
    </w:p>
    <w:p w14:paraId="2094B891" w14:textId="3F274B3D" w:rsidR="0008002E" w:rsidRPr="00082CB2" w:rsidRDefault="0008002E" w:rsidP="00DD02B1">
      <w:pPr>
        <w:pStyle w:val="3-BodyText"/>
        <w:numPr>
          <w:ilvl w:val="1"/>
          <w:numId w:val="23"/>
        </w:numPr>
        <w:spacing w:before="60" w:after="60"/>
        <w:ind w:left="709" w:hanging="709"/>
      </w:pPr>
      <w:r w:rsidRPr="00082CB2">
        <w:t>The ESCs noted that at Week 76 donanemab-treated patients had statistically significantly less decline in functional ability compared to placebo-treated patients (LS mean change ± SE = 1.70 points ± 0.44; p=0.0001), which corresponded to a 28% slowing of decline in functional ability. For cognition, donanemab-treated patients also had statistically significantly less decline compared with placebo-treated patients (LS mean change ± SE = -1.33 points ± 0.39 (p=0.0006), which corresponded to a 20% slowing of decline in cognitive function. The ESCs considered that, although the differences in functional and cognitive function were statistically significant, the differences may not be clinical meaningful.</w:t>
      </w:r>
    </w:p>
    <w:p w14:paraId="04796361" w14:textId="67B92092" w:rsidR="0008002E" w:rsidRDefault="0008002E" w:rsidP="00DD02B1">
      <w:pPr>
        <w:pStyle w:val="3-BodyText"/>
        <w:numPr>
          <w:ilvl w:val="1"/>
          <w:numId w:val="23"/>
        </w:numPr>
        <w:spacing w:before="60" w:after="60"/>
        <w:ind w:left="709" w:hanging="709"/>
      </w:pPr>
      <w:r w:rsidRPr="006F6126">
        <w:t xml:space="preserve">For </w:t>
      </w:r>
      <w:r>
        <w:t xml:space="preserve">the functional ADCS-iADL scale, </w:t>
      </w:r>
      <w:r w:rsidRPr="006F6126">
        <w:t>items such as Outdoor Activities (Shopping [treatment difference</w:t>
      </w:r>
      <w:r w:rsidR="00283E0B">
        <w:t xml:space="preserve"> =</w:t>
      </w:r>
      <w:r w:rsidRPr="006F6126">
        <w:t xml:space="preserve"> -1.12] and Get Around Outside Home [treatment difference </w:t>
      </w:r>
      <w:r w:rsidR="00283E0B">
        <w:t xml:space="preserve">= </w:t>
      </w:r>
      <w:r w:rsidRPr="006F6126">
        <w:t xml:space="preserve">-0.49]), </w:t>
      </w:r>
      <w:r>
        <w:t xml:space="preserve"> did not result in a</w:t>
      </w:r>
      <w:r w:rsidRPr="006F6126" w:rsidDel="001B0F2D">
        <w:t xml:space="preserve"> </w:t>
      </w:r>
      <w:r w:rsidRPr="006F6126">
        <w:t xml:space="preserve">treatment benefit </w:t>
      </w:r>
      <w:r>
        <w:t>for</w:t>
      </w:r>
      <w:r w:rsidRPr="006F6126">
        <w:t xml:space="preserve"> donanemab over placebo.</w:t>
      </w:r>
    </w:p>
    <w:p w14:paraId="3FE62567" w14:textId="77777777" w:rsidR="0008002E" w:rsidRPr="006F6126" w:rsidRDefault="0008002E" w:rsidP="00DD02B1">
      <w:pPr>
        <w:pStyle w:val="3-BodyText"/>
        <w:numPr>
          <w:ilvl w:val="1"/>
          <w:numId w:val="23"/>
        </w:numPr>
        <w:spacing w:before="60" w:after="60"/>
        <w:ind w:left="709" w:hanging="709"/>
      </w:pPr>
      <w:r>
        <w:t>For cognitive ability, t</w:t>
      </w:r>
      <w:r w:rsidRPr="006F6126">
        <w:t>he percent reduction in decline at Week 76 was statistically significant across most items in the Episodic Memory domain except for Delayed Word Recall (14.7% slowing; p=0.121). The percent reduction associated with donanemab was not statistically significant across all items in the Language (% slowing ranged from 3.5% for Naming Objects and Fingers’ to 20.4% for Spoken Language Ability) and Praxis (4.1% for Constructional Praxis to 10.4% for Ideational Praxis) domains.</w:t>
      </w:r>
    </w:p>
    <w:p w14:paraId="7B35BDDA" w14:textId="27EED9AD" w:rsidR="0008002E" w:rsidRPr="006F6126" w:rsidRDefault="00F41869" w:rsidP="00DD02B1">
      <w:pPr>
        <w:pStyle w:val="3-BodyText"/>
        <w:numPr>
          <w:ilvl w:val="1"/>
          <w:numId w:val="23"/>
        </w:numPr>
        <w:spacing w:before="60" w:after="60"/>
        <w:ind w:left="709" w:hanging="709"/>
      </w:pPr>
      <w:r>
        <w:t>T</w:t>
      </w:r>
      <w:r w:rsidR="0008002E" w:rsidRPr="006F6126">
        <w:t xml:space="preserve">he TB-2 trial </w:t>
      </w:r>
      <w:r>
        <w:t>also assessed</w:t>
      </w:r>
      <w:r w:rsidR="0008002E" w:rsidRPr="006F6126">
        <w:t xml:space="preserve"> the hazard of advancing to the next stage of disease. Progression to the next stage of disease was measured using the CDR-G score, with clinical worsening defined as any per patient increase in CDR-G score from baseline at two consecutive visits.</w:t>
      </w:r>
      <w:r w:rsidR="00B31E8A">
        <w:t xml:space="preserve"> It was noted that CDR-G</w:t>
      </w:r>
      <w:r w:rsidR="00A31E20">
        <w:t xml:space="preserve"> was a tertiary</w:t>
      </w:r>
      <w:r w:rsidR="00813990">
        <w:t>/exploratory</w:t>
      </w:r>
      <w:r w:rsidR="00A31E20">
        <w:t xml:space="preserve"> endpoint of the TB-2 trial</w:t>
      </w:r>
      <w:r w:rsidR="00E14734">
        <w:t>,</w:t>
      </w:r>
      <w:r w:rsidR="004F3921">
        <w:t xml:space="preserve"> and the results were only available as </w:t>
      </w:r>
      <w:r w:rsidR="00CC29DC">
        <w:t>conference presentations</w:t>
      </w:r>
      <w:r w:rsidR="00CC29DC" w:rsidRPr="00CC29DC">
        <w:rPr>
          <w:vertAlign w:val="superscript"/>
        </w:rPr>
        <w:t>35, 36</w:t>
      </w:r>
      <w:r w:rsidR="00CC29DC">
        <w:t>.</w:t>
      </w:r>
    </w:p>
    <w:p w14:paraId="57C14171" w14:textId="5523FA2E" w:rsidR="0008002E" w:rsidRPr="006F6126" w:rsidRDefault="000B11AF" w:rsidP="00DD02B1">
      <w:pPr>
        <w:pStyle w:val="3-BodyText"/>
        <w:numPr>
          <w:ilvl w:val="1"/>
          <w:numId w:val="23"/>
        </w:numPr>
        <w:spacing w:before="60" w:after="60"/>
        <w:ind w:left="709" w:hanging="709"/>
      </w:pPr>
      <w:r>
        <w:lastRenderedPageBreak/>
        <w:fldChar w:fldCharType="begin"/>
      </w:r>
      <w:r>
        <w:instrText xml:space="preserve"> REF _Ref204780596 \h </w:instrText>
      </w:r>
      <w:r>
        <w:fldChar w:fldCharType="separate"/>
      </w:r>
      <w:r w:rsidR="00392423">
        <w:t xml:space="preserve">Figure </w:t>
      </w:r>
      <w:r w:rsidR="00392423">
        <w:rPr>
          <w:noProof/>
        </w:rPr>
        <w:t>8</w:t>
      </w:r>
      <w:r>
        <w:fldChar w:fldCharType="end"/>
      </w:r>
      <w:r w:rsidR="0008002E" w:rsidRPr="006F6126">
        <w:t xml:space="preserve"> describes progression to the next AD stage based on ‘shifts’ (change in score from baseline at two consecutive visits) in the CDR-G score.</w:t>
      </w:r>
    </w:p>
    <w:p w14:paraId="2BF85F99" w14:textId="799E7018" w:rsidR="0008002E" w:rsidRPr="00EE0EEB" w:rsidRDefault="000B11AF" w:rsidP="000B11AF">
      <w:pPr>
        <w:pStyle w:val="Caption"/>
      </w:pPr>
      <w:bookmarkStart w:id="26" w:name="_Ref204780596"/>
      <w:r>
        <w:t xml:space="preserve">Figure </w:t>
      </w:r>
      <w:r>
        <w:fldChar w:fldCharType="begin"/>
      </w:r>
      <w:r>
        <w:instrText xml:space="preserve"> SEQ Figure \* ARABIC </w:instrText>
      </w:r>
      <w:r>
        <w:fldChar w:fldCharType="separate"/>
      </w:r>
      <w:r w:rsidR="00392423">
        <w:rPr>
          <w:noProof/>
        </w:rPr>
        <w:t>8</w:t>
      </w:r>
      <w:r>
        <w:fldChar w:fldCharType="end"/>
      </w:r>
      <w:bookmarkEnd w:id="26"/>
      <w:r w:rsidR="00C62727">
        <w:t xml:space="preserve">: </w:t>
      </w:r>
      <w:r w:rsidR="0008002E" w:rsidRPr="00EE0EEB">
        <w:t>Stages of AD by CDR-G score.</w:t>
      </w:r>
    </w:p>
    <w:p w14:paraId="7278385C" w14:textId="77777777" w:rsidR="0008002E" w:rsidRPr="00EE0EEB" w:rsidRDefault="0008002E" w:rsidP="0008002E">
      <w:r w:rsidRPr="00EE0EEB">
        <w:rPr>
          <w:noProof/>
        </w:rPr>
        <w:drawing>
          <wp:inline distT="0" distB="0" distL="0" distR="0" wp14:anchorId="553B112F" wp14:editId="57C479F8">
            <wp:extent cx="5225415" cy="1981200"/>
            <wp:effectExtent l="0" t="0" r="0" b="0"/>
            <wp:docPr id="1081536509" name="Picture 1081536509" descr="Figure 8: Stages of AD by CDR-G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36509" name="Picture 1081536509" descr="Figure 8: Stages of AD by CDR-G score."/>
                    <pic:cNvPicPr/>
                  </pic:nvPicPr>
                  <pic:blipFill rotWithShape="1">
                    <a:blip r:embed="rId20"/>
                    <a:srcRect t="-1" b="20777"/>
                    <a:stretch/>
                  </pic:blipFill>
                  <pic:spPr bwMode="auto">
                    <a:xfrm>
                      <a:off x="0" y="0"/>
                      <a:ext cx="5265051" cy="1996228"/>
                    </a:xfrm>
                    <a:prstGeom prst="rect">
                      <a:avLst/>
                    </a:prstGeom>
                    <a:ln>
                      <a:noFill/>
                    </a:ln>
                    <a:extLst>
                      <a:ext uri="{53640926-AAD7-44D8-BBD7-CCE9431645EC}">
                        <a14:shadowObscured xmlns:a14="http://schemas.microsoft.com/office/drawing/2010/main"/>
                      </a:ext>
                    </a:extLst>
                  </pic:spPr>
                </pic:pic>
              </a:graphicData>
            </a:graphic>
          </wp:inline>
        </w:drawing>
      </w:r>
    </w:p>
    <w:p w14:paraId="09172214" w14:textId="77777777" w:rsidR="0008002E" w:rsidRPr="00EE0EEB" w:rsidRDefault="0008002E" w:rsidP="0008002E">
      <w:pPr>
        <w:pStyle w:val="TableFooter"/>
      </w:pPr>
      <w:r w:rsidRPr="00EE0EEB">
        <w:rPr>
          <w:rStyle w:val="TableFooterChar"/>
        </w:rPr>
        <w:t>Source: p1</w:t>
      </w:r>
      <w:r w:rsidRPr="00EE0EEB">
        <w:rPr>
          <w:rStyle w:val="TableFooterChar"/>
          <w:rFonts w:eastAsiaTheme="minorHAnsi"/>
        </w:rPr>
        <w:t>0</w:t>
      </w:r>
      <w:r w:rsidRPr="00EE0EEB">
        <w:rPr>
          <w:rStyle w:val="TableFooterChar"/>
        </w:rPr>
        <w:t>, Zimmer et al (2024)</w:t>
      </w:r>
    </w:p>
    <w:p w14:paraId="57830818" w14:textId="430822BB" w:rsidR="0008002E" w:rsidRPr="00EE0EEB" w:rsidRDefault="0008002E" w:rsidP="0008002E">
      <w:pPr>
        <w:pStyle w:val="TableFooter"/>
      </w:pPr>
      <w:r w:rsidRPr="00EE0EEB">
        <w:t>AD=Alzheimer</w:t>
      </w:r>
      <w:r w:rsidR="00F4444C">
        <w:t>’s</w:t>
      </w:r>
      <w:r w:rsidRPr="00EE0EEB">
        <w:t xml:space="preserve"> Disease; CDR-G=Clinical Dementia Rating Scale-Global score.</w:t>
      </w:r>
    </w:p>
    <w:p w14:paraId="58DA6EB6" w14:textId="369DE7AF" w:rsidR="0008002E" w:rsidRPr="006F6126" w:rsidRDefault="008D38DA" w:rsidP="00DD02B1">
      <w:pPr>
        <w:pStyle w:val="3-BodyText"/>
        <w:numPr>
          <w:ilvl w:val="1"/>
          <w:numId w:val="23"/>
        </w:numPr>
        <w:spacing w:before="60" w:after="60"/>
        <w:ind w:left="709" w:hanging="709"/>
      </w:pPr>
      <w:r>
        <w:fldChar w:fldCharType="begin"/>
      </w:r>
      <w:r>
        <w:instrText xml:space="preserve"> REF _Ref204779957 \h </w:instrText>
      </w:r>
      <w:r>
        <w:fldChar w:fldCharType="separate"/>
      </w:r>
      <w:r w:rsidR="00392423">
        <w:t xml:space="preserve">Table </w:t>
      </w:r>
      <w:r w:rsidR="00392423">
        <w:rPr>
          <w:noProof/>
        </w:rPr>
        <w:t>10</w:t>
      </w:r>
      <w:r>
        <w:fldChar w:fldCharType="end"/>
      </w:r>
      <w:r w:rsidR="0008002E" w:rsidRPr="006F6126">
        <w:t xml:space="preserve"> presents the percentage of patients advancing to the next stage of disease by CDR-G shift from baseline. These data were sourced from Zimmer et al (2024)</w:t>
      </w:r>
      <w:r w:rsidR="0008002E" w:rsidRPr="006F6126">
        <w:rPr>
          <w:rStyle w:val="FootnoteReference"/>
        </w:rPr>
        <w:footnoteReference w:id="37"/>
      </w:r>
      <w:r w:rsidR="0008002E">
        <w:t>;</w:t>
      </w:r>
      <w:r w:rsidR="0008002E" w:rsidRPr="006F6126">
        <w:t xml:space="preserve"> </w:t>
      </w:r>
      <w:r w:rsidR="0008002E">
        <w:t>however, t</w:t>
      </w:r>
      <w:r w:rsidR="0008002E" w:rsidRPr="006F6126">
        <w:t>ime delay in progression to next clinical stage could not be identified in Zimmer et al (2024).</w:t>
      </w:r>
    </w:p>
    <w:p w14:paraId="4ED62ED5" w14:textId="59E4C06A" w:rsidR="0008002E" w:rsidRPr="006F6126" w:rsidRDefault="008D38DA" w:rsidP="008D38DA">
      <w:pPr>
        <w:pStyle w:val="Caption"/>
      </w:pPr>
      <w:bookmarkStart w:id="27" w:name="_Ref204779957"/>
      <w:r>
        <w:t xml:space="preserve">Table </w:t>
      </w:r>
      <w:r>
        <w:fldChar w:fldCharType="begin"/>
      </w:r>
      <w:r>
        <w:instrText xml:space="preserve"> SEQ Table \* ARABIC </w:instrText>
      </w:r>
      <w:r>
        <w:fldChar w:fldCharType="separate"/>
      </w:r>
      <w:r w:rsidR="00392423">
        <w:rPr>
          <w:noProof/>
        </w:rPr>
        <w:t>10</w:t>
      </w:r>
      <w:r>
        <w:fldChar w:fldCharType="end"/>
      </w:r>
      <w:bookmarkEnd w:id="27"/>
      <w:r w:rsidR="000A0F04">
        <w:t xml:space="preserve">: </w:t>
      </w:r>
      <w:r w:rsidR="0008002E" w:rsidRPr="006F6126">
        <w:t>TB-2: Patients progressing to the next clinical stage of AD</w:t>
      </w:r>
    </w:p>
    <w:tbl>
      <w:tblPr>
        <w:tblStyle w:val="HTATableshaded"/>
        <w:tblW w:w="5000" w:type="pct"/>
        <w:tblLook w:val="04A0" w:firstRow="1" w:lastRow="0" w:firstColumn="1" w:lastColumn="0" w:noHBand="0" w:noVBand="1"/>
        <w:tblCaption w:val="Table 10: TB-2: Patients progressing to the next clinical stage of AD"/>
      </w:tblPr>
      <w:tblGrid>
        <w:gridCol w:w="2456"/>
        <w:gridCol w:w="2490"/>
        <w:gridCol w:w="2213"/>
        <w:gridCol w:w="1857"/>
      </w:tblGrid>
      <w:tr w:rsidR="0008002E" w:rsidRPr="006F6126" w14:paraId="17D2F9D6" w14:textId="77777777" w:rsidTr="00E81465">
        <w:trPr>
          <w:cnfStyle w:val="100000000000" w:firstRow="1" w:lastRow="0" w:firstColumn="0" w:lastColumn="0" w:oddVBand="0" w:evenVBand="0" w:oddHBand="0" w:evenHBand="0" w:firstRowFirstColumn="0" w:firstRowLastColumn="0" w:lastRowFirstColumn="0" w:lastRowLastColumn="0"/>
          <w:cantSplit/>
        </w:trPr>
        <w:tc>
          <w:tcPr>
            <w:tcW w:w="1362" w:type="pct"/>
            <w:vMerge w:val="restart"/>
          </w:tcPr>
          <w:p w14:paraId="09CF7EBE" w14:textId="77777777" w:rsidR="0008002E" w:rsidRPr="006F6126" w:rsidRDefault="0008002E" w:rsidP="00E81465">
            <w:pPr>
              <w:pStyle w:val="TableText"/>
              <w:keepNext/>
              <w:rPr>
                <w:b/>
                <w:bCs/>
              </w:rPr>
            </w:pPr>
            <w:r w:rsidRPr="006F6126">
              <w:rPr>
                <w:b/>
              </w:rPr>
              <w:t>CDR-G shift</w:t>
            </w:r>
            <w:r w:rsidRPr="006F6126">
              <w:rPr>
                <w:b/>
                <w:vertAlign w:val="superscript"/>
              </w:rPr>
              <w:t>a</w:t>
            </w:r>
            <w:r w:rsidRPr="006F6126">
              <w:rPr>
                <w:b/>
              </w:rPr>
              <w:t xml:space="preserve"> from baseline</w:t>
            </w:r>
          </w:p>
        </w:tc>
        <w:tc>
          <w:tcPr>
            <w:tcW w:w="1381" w:type="pct"/>
          </w:tcPr>
          <w:p w14:paraId="783DFEEF" w14:textId="77777777" w:rsidR="0008002E" w:rsidRPr="006F6126" w:rsidRDefault="0008002E" w:rsidP="00E81465">
            <w:pPr>
              <w:pStyle w:val="TableText"/>
              <w:keepNext/>
              <w:rPr>
                <w:b/>
                <w:bCs/>
              </w:rPr>
            </w:pPr>
            <w:r w:rsidRPr="006F6126">
              <w:rPr>
                <w:b/>
              </w:rPr>
              <w:t>Donanemab</w:t>
            </w:r>
          </w:p>
        </w:tc>
        <w:tc>
          <w:tcPr>
            <w:tcW w:w="1227" w:type="pct"/>
          </w:tcPr>
          <w:p w14:paraId="7D6A14B3" w14:textId="77777777" w:rsidR="0008002E" w:rsidRPr="006F6126" w:rsidRDefault="0008002E" w:rsidP="00E81465">
            <w:pPr>
              <w:pStyle w:val="TableText"/>
              <w:keepNext/>
              <w:rPr>
                <w:b/>
                <w:bCs/>
              </w:rPr>
            </w:pPr>
            <w:r w:rsidRPr="006F6126">
              <w:rPr>
                <w:b/>
              </w:rPr>
              <w:t>Placebo</w:t>
            </w:r>
          </w:p>
        </w:tc>
        <w:tc>
          <w:tcPr>
            <w:tcW w:w="1030" w:type="pct"/>
            <w:vMerge w:val="restart"/>
          </w:tcPr>
          <w:p w14:paraId="69A91D39" w14:textId="77777777" w:rsidR="0008002E" w:rsidRPr="006F6126" w:rsidRDefault="0008002E" w:rsidP="00E81465">
            <w:pPr>
              <w:pStyle w:val="TableText"/>
              <w:keepNext/>
              <w:rPr>
                <w:vertAlign w:val="superscript"/>
              </w:rPr>
            </w:pPr>
            <w:r w:rsidRPr="006F6126">
              <w:t>Donanemab versus placebo difference (%) (nominal p-value)</w:t>
            </w:r>
          </w:p>
        </w:tc>
      </w:tr>
      <w:tr w:rsidR="0008002E" w:rsidRPr="006F6126" w14:paraId="34BF8C45" w14:textId="77777777" w:rsidTr="00E81465">
        <w:trPr>
          <w:cantSplit/>
        </w:trPr>
        <w:tc>
          <w:tcPr>
            <w:tcW w:w="1362" w:type="pct"/>
            <w:vMerge/>
          </w:tcPr>
          <w:p w14:paraId="13C75053" w14:textId="77777777" w:rsidR="0008002E" w:rsidRPr="006F6126" w:rsidRDefault="0008002E" w:rsidP="00E81465">
            <w:pPr>
              <w:pStyle w:val="TableText"/>
              <w:keepNext/>
              <w:rPr>
                <w:vertAlign w:val="superscript"/>
              </w:rPr>
            </w:pPr>
          </w:p>
        </w:tc>
        <w:tc>
          <w:tcPr>
            <w:tcW w:w="1381" w:type="pct"/>
          </w:tcPr>
          <w:p w14:paraId="606141DD" w14:textId="77777777" w:rsidR="0008002E" w:rsidRPr="006F6126" w:rsidRDefault="0008002E" w:rsidP="00E81465">
            <w:pPr>
              <w:pStyle w:val="TableText"/>
              <w:keepNext/>
            </w:pPr>
            <w:r w:rsidRPr="006F6126">
              <w:t>Patients progressing to the next clinical stage, n/N (%)</w:t>
            </w:r>
          </w:p>
        </w:tc>
        <w:tc>
          <w:tcPr>
            <w:tcW w:w="1227" w:type="pct"/>
          </w:tcPr>
          <w:p w14:paraId="0E28A097" w14:textId="77777777" w:rsidR="0008002E" w:rsidRPr="006F6126" w:rsidRDefault="0008002E" w:rsidP="00E81465">
            <w:pPr>
              <w:pStyle w:val="TableText"/>
              <w:keepNext/>
            </w:pPr>
            <w:r w:rsidRPr="006F6126">
              <w:t>Patients progressing to the next clinical stage, n/N (%)</w:t>
            </w:r>
          </w:p>
        </w:tc>
        <w:tc>
          <w:tcPr>
            <w:tcW w:w="1030" w:type="pct"/>
            <w:vMerge/>
          </w:tcPr>
          <w:p w14:paraId="47A58A83" w14:textId="77777777" w:rsidR="0008002E" w:rsidRPr="006F6126" w:rsidRDefault="0008002E" w:rsidP="00E81465">
            <w:pPr>
              <w:pStyle w:val="TableText"/>
              <w:keepNext/>
            </w:pPr>
          </w:p>
        </w:tc>
      </w:tr>
      <w:tr w:rsidR="0008002E" w:rsidRPr="006F6126" w14:paraId="7F375A09" w14:textId="77777777" w:rsidTr="00E81465">
        <w:trPr>
          <w:cantSplit/>
        </w:trPr>
        <w:tc>
          <w:tcPr>
            <w:tcW w:w="1362" w:type="pct"/>
          </w:tcPr>
          <w:p w14:paraId="33751440" w14:textId="77777777" w:rsidR="0008002E" w:rsidRPr="006F6126" w:rsidRDefault="0008002E" w:rsidP="00E81465">
            <w:pPr>
              <w:pStyle w:val="TableText"/>
              <w:keepNext/>
            </w:pPr>
            <w:r w:rsidRPr="006F6126">
              <w:t>From 0 to 0.5</w:t>
            </w:r>
          </w:p>
          <w:p w14:paraId="2D96A548" w14:textId="77777777" w:rsidR="0008002E" w:rsidRPr="006F6126" w:rsidRDefault="0008002E" w:rsidP="00E81465">
            <w:pPr>
              <w:pStyle w:val="TableText"/>
              <w:keepNext/>
            </w:pPr>
            <w:r w:rsidRPr="006F6126">
              <w:t>(preclinical AD to MCI)</w:t>
            </w:r>
          </w:p>
        </w:tc>
        <w:tc>
          <w:tcPr>
            <w:tcW w:w="1381" w:type="pct"/>
          </w:tcPr>
          <w:p w14:paraId="074F8052" w14:textId="77777777" w:rsidR="0008002E" w:rsidRPr="006F6126" w:rsidRDefault="0008002E" w:rsidP="00E81465">
            <w:pPr>
              <w:pStyle w:val="TableText"/>
              <w:keepNext/>
            </w:pPr>
            <w:r w:rsidRPr="006F6126">
              <w:t>1/2 (50.0)</w:t>
            </w:r>
          </w:p>
        </w:tc>
        <w:tc>
          <w:tcPr>
            <w:tcW w:w="1227" w:type="pct"/>
          </w:tcPr>
          <w:p w14:paraId="0FFA7001" w14:textId="77777777" w:rsidR="0008002E" w:rsidRPr="006F6126" w:rsidRDefault="0008002E" w:rsidP="00E81465">
            <w:pPr>
              <w:pStyle w:val="TableText"/>
              <w:keepNext/>
            </w:pPr>
            <w:r w:rsidRPr="006F6126">
              <w:t>3/4 (75.0)</w:t>
            </w:r>
          </w:p>
        </w:tc>
        <w:tc>
          <w:tcPr>
            <w:tcW w:w="1030" w:type="pct"/>
          </w:tcPr>
          <w:p w14:paraId="15A7A245" w14:textId="77777777" w:rsidR="0008002E" w:rsidRPr="006F6126" w:rsidRDefault="0008002E" w:rsidP="00E81465">
            <w:pPr>
              <w:pStyle w:val="TableText"/>
              <w:keepNext/>
            </w:pPr>
            <w:r w:rsidRPr="006F6126">
              <w:t>-25%</w:t>
            </w:r>
          </w:p>
          <w:p w14:paraId="5B08E49E" w14:textId="77777777" w:rsidR="0008002E" w:rsidRPr="006F6126" w:rsidRDefault="0008002E" w:rsidP="00E81465">
            <w:pPr>
              <w:pStyle w:val="TableText"/>
              <w:keepNext/>
            </w:pPr>
            <w:r w:rsidRPr="006F6126">
              <w:t>p=1.0</w:t>
            </w:r>
          </w:p>
        </w:tc>
      </w:tr>
      <w:tr w:rsidR="0008002E" w:rsidRPr="006F6126" w14:paraId="16D61D9F" w14:textId="77777777" w:rsidTr="00E81465">
        <w:trPr>
          <w:cantSplit/>
        </w:trPr>
        <w:tc>
          <w:tcPr>
            <w:tcW w:w="1362" w:type="pct"/>
          </w:tcPr>
          <w:p w14:paraId="098606E8" w14:textId="77777777" w:rsidR="0008002E" w:rsidRPr="006F6126" w:rsidRDefault="0008002E" w:rsidP="00E81465">
            <w:pPr>
              <w:pStyle w:val="TableText"/>
              <w:keepNext/>
            </w:pPr>
            <w:r w:rsidRPr="006F6126">
              <w:t>From 0.5 to 1</w:t>
            </w:r>
          </w:p>
          <w:p w14:paraId="75C39AAA" w14:textId="77777777" w:rsidR="0008002E" w:rsidRPr="006F6126" w:rsidRDefault="0008002E" w:rsidP="00E81465">
            <w:pPr>
              <w:pStyle w:val="TableText"/>
              <w:keepNext/>
            </w:pPr>
            <w:r w:rsidRPr="006F6126">
              <w:t>(MCI to Mild AD Dementia)</w:t>
            </w:r>
          </w:p>
        </w:tc>
        <w:tc>
          <w:tcPr>
            <w:tcW w:w="1381" w:type="pct"/>
          </w:tcPr>
          <w:p w14:paraId="6C116849" w14:textId="77777777" w:rsidR="0008002E" w:rsidRPr="006F6126" w:rsidRDefault="0008002E" w:rsidP="00E81465">
            <w:pPr>
              <w:pStyle w:val="TableText"/>
              <w:keepNext/>
            </w:pPr>
            <w:r w:rsidRPr="006F6126">
              <w:t>134/502 (26.7)</w:t>
            </w:r>
          </w:p>
        </w:tc>
        <w:tc>
          <w:tcPr>
            <w:tcW w:w="1227" w:type="pct"/>
          </w:tcPr>
          <w:p w14:paraId="72DAB486" w14:textId="77777777" w:rsidR="0008002E" w:rsidRPr="006F6126" w:rsidRDefault="0008002E" w:rsidP="00E81465">
            <w:pPr>
              <w:pStyle w:val="TableText"/>
              <w:keepNext/>
            </w:pPr>
            <w:r w:rsidRPr="006F6126">
              <w:t>202/521 (38.8)</w:t>
            </w:r>
          </w:p>
        </w:tc>
        <w:tc>
          <w:tcPr>
            <w:tcW w:w="1030" w:type="pct"/>
          </w:tcPr>
          <w:p w14:paraId="4B4C6A32" w14:textId="77777777" w:rsidR="0008002E" w:rsidRPr="006F6126" w:rsidRDefault="0008002E" w:rsidP="00E81465">
            <w:pPr>
              <w:pStyle w:val="TableText"/>
              <w:keepNext/>
            </w:pPr>
            <w:r w:rsidRPr="006F6126">
              <w:t>-12.1%</w:t>
            </w:r>
          </w:p>
          <w:p w14:paraId="4D92E132" w14:textId="77777777" w:rsidR="0008002E" w:rsidRPr="006F6126" w:rsidRDefault="0008002E" w:rsidP="00E81465">
            <w:pPr>
              <w:pStyle w:val="TableText"/>
              <w:keepNext/>
            </w:pPr>
            <w:r w:rsidRPr="006F6126">
              <w:t>p&lt;0.0001</w:t>
            </w:r>
          </w:p>
        </w:tc>
      </w:tr>
      <w:tr w:rsidR="0008002E" w:rsidRPr="006F6126" w14:paraId="2B85E3A5" w14:textId="77777777" w:rsidTr="00E81465">
        <w:trPr>
          <w:cantSplit/>
        </w:trPr>
        <w:tc>
          <w:tcPr>
            <w:tcW w:w="1362" w:type="pct"/>
          </w:tcPr>
          <w:p w14:paraId="2F3B2A2A" w14:textId="77777777" w:rsidR="0008002E" w:rsidRPr="006F6126" w:rsidRDefault="0008002E" w:rsidP="00E81465">
            <w:pPr>
              <w:pStyle w:val="TableText"/>
              <w:keepNext/>
            </w:pPr>
            <w:r w:rsidRPr="006F6126">
              <w:t>From 1 to 2</w:t>
            </w:r>
          </w:p>
          <w:p w14:paraId="0BCD5917" w14:textId="77777777" w:rsidR="0008002E" w:rsidRPr="006F6126" w:rsidRDefault="0008002E" w:rsidP="00E81465">
            <w:pPr>
              <w:pStyle w:val="TableText"/>
              <w:keepNext/>
            </w:pPr>
            <w:r w:rsidRPr="006F6126">
              <w:t>(Mild AD Dementia to Moderate AD Dementia)</w:t>
            </w:r>
          </w:p>
        </w:tc>
        <w:tc>
          <w:tcPr>
            <w:tcW w:w="1381" w:type="pct"/>
          </w:tcPr>
          <w:p w14:paraId="5FDF73F0" w14:textId="77777777" w:rsidR="0008002E" w:rsidRPr="006F6126" w:rsidRDefault="0008002E" w:rsidP="00E81465">
            <w:pPr>
              <w:pStyle w:val="TableText"/>
              <w:keepNext/>
            </w:pPr>
            <w:r w:rsidRPr="006F6126">
              <w:t>51/292 (17.5)</w:t>
            </w:r>
          </w:p>
        </w:tc>
        <w:tc>
          <w:tcPr>
            <w:tcW w:w="1227" w:type="pct"/>
          </w:tcPr>
          <w:p w14:paraId="1A6F9AF4" w14:textId="77777777" w:rsidR="0008002E" w:rsidRPr="006F6126" w:rsidRDefault="0008002E" w:rsidP="00E81465">
            <w:pPr>
              <w:pStyle w:val="TableText"/>
              <w:keepNext/>
            </w:pPr>
            <w:r w:rsidRPr="006F6126">
              <w:t>82/302 (27.2)</w:t>
            </w:r>
          </w:p>
        </w:tc>
        <w:tc>
          <w:tcPr>
            <w:tcW w:w="1030" w:type="pct"/>
          </w:tcPr>
          <w:p w14:paraId="4698312C" w14:textId="77777777" w:rsidR="0008002E" w:rsidRPr="006F6126" w:rsidRDefault="0008002E" w:rsidP="00E81465">
            <w:pPr>
              <w:pStyle w:val="TableText"/>
              <w:keepNext/>
            </w:pPr>
            <w:r w:rsidRPr="006F6126">
              <w:t>-9.7%</w:t>
            </w:r>
          </w:p>
          <w:p w14:paraId="57A3371B" w14:textId="77777777" w:rsidR="0008002E" w:rsidRPr="006F6126" w:rsidRDefault="0008002E" w:rsidP="00E81465">
            <w:pPr>
              <w:pStyle w:val="TableText"/>
              <w:keepNext/>
            </w:pPr>
            <w:r w:rsidRPr="006F6126">
              <w:t>p=0.0057</w:t>
            </w:r>
          </w:p>
        </w:tc>
      </w:tr>
      <w:tr w:rsidR="0008002E" w:rsidRPr="006F6126" w14:paraId="6BE8DEA2" w14:textId="77777777" w:rsidTr="00E81465">
        <w:trPr>
          <w:cantSplit/>
        </w:trPr>
        <w:tc>
          <w:tcPr>
            <w:tcW w:w="1362" w:type="pct"/>
          </w:tcPr>
          <w:p w14:paraId="4A7B0CCE" w14:textId="77777777" w:rsidR="0008002E" w:rsidRPr="006F6126" w:rsidRDefault="0008002E" w:rsidP="00E81465">
            <w:pPr>
              <w:pStyle w:val="TableText"/>
              <w:keepNext/>
            </w:pPr>
            <w:r w:rsidRPr="006F6126">
              <w:t>From 2 to 3</w:t>
            </w:r>
          </w:p>
          <w:p w14:paraId="6DA708D5" w14:textId="77777777" w:rsidR="0008002E" w:rsidRPr="006F6126" w:rsidRDefault="0008002E" w:rsidP="00E81465">
            <w:pPr>
              <w:pStyle w:val="TableText"/>
              <w:keepNext/>
            </w:pPr>
            <w:r w:rsidRPr="006F6126">
              <w:t>(Moderate AD Dementia to Severe AD Dementia</w:t>
            </w:r>
          </w:p>
        </w:tc>
        <w:tc>
          <w:tcPr>
            <w:tcW w:w="1381" w:type="pct"/>
          </w:tcPr>
          <w:p w14:paraId="3C0AD6F4" w14:textId="77777777" w:rsidR="0008002E" w:rsidRPr="006F6126" w:rsidRDefault="0008002E" w:rsidP="00E81465">
            <w:pPr>
              <w:pStyle w:val="TableText"/>
              <w:keepNext/>
            </w:pPr>
            <w:r w:rsidRPr="006F6126">
              <w:t>0/23</w:t>
            </w:r>
          </w:p>
        </w:tc>
        <w:tc>
          <w:tcPr>
            <w:tcW w:w="1227" w:type="pct"/>
          </w:tcPr>
          <w:p w14:paraId="06E526FC" w14:textId="77777777" w:rsidR="0008002E" w:rsidRPr="006F6126" w:rsidRDefault="0008002E" w:rsidP="00E81465">
            <w:pPr>
              <w:pStyle w:val="TableText"/>
              <w:keepNext/>
            </w:pPr>
            <w:r w:rsidRPr="006F6126">
              <w:t>1/24 (4)</w:t>
            </w:r>
          </w:p>
        </w:tc>
        <w:tc>
          <w:tcPr>
            <w:tcW w:w="1030" w:type="pct"/>
          </w:tcPr>
          <w:p w14:paraId="20154AF2" w14:textId="77777777" w:rsidR="0008002E" w:rsidRPr="006F6126" w:rsidRDefault="0008002E" w:rsidP="00E81465">
            <w:pPr>
              <w:pStyle w:val="TableText"/>
              <w:keepNext/>
            </w:pPr>
            <w:r w:rsidRPr="006F6126">
              <w:t>p=1.0</w:t>
            </w:r>
          </w:p>
        </w:tc>
      </w:tr>
    </w:tbl>
    <w:p w14:paraId="5FB1D9F2" w14:textId="77777777" w:rsidR="0008002E" w:rsidRPr="00EE0EEB" w:rsidRDefault="0008002E" w:rsidP="0008002E">
      <w:pPr>
        <w:pStyle w:val="TableFooter"/>
      </w:pPr>
      <w:r w:rsidRPr="00EE0EEB">
        <w:t>Source</w:t>
      </w:r>
      <w:r w:rsidRPr="00734BFC">
        <w:t xml:space="preserve">: </w:t>
      </w:r>
      <w:r w:rsidRPr="00734BFC">
        <w:rPr>
          <w:rStyle w:val="TableFooterChar"/>
        </w:rPr>
        <w:t>Zimmer et al (2024)</w:t>
      </w:r>
      <w:r w:rsidRPr="00734BFC">
        <w:rPr>
          <w:rStyle w:val="FootnoteReference"/>
          <w:snapToGrid/>
        </w:rPr>
        <w:footnoteReference w:id="38"/>
      </w:r>
    </w:p>
    <w:p w14:paraId="450304BC" w14:textId="0061AA43" w:rsidR="0008002E" w:rsidRPr="006F6126" w:rsidRDefault="0008002E" w:rsidP="0008002E">
      <w:pPr>
        <w:pStyle w:val="TableFooter"/>
      </w:pPr>
      <w:r w:rsidRPr="006F6126">
        <w:t>AD=Alzheimer</w:t>
      </w:r>
      <w:r w:rsidR="00F4444C">
        <w:t>’s</w:t>
      </w:r>
      <w:r w:rsidRPr="006F6126">
        <w:t xml:space="preserve"> disease; CDR-G=Clinical Dementia Rating-Global score; MCI-Mild Cognitive Impairment.</w:t>
      </w:r>
    </w:p>
    <w:p w14:paraId="1FD988C0" w14:textId="77777777" w:rsidR="0008002E" w:rsidRPr="006F6126" w:rsidRDefault="0008002E" w:rsidP="0008002E">
      <w:pPr>
        <w:pStyle w:val="TableFooter"/>
      </w:pPr>
      <w:r w:rsidRPr="006F6126">
        <w:rPr>
          <w:vertAlign w:val="superscript"/>
        </w:rPr>
        <w:t>a</w:t>
      </w:r>
      <w:r>
        <w:rPr>
          <w:vertAlign w:val="superscript"/>
        </w:rPr>
        <w:t xml:space="preserve"> </w:t>
      </w:r>
      <w:r w:rsidRPr="006F6126">
        <w:t>Shift represents change in CDR-G from baseline at two consecutive visits. Dropouts not accounted for in the analysis.</w:t>
      </w:r>
    </w:p>
    <w:p w14:paraId="775FE92A" w14:textId="77777777" w:rsidR="0008002E" w:rsidRPr="006F6126" w:rsidRDefault="0008002E" w:rsidP="0008002E">
      <w:pPr>
        <w:pStyle w:val="TableFooter"/>
      </w:pPr>
      <w:r w:rsidRPr="006F6126">
        <w:t>Italicised differences calculated during the evaluation. and no formal statistical analysis was conducted. p-values were sourced from Zimmer et al (2024)</w:t>
      </w:r>
    </w:p>
    <w:p w14:paraId="3580F209" w14:textId="28BC1DB4" w:rsidR="0008002E" w:rsidRPr="006F6126" w:rsidRDefault="0008002E" w:rsidP="00DD02B1">
      <w:pPr>
        <w:pStyle w:val="3-BodyText"/>
        <w:numPr>
          <w:ilvl w:val="1"/>
          <w:numId w:val="23"/>
        </w:numPr>
        <w:spacing w:before="60" w:after="60"/>
        <w:ind w:left="709" w:hanging="709"/>
      </w:pPr>
      <w:r w:rsidRPr="006F6126">
        <w:t xml:space="preserve">Results for shifts in CDR-G from a baseline score of 0 to 0.5 (preclinical to MCI) and from 2 to 3 (moderate AD to severe AD) at 76 weeks were imprecise due to small patient numbers. At 76 weeks, the difference between the donanemab and placebo </w:t>
      </w:r>
      <w:r w:rsidRPr="006F6126">
        <w:lastRenderedPageBreak/>
        <w:t>arms in the percentage of patients progressing from MCI to mild AD was -12.1%, and from mild AD to moderate AD dementia was -9.7%.</w:t>
      </w:r>
    </w:p>
    <w:p w14:paraId="2ED20DD3" w14:textId="76E9E0F2" w:rsidR="0008002E" w:rsidRPr="006F6126" w:rsidRDefault="000B11AF" w:rsidP="00DD02B1">
      <w:pPr>
        <w:pStyle w:val="3-BodyText"/>
        <w:numPr>
          <w:ilvl w:val="1"/>
          <w:numId w:val="23"/>
        </w:numPr>
        <w:spacing w:before="60" w:after="60"/>
        <w:ind w:left="709" w:hanging="709"/>
      </w:pPr>
      <w:r>
        <w:fldChar w:fldCharType="begin"/>
      </w:r>
      <w:r>
        <w:instrText xml:space="preserve"> REF _Ref204780612 \h </w:instrText>
      </w:r>
      <w:r>
        <w:fldChar w:fldCharType="separate"/>
      </w:r>
      <w:r w:rsidR="00392423">
        <w:t xml:space="preserve">Figure </w:t>
      </w:r>
      <w:r w:rsidR="00392423">
        <w:rPr>
          <w:noProof/>
        </w:rPr>
        <w:t>9</w:t>
      </w:r>
      <w:r>
        <w:fldChar w:fldCharType="end"/>
      </w:r>
      <w:r w:rsidR="0008002E" w:rsidRPr="006F6126">
        <w:t xml:space="preserve"> summarises the hazard of progression to any later disease stage as measured by CDR-G in the overall population.</w:t>
      </w:r>
    </w:p>
    <w:p w14:paraId="4B69273A" w14:textId="6142FCC5" w:rsidR="0008002E" w:rsidRPr="00EE0EEB" w:rsidRDefault="000B11AF" w:rsidP="000B11AF">
      <w:pPr>
        <w:pStyle w:val="Caption"/>
      </w:pPr>
      <w:bookmarkStart w:id="28" w:name="_Ref204780612"/>
      <w:r>
        <w:t xml:space="preserve">Figure </w:t>
      </w:r>
      <w:r>
        <w:fldChar w:fldCharType="begin"/>
      </w:r>
      <w:r>
        <w:instrText xml:space="preserve"> SEQ Figure \* ARABIC </w:instrText>
      </w:r>
      <w:r>
        <w:fldChar w:fldCharType="separate"/>
      </w:r>
      <w:r w:rsidR="00392423">
        <w:rPr>
          <w:noProof/>
        </w:rPr>
        <w:t>9</w:t>
      </w:r>
      <w:r>
        <w:fldChar w:fldCharType="end"/>
      </w:r>
      <w:bookmarkEnd w:id="28"/>
      <w:r w:rsidR="00C62727">
        <w:t xml:space="preserve">: </w:t>
      </w:r>
      <w:r w:rsidR="0008002E" w:rsidRPr="00EE0EEB">
        <w:t>TB-2: Hazard of progression to a later clinical stage as measured by CDR-G in the overall population (Cox proportional hazards model)</w:t>
      </w:r>
    </w:p>
    <w:p w14:paraId="1C12B22A" w14:textId="77777777" w:rsidR="0008002E" w:rsidRPr="00EE0EEB" w:rsidRDefault="0008002E" w:rsidP="0008002E">
      <w:r w:rsidRPr="00EE0EEB">
        <w:rPr>
          <w:noProof/>
        </w:rPr>
        <w:drawing>
          <wp:inline distT="0" distB="0" distL="0" distR="0" wp14:anchorId="1A0CBCBF" wp14:editId="1DB3BA03">
            <wp:extent cx="4991100" cy="2385695"/>
            <wp:effectExtent l="0" t="0" r="0" b="0"/>
            <wp:docPr id="1236016272" name="Picture 1236016272" descr="Figure 9: TB-2: Hazard of progression to a later clinical stage as measured by CDR-G in the overall population (Cox proportional hazard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16272" name="Picture 1236016272" descr="Figure 9: TB-2: Hazard of progression to a later clinical stage as measured by CDR-G in the overall population (Cox proportional hazards model)"/>
                    <pic:cNvPicPr/>
                  </pic:nvPicPr>
                  <pic:blipFill rotWithShape="1">
                    <a:blip r:embed="rId21"/>
                    <a:srcRect r="1209"/>
                    <a:stretch/>
                  </pic:blipFill>
                  <pic:spPr bwMode="auto">
                    <a:xfrm>
                      <a:off x="0" y="0"/>
                      <a:ext cx="5041087" cy="2409588"/>
                    </a:xfrm>
                    <a:prstGeom prst="rect">
                      <a:avLst/>
                    </a:prstGeom>
                    <a:ln>
                      <a:noFill/>
                    </a:ln>
                    <a:extLst>
                      <a:ext uri="{53640926-AAD7-44D8-BBD7-CCE9431645EC}">
                        <a14:shadowObscured xmlns:a14="http://schemas.microsoft.com/office/drawing/2010/main"/>
                      </a:ext>
                    </a:extLst>
                  </pic:spPr>
                </pic:pic>
              </a:graphicData>
            </a:graphic>
          </wp:inline>
        </w:drawing>
      </w:r>
    </w:p>
    <w:p w14:paraId="1449C3C9" w14:textId="77777777" w:rsidR="0008002E" w:rsidRPr="00EE0EEB" w:rsidRDefault="0008002E" w:rsidP="0008002E">
      <w:pPr>
        <w:pStyle w:val="TableFooter"/>
      </w:pPr>
      <w:r w:rsidRPr="00EE0EEB">
        <w:t>Source: Figure 2-28, p200 of the submission.</w:t>
      </w:r>
    </w:p>
    <w:p w14:paraId="6CE8B748" w14:textId="77777777" w:rsidR="0008002E" w:rsidRPr="00EE0EEB" w:rsidRDefault="0008002E" w:rsidP="0008002E">
      <w:pPr>
        <w:pStyle w:val="TableFooter"/>
      </w:pPr>
      <w:r w:rsidRPr="00EE0EEB">
        <w:t>CDR-G=Clinical Dementia Rating-Global Score; CI=confidence interval; DON=donanemab; PBO=placebo</w:t>
      </w:r>
    </w:p>
    <w:p w14:paraId="36CC2703" w14:textId="77777777" w:rsidR="0008002E" w:rsidRPr="00EE0EEB" w:rsidRDefault="0008002E" w:rsidP="0008002E">
      <w:pPr>
        <w:pStyle w:val="TableFooter"/>
      </w:pPr>
      <w:r w:rsidRPr="00EE0EEB">
        <w:t>Note: ***p&lt;0.001 vs placebo</w:t>
      </w:r>
    </w:p>
    <w:p w14:paraId="5101809F" w14:textId="77777777" w:rsidR="0008002E" w:rsidRPr="00EE0EEB" w:rsidRDefault="0008002E" w:rsidP="0008002E">
      <w:pPr>
        <w:pStyle w:val="TableFooter"/>
      </w:pPr>
      <w:r w:rsidRPr="00BD5BF2">
        <w:t>Log cumulative hazards and Schoenfeld residual plots were not presented in the submission.</w:t>
      </w:r>
    </w:p>
    <w:p w14:paraId="41B02822" w14:textId="7A459D72" w:rsidR="0008002E" w:rsidRPr="00EE0EEB" w:rsidRDefault="0008002E" w:rsidP="00DD02B1">
      <w:pPr>
        <w:pStyle w:val="3-BodyText"/>
        <w:numPr>
          <w:ilvl w:val="1"/>
          <w:numId w:val="23"/>
        </w:numPr>
        <w:spacing w:before="60" w:after="60"/>
        <w:ind w:left="709" w:hanging="709"/>
      </w:pPr>
      <w:r w:rsidRPr="00EE0EEB">
        <w:t xml:space="preserve">A total of 186 (23%) donanemab-treated patients and 288 (34%) placebo-treated patients experienced disease progression to a later stage. Patients treated with donanemab had a 37% lower hazard of progression to the next stage of the disease as measured by the CDR-G shift (HR </w:t>
      </w:r>
      <w:r>
        <w:t xml:space="preserve">= </w:t>
      </w:r>
      <w:r w:rsidRPr="00EE0EEB">
        <w:t>0.63</w:t>
      </w:r>
      <w:r w:rsidR="00283E0B">
        <w:t>;</w:t>
      </w:r>
      <w:r w:rsidRPr="00EE0EEB">
        <w:t xml:space="preserve"> 95% CI</w:t>
      </w:r>
      <w:r>
        <w:t>:</w:t>
      </w:r>
      <w:r w:rsidRPr="00EE0EEB">
        <w:t xml:space="preserve"> 0.51, 0.77; p&lt;0.0001) through to Week 76.</w:t>
      </w:r>
    </w:p>
    <w:p w14:paraId="1E00680F" w14:textId="1E75FCCA" w:rsidR="0008002E" w:rsidRPr="00EE0EEB" w:rsidRDefault="000B11AF" w:rsidP="00DD02B1">
      <w:pPr>
        <w:pStyle w:val="3-BodyText"/>
        <w:numPr>
          <w:ilvl w:val="1"/>
          <w:numId w:val="23"/>
        </w:numPr>
        <w:spacing w:before="60" w:after="60"/>
        <w:ind w:left="709" w:hanging="709"/>
      </w:pPr>
      <w:r>
        <w:rPr>
          <w:rFonts w:cstheme="minorHAnsi"/>
          <w:b/>
          <w:bCs/>
        </w:rPr>
        <w:fldChar w:fldCharType="begin"/>
      </w:r>
      <w:r>
        <w:rPr>
          <w:rFonts w:cstheme="minorHAnsi"/>
          <w:b/>
          <w:bCs/>
        </w:rPr>
        <w:instrText xml:space="preserve"> REF _Ref204780633 \h </w:instrText>
      </w:r>
      <w:r>
        <w:rPr>
          <w:rFonts w:cstheme="minorHAnsi"/>
          <w:b/>
          <w:bCs/>
        </w:rPr>
      </w:r>
      <w:r>
        <w:rPr>
          <w:rFonts w:cstheme="minorHAnsi"/>
          <w:b/>
          <w:bCs/>
        </w:rPr>
        <w:fldChar w:fldCharType="separate"/>
      </w:r>
      <w:r w:rsidR="00392423" w:rsidRPr="009A2FB2">
        <w:t xml:space="preserve">Figure </w:t>
      </w:r>
      <w:r w:rsidR="00392423">
        <w:rPr>
          <w:noProof/>
        </w:rPr>
        <w:t>10</w:t>
      </w:r>
      <w:r>
        <w:rPr>
          <w:rFonts w:cstheme="minorHAnsi"/>
          <w:b/>
          <w:bCs/>
        </w:rPr>
        <w:fldChar w:fldCharType="end"/>
      </w:r>
      <w:r w:rsidR="0008002E" w:rsidRPr="00F042E1">
        <w:rPr>
          <w:rFonts w:cstheme="minorHAnsi"/>
          <w:b/>
          <w:bCs/>
        </w:rPr>
        <w:t xml:space="preserve"> </w:t>
      </w:r>
      <w:r w:rsidR="0008002E" w:rsidRPr="00EE0EEB">
        <w:t>summarises the hazard of progression by a CDR-G shift of ≥2 (progression to at least moderate AD).</w:t>
      </w:r>
    </w:p>
    <w:p w14:paraId="10A4DAC6" w14:textId="6DE63362" w:rsidR="0008002E" w:rsidRPr="00EE0EEB" w:rsidRDefault="000B11AF" w:rsidP="000B11AF">
      <w:pPr>
        <w:pStyle w:val="Caption"/>
      </w:pPr>
      <w:bookmarkStart w:id="29" w:name="_Ref204780633"/>
      <w:r w:rsidRPr="009A2FB2">
        <w:lastRenderedPageBreak/>
        <w:t xml:space="preserve">Figure </w:t>
      </w:r>
      <w:r w:rsidRPr="009A2FB2">
        <w:fldChar w:fldCharType="begin"/>
      </w:r>
      <w:r w:rsidRPr="009A2FB2">
        <w:instrText xml:space="preserve"> SEQ Figure \* ARABIC </w:instrText>
      </w:r>
      <w:r w:rsidRPr="009A2FB2">
        <w:fldChar w:fldCharType="separate"/>
      </w:r>
      <w:r w:rsidR="00392423">
        <w:rPr>
          <w:noProof/>
        </w:rPr>
        <w:t>10</w:t>
      </w:r>
      <w:r w:rsidRPr="009A2FB2">
        <w:fldChar w:fldCharType="end"/>
      </w:r>
      <w:bookmarkEnd w:id="29"/>
      <w:r w:rsidR="009A2FB2" w:rsidRPr="009A2FB2">
        <w:t>:</w:t>
      </w:r>
      <w:r w:rsidR="00C62727" w:rsidRPr="009A2FB2">
        <w:rPr>
          <w:rStyle w:val="TableFigureHeadingChar"/>
          <w:b/>
          <w:bCs w:val="0"/>
          <w:lang w:val="en-AU"/>
        </w:rPr>
        <w:t xml:space="preserve"> </w:t>
      </w:r>
      <w:r w:rsidR="0008002E" w:rsidRPr="009A2FB2">
        <w:rPr>
          <w:rStyle w:val="TableFigureHeadingChar"/>
          <w:b/>
          <w:bCs w:val="0"/>
          <w:lang w:val="en-AU"/>
        </w:rPr>
        <w:t xml:space="preserve">TB-2: Hazard of progression to at least moderate AD: CDR-G </w:t>
      </w:r>
      <w:r w:rsidR="0008002E" w:rsidRPr="009A2FB2">
        <w:rPr>
          <w:rFonts w:eastAsiaTheme="majorEastAsia" w:cstheme="majorBidi"/>
          <w:szCs w:val="24"/>
        </w:rPr>
        <w:t>shift of ≥2</w:t>
      </w:r>
      <w:r w:rsidR="0008002E" w:rsidRPr="009A2FB2">
        <w:rPr>
          <w:rFonts w:eastAsiaTheme="majorEastAsia" w:cstheme="majorBidi"/>
          <w:b w:val="0"/>
          <w:bCs/>
          <w:szCs w:val="24"/>
        </w:rPr>
        <w:t xml:space="preserve"> </w:t>
      </w:r>
      <w:r w:rsidR="0008002E" w:rsidRPr="009A2FB2">
        <w:rPr>
          <w:rStyle w:val="TableFigureHeadingChar"/>
          <w:b/>
          <w:bCs w:val="0"/>
          <w:lang w:val="en-AU"/>
        </w:rPr>
        <w:t>(overall population)</w:t>
      </w:r>
      <w:r w:rsidR="0008002E" w:rsidRPr="00EE0EEB">
        <w:rPr>
          <w:noProof/>
        </w:rPr>
        <w:drawing>
          <wp:inline distT="0" distB="0" distL="0" distR="0" wp14:anchorId="3939C0B1" wp14:editId="4959F2AC">
            <wp:extent cx="5731510" cy="2475865"/>
            <wp:effectExtent l="0" t="0" r="0" b="0"/>
            <wp:docPr id="917346828" name="Picture 917346828" descr="Figure 10: TB-2: Hazard of progression to at least moderate AD: CDR-G shift of ≥2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46828" name="Picture 917346828" descr="Figure 10: TB-2: Hazard of progression to at least moderate AD: CDR-G shift of ≥2 (overall population)"/>
                    <pic:cNvPicPr/>
                  </pic:nvPicPr>
                  <pic:blipFill>
                    <a:blip r:embed="rId22"/>
                    <a:stretch>
                      <a:fillRect/>
                    </a:stretch>
                  </pic:blipFill>
                  <pic:spPr>
                    <a:xfrm>
                      <a:off x="0" y="0"/>
                      <a:ext cx="5731510" cy="2475865"/>
                    </a:xfrm>
                    <a:prstGeom prst="rect">
                      <a:avLst/>
                    </a:prstGeom>
                  </pic:spPr>
                </pic:pic>
              </a:graphicData>
            </a:graphic>
          </wp:inline>
        </w:drawing>
      </w:r>
    </w:p>
    <w:p w14:paraId="1F6990CF" w14:textId="77777777" w:rsidR="0008002E" w:rsidRPr="00EE0EEB" w:rsidRDefault="0008002E" w:rsidP="0008002E">
      <w:pPr>
        <w:pStyle w:val="TableFooter"/>
      </w:pPr>
      <w:r w:rsidRPr="00EE0EEB">
        <w:rPr>
          <w:rStyle w:val="TableFooterChar"/>
        </w:rPr>
        <w:t>Source: p1</w:t>
      </w:r>
      <w:r w:rsidRPr="00EE0EEB">
        <w:rPr>
          <w:rStyle w:val="TableFooterChar"/>
          <w:rFonts w:eastAsiaTheme="minorHAnsi"/>
        </w:rPr>
        <w:t>0</w:t>
      </w:r>
      <w:r w:rsidRPr="00EE0EEB">
        <w:rPr>
          <w:rStyle w:val="TableFooterChar"/>
        </w:rPr>
        <w:t>, Zimmer et al (2024)</w:t>
      </w:r>
      <w:r>
        <w:rPr>
          <w:rStyle w:val="FootnoteReference"/>
          <w:snapToGrid/>
        </w:rPr>
        <w:footnoteReference w:id="39"/>
      </w:r>
    </w:p>
    <w:p w14:paraId="2FE5157D" w14:textId="41367571" w:rsidR="0008002E" w:rsidRPr="00EE0EEB" w:rsidRDefault="0008002E" w:rsidP="0008002E">
      <w:pPr>
        <w:pStyle w:val="TableFooter"/>
      </w:pPr>
      <w:r w:rsidRPr="00EE0EEB">
        <w:t>AD=Alzheimer</w:t>
      </w:r>
      <w:r w:rsidR="00F4444C">
        <w:t>’s</w:t>
      </w:r>
      <w:r w:rsidRPr="00EE0EEB">
        <w:t xml:space="preserve"> disease; CDR-G=Clinical Dementia Rating-Global Score; CI=confidence interval</w:t>
      </w:r>
    </w:p>
    <w:p w14:paraId="02763069" w14:textId="77777777" w:rsidR="0008002E" w:rsidRPr="00EE0EEB" w:rsidRDefault="0008002E" w:rsidP="0008002E">
      <w:pPr>
        <w:pStyle w:val="TableFooter"/>
      </w:pPr>
      <w:r w:rsidRPr="00EE0EEB">
        <w:rPr>
          <w:vertAlign w:val="superscript"/>
        </w:rPr>
        <w:t>*</w:t>
      </w:r>
      <w:r w:rsidRPr="00EE0EEB">
        <w:t>Nominal p-value</w:t>
      </w:r>
    </w:p>
    <w:p w14:paraId="0B2BD103" w14:textId="299833EB" w:rsidR="0008002E" w:rsidRPr="00EE0EEB" w:rsidRDefault="0008002E" w:rsidP="00DD02B1">
      <w:pPr>
        <w:pStyle w:val="3-BodyText"/>
        <w:numPr>
          <w:ilvl w:val="1"/>
          <w:numId w:val="23"/>
        </w:numPr>
        <w:spacing w:before="60" w:after="60"/>
        <w:ind w:left="709" w:hanging="709"/>
      </w:pPr>
      <w:r w:rsidRPr="00EE0EEB">
        <w:t>Patients treated with donanemab had a 50% lower hazard of progression to at least the moderate AD stage as measured by the CDR-G shift of ≥2 from baseline (HR</w:t>
      </w:r>
      <w:r>
        <w:t xml:space="preserve"> =</w:t>
      </w:r>
      <w:r w:rsidRPr="00EE0EEB">
        <w:t xml:space="preserve"> 0.</w:t>
      </w:r>
      <w:r>
        <w:t>504</w:t>
      </w:r>
      <w:r w:rsidR="00283E0B">
        <w:t>;</w:t>
      </w:r>
      <w:r w:rsidRPr="00EE0EEB">
        <w:t xml:space="preserve"> 95% CI</w:t>
      </w:r>
      <w:r>
        <w:t>:</w:t>
      </w:r>
      <w:r w:rsidRPr="00EE0EEB">
        <w:t xml:space="preserve"> 0.</w:t>
      </w:r>
      <w:r>
        <w:t>325</w:t>
      </w:r>
      <w:r w:rsidRPr="00EE0EEB">
        <w:t>, 0.</w:t>
      </w:r>
      <w:r>
        <w:t>782</w:t>
      </w:r>
      <w:r w:rsidRPr="00EE0EEB">
        <w:t>; p</w:t>
      </w:r>
      <w:r>
        <w:t>=</w:t>
      </w:r>
      <w:r w:rsidRPr="00EE0EEB">
        <w:t>0.00</w:t>
      </w:r>
      <w:r>
        <w:t>2</w:t>
      </w:r>
      <w:r w:rsidRPr="00EE0EEB">
        <w:t xml:space="preserve">) over 76 weeks. </w:t>
      </w:r>
    </w:p>
    <w:p w14:paraId="2AFE21A8" w14:textId="39D436F2" w:rsidR="0008002E" w:rsidRPr="00EE0EEB" w:rsidRDefault="008D38DA" w:rsidP="00DD02B1">
      <w:pPr>
        <w:pStyle w:val="3-BodyText"/>
        <w:numPr>
          <w:ilvl w:val="1"/>
          <w:numId w:val="23"/>
        </w:numPr>
        <w:spacing w:before="60" w:after="60"/>
        <w:ind w:left="709" w:hanging="709"/>
      </w:pPr>
      <w:r>
        <w:fldChar w:fldCharType="begin"/>
      </w:r>
      <w:r>
        <w:instrText xml:space="preserve"> REF _Ref204779977 \h </w:instrText>
      </w:r>
      <w:r>
        <w:fldChar w:fldCharType="separate"/>
      </w:r>
      <w:r w:rsidR="00392423">
        <w:t xml:space="preserve">Table </w:t>
      </w:r>
      <w:r w:rsidR="00392423">
        <w:rPr>
          <w:noProof/>
        </w:rPr>
        <w:t>11</w:t>
      </w:r>
      <w:r>
        <w:fldChar w:fldCharType="end"/>
      </w:r>
      <w:r w:rsidR="0008002E" w:rsidRPr="00EE0EEB">
        <w:t xml:space="preserve"> summarises the percentage of patients in the donanemab arm who had amyloid clearance at post-baseline visit in the overall population. The percentage of patients who met the reduction to placebo criteria is also included in the table. </w:t>
      </w:r>
    </w:p>
    <w:p w14:paraId="725DF206" w14:textId="063C8116" w:rsidR="0008002E" w:rsidRPr="00EE0EEB" w:rsidRDefault="008D38DA" w:rsidP="008D38DA">
      <w:pPr>
        <w:pStyle w:val="Caption"/>
        <w:rPr>
          <w:i/>
        </w:rPr>
      </w:pPr>
      <w:bookmarkStart w:id="30" w:name="_Ref204779977"/>
      <w:r>
        <w:t xml:space="preserve">Table </w:t>
      </w:r>
      <w:r>
        <w:fldChar w:fldCharType="begin"/>
      </w:r>
      <w:r>
        <w:instrText xml:space="preserve"> SEQ Table \* ARABIC </w:instrText>
      </w:r>
      <w:r>
        <w:fldChar w:fldCharType="separate"/>
      </w:r>
      <w:r w:rsidR="00392423">
        <w:rPr>
          <w:noProof/>
        </w:rPr>
        <w:t>11</w:t>
      </w:r>
      <w:r>
        <w:fldChar w:fldCharType="end"/>
      </w:r>
      <w:bookmarkEnd w:id="30"/>
      <w:r w:rsidR="000A0F04">
        <w:t xml:space="preserve">: </w:t>
      </w:r>
      <w:r w:rsidR="0008002E" w:rsidRPr="00EE0EEB">
        <w:t>TB-2: Proportion of donanemab-treated patients who were amyloid-negative at post-baseline visit with PET scan schedules (overall population, EES)</w:t>
      </w:r>
    </w:p>
    <w:tbl>
      <w:tblPr>
        <w:tblStyle w:val="HTATableshaded"/>
        <w:tblW w:w="5000" w:type="pct"/>
        <w:tblLook w:val="04A0" w:firstRow="1" w:lastRow="0" w:firstColumn="1" w:lastColumn="0" w:noHBand="0" w:noVBand="1"/>
        <w:tblCaption w:val="Table 11: TB-2: Proportion of donanemab-treated patients who were amyloid-negative at post-baseline visit with PET scan schedules (overall population, EES)"/>
      </w:tblPr>
      <w:tblGrid>
        <w:gridCol w:w="4530"/>
        <w:gridCol w:w="4486"/>
      </w:tblGrid>
      <w:tr w:rsidR="0008002E" w:rsidRPr="00EE0EEB" w14:paraId="117B04E1" w14:textId="77777777" w:rsidTr="00E81465">
        <w:trPr>
          <w:cnfStyle w:val="100000000000" w:firstRow="1" w:lastRow="0" w:firstColumn="0" w:lastColumn="0" w:oddVBand="0" w:evenVBand="0" w:oddHBand="0" w:evenHBand="0" w:firstRowFirstColumn="0" w:firstRowLastColumn="0" w:lastRowFirstColumn="0" w:lastRowLastColumn="0"/>
          <w:cantSplit/>
          <w:trHeight w:val="283"/>
        </w:trPr>
        <w:tc>
          <w:tcPr>
            <w:tcW w:w="2512" w:type="pct"/>
          </w:tcPr>
          <w:p w14:paraId="191AD67E" w14:textId="77777777" w:rsidR="0008002E" w:rsidRPr="00EE0EEB" w:rsidRDefault="0008002E" w:rsidP="00E81465">
            <w:pPr>
              <w:pStyle w:val="TableText"/>
              <w:keepNext/>
              <w:rPr>
                <w:b/>
                <w:bCs/>
                <w:iCs/>
              </w:rPr>
            </w:pPr>
            <w:r w:rsidRPr="00EE0EEB">
              <w:rPr>
                <w:b/>
                <w:iCs/>
              </w:rPr>
              <w:t>Time point</w:t>
            </w:r>
          </w:p>
        </w:tc>
        <w:tc>
          <w:tcPr>
            <w:tcW w:w="2488" w:type="pct"/>
          </w:tcPr>
          <w:p w14:paraId="35A356D9" w14:textId="77777777" w:rsidR="0008002E" w:rsidRPr="00EE0EEB" w:rsidRDefault="0008002E" w:rsidP="00E81465">
            <w:pPr>
              <w:pStyle w:val="TableText"/>
              <w:keepNext/>
              <w:rPr>
                <w:b/>
                <w:bCs/>
                <w:iCs/>
              </w:rPr>
            </w:pPr>
            <w:r w:rsidRPr="00EE0EEB">
              <w:rPr>
                <w:b/>
                <w:iCs/>
              </w:rPr>
              <w:t>Overall</w:t>
            </w:r>
          </w:p>
          <w:p w14:paraId="564789B7" w14:textId="77777777" w:rsidR="0008002E" w:rsidRPr="00EE0EEB" w:rsidRDefault="0008002E" w:rsidP="00E81465">
            <w:pPr>
              <w:pStyle w:val="TableText"/>
              <w:keepNext/>
              <w:rPr>
                <w:b/>
                <w:bCs/>
                <w:iCs/>
              </w:rPr>
            </w:pPr>
            <w:r w:rsidRPr="00EE0EEB">
              <w:rPr>
                <w:b/>
                <w:iCs/>
              </w:rPr>
              <w:t>n/N (%)</w:t>
            </w:r>
          </w:p>
        </w:tc>
      </w:tr>
      <w:tr w:rsidR="0008002E" w:rsidRPr="00EE0EEB" w14:paraId="675267A8" w14:textId="77777777" w:rsidTr="00AE3FC7">
        <w:trPr>
          <w:cantSplit/>
          <w:trHeight w:val="60"/>
        </w:trPr>
        <w:tc>
          <w:tcPr>
            <w:tcW w:w="5000" w:type="pct"/>
            <w:gridSpan w:val="2"/>
          </w:tcPr>
          <w:p w14:paraId="3776E595" w14:textId="77777777" w:rsidR="0008002E" w:rsidRPr="00EE0EEB" w:rsidRDefault="0008002E" w:rsidP="00E81465">
            <w:pPr>
              <w:pStyle w:val="TableText"/>
              <w:keepNext/>
              <w:rPr>
                <w:iCs/>
              </w:rPr>
            </w:pPr>
            <w:r w:rsidRPr="00EE0EEB">
              <w:rPr>
                <w:iCs/>
              </w:rPr>
              <w:t>Week 24</w:t>
            </w:r>
          </w:p>
        </w:tc>
      </w:tr>
      <w:tr w:rsidR="0008002E" w:rsidRPr="00EE0EEB" w14:paraId="19F72DF8" w14:textId="77777777" w:rsidTr="00AE3FC7">
        <w:trPr>
          <w:cantSplit/>
          <w:trHeight w:val="60"/>
        </w:trPr>
        <w:tc>
          <w:tcPr>
            <w:tcW w:w="2512" w:type="pct"/>
          </w:tcPr>
          <w:p w14:paraId="5F5F92C3" w14:textId="77777777" w:rsidR="0008002E" w:rsidRPr="00EE0EEB" w:rsidRDefault="0008002E" w:rsidP="00E81465">
            <w:pPr>
              <w:pStyle w:val="TableText"/>
              <w:keepNext/>
              <w:rPr>
                <w:iCs/>
              </w:rPr>
            </w:pPr>
            <w:r w:rsidRPr="00EE0EEB">
              <w:rPr>
                <w:iCs/>
              </w:rPr>
              <w:t>Amyloid clearance (%), n/N</w:t>
            </w:r>
          </w:p>
        </w:tc>
        <w:tc>
          <w:tcPr>
            <w:tcW w:w="2488" w:type="pct"/>
          </w:tcPr>
          <w:p w14:paraId="708E30E8" w14:textId="77777777" w:rsidR="0008002E" w:rsidRPr="00EE0EEB" w:rsidRDefault="0008002E" w:rsidP="00E81465">
            <w:pPr>
              <w:pStyle w:val="TableText"/>
              <w:keepNext/>
              <w:rPr>
                <w:iCs/>
              </w:rPr>
            </w:pPr>
            <w:r w:rsidRPr="00EE0EEB">
              <w:rPr>
                <w:iCs/>
              </w:rPr>
              <w:t>29.7 (226/761) (p&lt;0.0001)</w:t>
            </w:r>
          </w:p>
        </w:tc>
      </w:tr>
      <w:tr w:rsidR="0008002E" w:rsidRPr="00EE0EEB" w14:paraId="6C46E061" w14:textId="77777777" w:rsidTr="00AE3FC7">
        <w:trPr>
          <w:cantSplit/>
          <w:trHeight w:val="60"/>
        </w:trPr>
        <w:tc>
          <w:tcPr>
            <w:tcW w:w="2512" w:type="pct"/>
          </w:tcPr>
          <w:p w14:paraId="3AAB35F9" w14:textId="77777777" w:rsidR="0008002E" w:rsidRPr="00EE0EEB" w:rsidRDefault="0008002E" w:rsidP="00E81465">
            <w:pPr>
              <w:pStyle w:val="TableText"/>
              <w:keepNext/>
              <w:rPr>
                <w:iCs/>
              </w:rPr>
            </w:pPr>
            <w:r w:rsidRPr="00EE0EEB">
              <w:rPr>
                <w:iCs/>
              </w:rPr>
              <w:t>Met the reduction to placebo criteria (%), n/N</w:t>
            </w:r>
          </w:p>
        </w:tc>
        <w:tc>
          <w:tcPr>
            <w:tcW w:w="2488" w:type="pct"/>
          </w:tcPr>
          <w:p w14:paraId="554251BF" w14:textId="77777777" w:rsidR="0008002E" w:rsidRPr="00EE0EEB" w:rsidRDefault="0008002E" w:rsidP="00E81465">
            <w:pPr>
              <w:pStyle w:val="TableText"/>
              <w:keepNext/>
              <w:rPr>
                <w:iCs/>
              </w:rPr>
            </w:pPr>
            <w:r w:rsidRPr="00EE0EEB">
              <w:rPr>
                <w:iCs/>
              </w:rPr>
              <w:t>17.1 (130/761</w:t>
            </w:r>
            <w:r w:rsidRPr="00EE0EEB">
              <w:rPr>
                <w:rStyle w:val="FootnoteReference"/>
                <w:iCs/>
              </w:rPr>
              <w:t>a</w:t>
            </w:r>
            <w:r w:rsidRPr="00EE0EEB">
              <w:rPr>
                <w:iCs/>
              </w:rPr>
              <w:t>)</w:t>
            </w:r>
          </w:p>
        </w:tc>
      </w:tr>
      <w:tr w:rsidR="0008002E" w:rsidRPr="00EE0EEB" w14:paraId="7F49DEF0" w14:textId="77777777" w:rsidTr="00AE3FC7">
        <w:trPr>
          <w:cantSplit/>
          <w:trHeight w:val="60"/>
        </w:trPr>
        <w:tc>
          <w:tcPr>
            <w:tcW w:w="5000" w:type="pct"/>
            <w:gridSpan w:val="2"/>
          </w:tcPr>
          <w:p w14:paraId="761ADAD4" w14:textId="77777777" w:rsidR="0008002E" w:rsidRPr="00EE0EEB" w:rsidRDefault="0008002E" w:rsidP="00E81465">
            <w:pPr>
              <w:pStyle w:val="TableText"/>
              <w:keepNext/>
              <w:rPr>
                <w:iCs/>
              </w:rPr>
            </w:pPr>
            <w:r w:rsidRPr="00EE0EEB">
              <w:rPr>
                <w:iCs/>
              </w:rPr>
              <w:t>Week 52</w:t>
            </w:r>
          </w:p>
        </w:tc>
      </w:tr>
      <w:tr w:rsidR="0008002E" w:rsidRPr="00EE0EEB" w14:paraId="409E97C2" w14:textId="77777777" w:rsidTr="00AE3FC7">
        <w:trPr>
          <w:cantSplit/>
          <w:trHeight w:val="60"/>
        </w:trPr>
        <w:tc>
          <w:tcPr>
            <w:tcW w:w="2512" w:type="pct"/>
          </w:tcPr>
          <w:p w14:paraId="4FFA9AFE" w14:textId="77777777" w:rsidR="0008002E" w:rsidRPr="00EE0EEB" w:rsidRDefault="0008002E" w:rsidP="00E81465">
            <w:pPr>
              <w:pStyle w:val="TableText"/>
              <w:keepNext/>
              <w:rPr>
                <w:iCs/>
              </w:rPr>
            </w:pPr>
            <w:r w:rsidRPr="00EE0EEB">
              <w:rPr>
                <w:iCs/>
              </w:rPr>
              <w:t>Amyloid clearance (%), n/N</w:t>
            </w:r>
          </w:p>
        </w:tc>
        <w:tc>
          <w:tcPr>
            <w:tcW w:w="2488" w:type="pct"/>
          </w:tcPr>
          <w:p w14:paraId="5C18DB36" w14:textId="77777777" w:rsidR="0008002E" w:rsidRPr="00EE0EEB" w:rsidRDefault="0008002E" w:rsidP="00E81465">
            <w:pPr>
              <w:pStyle w:val="TableText"/>
              <w:keepNext/>
              <w:rPr>
                <w:iCs/>
              </w:rPr>
            </w:pPr>
            <w:r w:rsidRPr="00EE0EEB">
              <w:rPr>
                <w:iCs/>
              </w:rPr>
              <w:t>66.1 (443/670) (p&lt;0.0001)</w:t>
            </w:r>
          </w:p>
        </w:tc>
      </w:tr>
      <w:tr w:rsidR="0008002E" w:rsidRPr="00EE0EEB" w14:paraId="4BC594F2" w14:textId="77777777" w:rsidTr="00AE3FC7">
        <w:trPr>
          <w:cantSplit/>
          <w:trHeight w:val="60"/>
        </w:trPr>
        <w:tc>
          <w:tcPr>
            <w:tcW w:w="2512" w:type="pct"/>
          </w:tcPr>
          <w:p w14:paraId="1F30D1F5" w14:textId="77777777" w:rsidR="0008002E" w:rsidRPr="00EE0EEB" w:rsidRDefault="0008002E" w:rsidP="00E81465">
            <w:pPr>
              <w:pStyle w:val="TableText"/>
              <w:keepNext/>
              <w:rPr>
                <w:iCs/>
              </w:rPr>
            </w:pPr>
            <w:r w:rsidRPr="00EE0EEB">
              <w:rPr>
                <w:iCs/>
              </w:rPr>
              <w:t>Met the reduction to placebo criteria (%), n/N</w:t>
            </w:r>
          </w:p>
        </w:tc>
        <w:tc>
          <w:tcPr>
            <w:tcW w:w="2488" w:type="pct"/>
          </w:tcPr>
          <w:p w14:paraId="2EF36DBC" w14:textId="77777777" w:rsidR="0008002E" w:rsidRPr="00EE0EEB" w:rsidRDefault="0008002E" w:rsidP="00E81465">
            <w:pPr>
              <w:pStyle w:val="TableText"/>
              <w:keepNext/>
              <w:rPr>
                <w:iCs/>
              </w:rPr>
            </w:pPr>
            <w:r w:rsidRPr="00EE0EEB">
              <w:rPr>
                <w:iCs/>
              </w:rPr>
              <w:t>46.6 (313/672</w:t>
            </w:r>
            <w:r w:rsidRPr="00EE0EEB">
              <w:rPr>
                <w:rStyle w:val="FootnoteReference"/>
                <w:iCs/>
              </w:rPr>
              <w:t>a</w:t>
            </w:r>
            <w:r w:rsidRPr="00EE0EEB">
              <w:rPr>
                <w:iCs/>
              </w:rPr>
              <w:t>)</w:t>
            </w:r>
          </w:p>
        </w:tc>
      </w:tr>
      <w:tr w:rsidR="0008002E" w:rsidRPr="00EE0EEB" w14:paraId="0F30153A" w14:textId="77777777" w:rsidTr="00AE3FC7">
        <w:trPr>
          <w:cantSplit/>
          <w:trHeight w:val="60"/>
        </w:trPr>
        <w:tc>
          <w:tcPr>
            <w:tcW w:w="5000" w:type="pct"/>
            <w:gridSpan w:val="2"/>
          </w:tcPr>
          <w:p w14:paraId="75EFE4F9" w14:textId="77777777" w:rsidR="0008002E" w:rsidRPr="00EE0EEB" w:rsidRDefault="0008002E" w:rsidP="00E81465">
            <w:pPr>
              <w:pStyle w:val="TableText"/>
              <w:keepNext/>
              <w:rPr>
                <w:iCs/>
              </w:rPr>
            </w:pPr>
            <w:r w:rsidRPr="00EE0EEB">
              <w:rPr>
                <w:iCs/>
              </w:rPr>
              <w:t>Week 76</w:t>
            </w:r>
          </w:p>
        </w:tc>
      </w:tr>
      <w:tr w:rsidR="0008002E" w:rsidRPr="00EE0EEB" w14:paraId="28EADB06" w14:textId="77777777" w:rsidTr="00AE3FC7">
        <w:trPr>
          <w:cantSplit/>
          <w:trHeight w:val="60"/>
        </w:trPr>
        <w:tc>
          <w:tcPr>
            <w:tcW w:w="2512" w:type="pct"/>
          </w:tcPr>
          <w:p w14:paraId="42AB13C8" w14:textId="77777777" w:rsidR="0008002E" w:rsidRPr="00EE0EEB" w:rsidRDefault="0008002E" w:rsidP="00E81465">
            <w:pPr>
              <w:pStyle w:val="TableText"/>
              <w:keepNext/>
              <w:rPr>
                <w:iCs/>
              </w:rPr>
            </w:pPr>
            <w:r w:rsidRPr="00EE0EEB">
              <w:rPr>
                <w:iCs/>
              </w:rPr>
              <w:t>Amyloid clearance (%), n/N</w:t>
            </w:r>
          </w:p>
        </w:tc>
        <w:tc>
          <w:tcPr>
            <w:tcW w:w="2488" w:type="pct"/>
          </w:tcPr>
          <w:p w14:paraId="3822C4F6" w14:textId="77777777" w:rsidR="0008002E" w:rsidRPr="00EE0EEB" w:rsidRDefault="0008002E" w:rsidP="00E81465">
            <w:pPr>
              <w:pStyle w:val="TableText"/>
              <w:keepNext/>
              <w:rPr>
                <w:iCs/>
              </w:rPr>
            </w:pPr>
            <w:r w:rsidRPr="00EE0EEB">
              <w:rPr>
                <w:iCs/>
              </w:rPr>
              <w:t>76.4 (469/614) (p&lt;0.0001)</w:t>
            </w:r>
          </w:p>
        </w:tc>
      </w:tr>
      <w:tr w:rsidR="0008002E" w:rsidRPr="00EE0EEB" w14:paraId="3AD08FD7" w14:textId="77777777" w:rsidTr="00AE3FC7">
        <w:trPr>
          <w:cantSplit/>
          <w:trHeight w:val="60"/>
        </w:trPr>
        <w:tc>
          <w:tcPr>
            <w:tcW w:w="2512" w:type="pct"/>
          </w:tcPr>
          <w:p w14:paraId="54E13DDC" w14:textId="77777777" w:rsidR="0008002E" w:rsidRPr="00EE0EEB" w:rsidRDefault="0008002E" w:rsidP="00E81465">
            <w:pPr>
              <w:pStyle w:val="TableText"/>
              <w:keepNext/>
              <w:rPr>
                <w:iCs/>
              </w:rPr>
            </w:pPr>
            <w:r w:rsidRPr="00EE0EEB">
              <w:rPr>
                <w:iCs/>
              </w:rPr>
              <w:t>Met the reduction to placebo criteria (%), n/N</w:t>
            </w:r>
          </w:p>
        </w:tc>
        <w:tc>
          <w:tcPr>
            <w:tcW w:w="2488" w:type="pct"/>
          </w:tcPr>
          <w:p w14:paraId="600F021A" w14:textId="77777777" w:rsidR="0008002E" w:rsidRPr="00EE0EEB" w:rsidRDefault="0008002E" w:rsidP="00E81465">
            <w:pPr>
              <w:pStyle w:val="TableText"/>
              <w:keepNext/>
              <w:rPr>
                <w:iCs/>
              </w:rPr>
            </w:pPr>
            <w:r w:rsidRPr="00EE0EEB">
              <w:rPr>
                <w:iCs/>
              </w:rPr>
              <w:t>69.2 (429/620</w:t>
            </w:r>
            <w:r w:rsidRPr="00EE0EEB">
              <w:rPr>
                <w:rStyle w:val="FootnoteReference"/>
                <w:iCs/>
              </w:rPr>
              <w:t>a</w:t>
            </w:r>
            <w:r w:rsidRPr="00EE0EEB">
              <w:rPr>
                <w:iCs/>
              </w:rPr>
              <w:t>)</w:t>
            </w:r>
          </w:p>
        </w:tc>
      </w:tr>
    </w:tbl>
    <w:p w14:paraId="6E2AF043" w14:textId="77777777" w:rsidR="0008002E" w:rsidRPr="00EE0EEB" w:rsidRDefault="0008002E" w:rsidP="0008002E">
      <w:pPr>
        <w:pStyle w:val="TableFooter"/>
      </w:pPr>
      <w:r w:rsidRPr="00EE0EEB">
        <w:t>Source: Table 2-59, p204 of the submission.</w:t>
      </w:r>
    </w:p>
    <w:p w14:paraId="00502D49" w14:textId="77777777" w:rsidR="0008002E" w:rsidRPr="00EE0EEB" w:rsidRDefault="0008002E" w:rsidP="0008002E">
      <w:pPr>
        <w:pStyle w:val="TableFooter"/>
      </w:pPr>
      <w:r w:rsidRPr="00EE0EEB">
        <w:t>EES=Evaluable Efficacy Set; PET=positron emission tomography.</w:t>
      </w:r>
    </w:p>
    <w:p w14:paraId="1EE5EF36" w14:textId="18375573" w:rsidR="0008002E" w:rsidRPr="00EE0EEB" w:rsidRDefault="0008002E" w:rsidP="0008002E">
      <w:pPr>
        <w:pStyle w:val="TableFooter"/>
      </w:pPr>
      <w:r w:rsidRPr="00EE0EEB">
        <w:t>Notes</w:t>
      </w:r>
      <w:r w:rsidR="00AF6F08">
        <w:t>:</w:t>
      </w:r>
    </w:p>
    <w:p w14:paraId="7616AC1A" w14:textId="77777777" w:rsidR="0008002E" w:rsidRPr="00EE0EEB" w:rsidRDefault="0008002E" w:rsidP="0008002E">
      <w:pPr>
        <w:pStyle w:val="TableFooter"/>
      </w:pPr>
      <w:r w:rsidRPr="00EE0EEB">
        <w:t>Amyloid clearance was defined as an amyloid level of less than 24.1 Centiloids which is indicative of clinical clearance of amyloid plaque in the brain tissue.</w:t>
      </w:r>
    </w:p>
    <w:p w14:paraId="5ED56697" w14:textId="77777777" w:rsidR="0008002E" w:rsidRPr="00EE0EEB" w:rsidRDefault="0008002E" w:rsidP="0008002E">
      <w:pPr>
        <w:pStyle w:val="TableFooter"/>
      </w:pPr>
      <w:r w:rsidRPr="00EE0EEB">
        <w:t>Reduction to placebo criteria (eligible to cease donanemab treatment): If amyloid plaque level was &lt;11 Centiloids on any single PET scan or &lt;25 but ≥11 Centiloids on 2 consecutive PET scans, patients could complete treatment and step down from donanemab to placebo, in a double-blinded process.</w:t>
      </w:r>
    </w:p>
    <w:p w14:paraId="3BCDA684" w14:textId="77777777" w:rsidR="0008002E" w:rsidRPr="00EE0EEB" w:rsidRDefault="0008002E" w:rsidP="0008002E">
      <w:pPr>
        <w:pStyle w:val="TableFooter"/>
      </w:pPr>
      <w:r w:rsidRPr="00EE0EEB">
        <w:rPr>
          <w:vertAlign w:val="superscript"/>
        </w:rPr>
        <w:t>b</w:t>
      </w:r>
      <w:r w:rsidRPr="00EE0EEB">
        <w:t>Included participants from unscheduled visits at each time point.</w:t>
      </w:r>
    </w:p>
    <w:p w14:paraId="5B79F2DD" w14:textId="77777777" w:rsidR="0008002E" w:rsidRPr="00B50D5F" w:rsidRDefault="0008002E" w:rsidP="00DD02B1">
      <w:pPr>
        <w:pStyle w:val="3-BodyText"/>
        <w:numPr>
          <w:ilvl w:val="1"/>
          <w:numId w:val="23"/>
        </w:numPr>
        <w:spacing w:before="60" w:after="60"/>
        <w:ind w:left="709" w:hanging="709"/>
      </w:pPr>
      <w:r w:rsidRPr="00EE0EEB">
        <w:lastRenderedPageBreak/>
        <w:t xml:space="preserve">At Week 76, 76.4% (95% CI: 72.87, 79.57) of patients treated with donanemab achieved amyloid clearance compared to 0.3% (95% CI: 0.08, 1.05) of patients treated with placebo. </w:t>
      </w:r>
      <w:r w:rsidRPr="00EE0EEB">
        <w:rPr>
          <w:bCs/>
        </w:rPr>
        <w:t xml:space="preserve">Amyloid levels continued to decrease but slowed between </w:t>
      </w:r>
      <w:r>
        <w:rPr>
          <w:bCs/>
        </w:rPr>
        <w:t>W</w:t>
      </w:r>
      <w:r w:rsidRPr="00EE0EEB">
        <w:rPr>
          <w:bCs/>
        </w:rPr>
        <w:t xml:space="preserve">eek 24 and </w:t>
      </w:r>
      <w:r>
        <w:rPr>
          <w:bCs/>
        </w:rPr>
        <w:t>W</w:t>
      </w:r>
      <w:r w:rsidRPr="00EE0EEB">
        <w:rPr>
          <w:bCs/>
        </w:rPr>
        <w:t xml:space="preserve">eek 76. The submission noted that this observation supports the proposed maximum treatment duration of 18 months. </w:t>
      </w:r>
    </w:p>
    <w:p w14:paraId="7066EB1D" w14:textId="56DDD874" w:rsidR="0008002E" w:rsidRPr="00082CB2" w:rsidRDefault="0008002E" w:rsidP="00DD02B1">
      <w:pPr>
        <w:pStyle w:val="3-BodyText"/>
        <w:numPr>
          <w:ilvl w:val="1"/>
          <w:numId w:val="23"/>
        </w:numPr>
        <w:spacing w:before="60" w:after="60"/>
        <w:ind w:left="709" w:hanging="709"/>
      </w:pPr>
      <w:r w:rsidRPr="00082CB2">
        <w:rPr>
          <w:bCs/>
        </w:rPr>
        <w:t xml:space="preserve">Although it has been noted that there is no clinical consensus on whether amyloid-beta removal translates into a slower decline of cognitive ability, the PSCR stated that the relationship between reduction in amyloid burden and reduction in cognitive decline had been established. The ESCs noted that although 76.4% of patients in the donanemab arm achieved amyloid clearance compared to 0.3% in the placebo arm after 76 weeks, the difference in iADRS between the arms was modest. Thus, the ESCs considered that the effect of amyloid clearance on the clinical effects and progression of AD remained uncertain. </w:t>
      </w:r>
    </w:p>
    <w:p w14:paraId="3756A7C7" w14:textId="5CFE2A85" w:rsidR="0008002E" w:rsidRPr="00082CB2" w:rsidRDefault="0008002E" w:rsidP="00DD02B1">
      <w:pPr>
        <w:pStyle w:val="3-BodyText"/>
        <w:numPr>
          <w:ilvl w:val="1"/>
          <w:numId w:val="23"/>
        </w:numPr>
        <w:spacing w:before="60" w:after="60"/>
        <w:ind w:left="709" w:hanging="709"/>
      </w:pPr>
      <w:r w:rsidRPr="00082CB2">
        <w:rPr>
          <w:bCs/>
        </w:rPr>
        <w:t xml:space="preserve">The PSCR presented preliminary results from the 36-month TB-2 long term extension study for the CDR-SB outcome, which the PSCR stated supported that the treatment effect of donanemab is maintained, see </w:t>
      </w:r>
      <w:r w:rsidR="000B11AF">
        <w:fldChar w:fldCharType="begin"/>
      </w:r>
      <w:r w:rsidR="000B11AF">
        <w:rPr>
          <w:bCs/>
        </w:rPr>
        <w:instrText xml:space="preserve"> REF _Ref204780650 \h </w:instrText>
      </w:r>
      <w:r w:rsidR="000B11AF">
        <w:fldChar w:fldCharType="separate"/>
      </w:r>
      <w:r w:rsidR="00392423">
        <w:t xml:space="preserve">Figure </w:t>
      </w:r>
      <w:r w:rsidR="00392423">
        <w:rPr>
          <w:noProof/>
        </w:rPr>
        <w:t>11</w:t>
      </w:r>
      <w:r w:rsidR="000B11AF">
        <w:fldChar w:fldCharType="end"/>
      </w:r>
      <w:r w:rsidRPr="00082CB2">
        <w:rPr>
          <w:bCs/>
        </w:rPr>
        <w:t>. In the extension study, patients in the donanemab arm who met treatment cessation criteria by Week 76 switched to placebo, whereas patients who did not meet the criteria continued to receive donanemab Q4W. All patients in the placebo arm switched to donanemab.</w:t>
      </w:r>
    </w:p>
    <w:p w14:paraId="126F5B08" w14:textId="14F07AB6" w:rsidR="0008002E" w:rsidRPr="00082CB2" w:rsidRDefault="0008002E" w:rsidP="00DD02B1">
      <w:pPr>
        <w:pStyle w:val="3-BodyText"/>
        <w:numPr>
          <w:ilvl w:val="1"/>
          <w:numId w:val="23"/>
        </w:numPr>
        <w:spacing w:before="60" w:after="60"/>
        <w:ind w:left="709" w:hanging="709"/>
      </w:pPr>
      <w:r w:rsidRPr="00082CB2">
        <w:rPr>
          <w:bCs/>
        </w:rPr>
        <w:t>Given the lack of true placebo comparator, the PSCR stated that data from the Alzheimer</w:t>
      </w:r>
      <w:r w:rsidR="00F4444C">
        <w:rPr>
          <w:bCs/>
        </w:rPr>
        <w:t>’s</w:t>
      </w:r>
      <w:r w:rsidRPr="00082CB2">
        <w:rPr>
          <w:bCs/>
        </w:rPr>
        <w:t xml:space="preserve"> Disease Neuroimaging Initiative (ADNI) were used to model the disease trajectory of untreated patients. The propensity score weighting method was used to create an external control arm matching the placebo trajectory of the 18 month data observed in TB-2.</w:t>
      </w:r>
    </w:p>
    <w:p w14:paraId="5503FE4C" w14:textId="00443C04" w:rsidR="0008002E" w:rsidRPr="00DD1622" w:rsidRDefault="000B11AF" w:rsidP="006C66C7">
      <w:pPr>
        <w:pStyle w:val="Caption"/>
        <w:keepLines/>
      </w:pPr>
      <w:bookmarkStart w:id="31" w:name="_Ref204780650"/>
      <w:r>
        <w:lastRenderedPageBreak/>
        <w:t xml:space="preserve">Figure </w:t>
      </w:r>
      <w:r>
        <w:fldChar w:fldCharType="begin"/>
      </w:r>
      <w:r>
        <w:instrText xml:space="preserve"> SEQ Figure \* ARABIC </w:instrText>
      </w:r>
      <w:r>
        <w:fldChar w:fldCharType="separate"/>
      </w:r>
      <w:r w:rsidR="00392423">
        <w:rPr>
          <w:noProof/>
        </w:rPr>
        <w:t>11</w:t>
      </w:r>
      <w:r>
        <w:fldChar w:fldCharType="end"/>
      </w:r>
      <w:bookmarkEnd w:id="31"/>
      <w:r w:rsidR="00C62727">
        <w:t xml:space="preserve">: </w:t>
      </w:r>
      <w:r w:rsidR="0008002E">
        <w:t>Long term extension study results for CDR-SB from the TB-2 trial</w:t>
      </w:r>
    </w:p>
    <w:p w14:paraId="153F92E3" w14:textId="77777777" w:rsidR="0008002E" w:rsidRPr="00663FF4" w:rsidRDefault="0008002E" w:rsidP="006C66C7">
      <w:pPr>
        <w:keepNext/>
        <w:keepLines/>
        <w:rPr>
          <w:i/>
          <w:iCs/>
        </w:rPr>
      </w:pPr>
      <w:r>
        <w:rPr>
          <w:noProof/>
        </w:rPr>
        <w:drawing>
          <wp:inline distT="0" distB="0" distL="0" distR="0" wp14:anchorId="212DDCF6" wp14:editId="564176F4">
            <wp:extent cx="5731510" cy="2313829"/>
            <wp:effectExtent l="0" t="0" r="2540" b="0"/>
            <wp:docPr id="1689483298" name="Picture 1689483298" descr="Figure 11: Long term extension study results for CDR-SB from the TB-2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83298" name="Picture 1689483298" descr="Figure 11: Long term extension study results for CDR-SB from the TB-2 trial"/>
                    <pic:cNvPicPr/>
                  </pic:nvPicPr>
                  <pic:blipFill rotWithShape="1">
                    <a:blip r:embed="rId23"/>
                    <a:srcRect t="15965" r="-18" b="12558"/>
                    <a:stretch/>
                  </pic:blipFill>
                  <pic:spPr bwMode="auto">
                    <a:xfrm>
                      <a:off x="0" y="0"/>
                      <a:ext cx="5732566" cy="2314255"/>
                    </a:xfrm>
                    <a:prstGeom prst="rect">
                      <a:avLst/>
                    </a:prstGeom>
                    <a:ln>
                      <a:noFill/>
                    </a:ln>
                    <a:extLst>
                      <a:ext uri="{53640926-AAD7-44D8-BBD7-CCE9431645EC}">
                        <a14:shadowObscured xmlns:a14="http://schemas.microsoft.com/office/drawing/2010/main"/>
                      </a:ext>
                    </a:extLst>
                  </pic:spPr>
                </pic:pic>
              </a:graphicData>
            </a:graphic>
          </wp:inline>
        </w:drawing>
      </w:r>
    </w:p>
    <w:p w14:paraId="42F2C9CF" w14:textId="77777777" w:rsidR="0008002E" w:rsidRDefault="0008002E" w:rsidP="006C66C7">
      <w:pPr>
        <w:pStyle w:val="TableFooter"/>
        <w:keepNext/>
        <w:keepLines/>
      </w:pPr>
      <w:r>
        <w:t>Source: Figure 3, p19 of the PSCR</w:t>
      </w:r>
    </w:p>
    <w:p w14:paraId="7734DEA4" w14:textId="4F2C398C" w:rsidR="0008002E" w:rsidRDefault="0008002E" w:rsidP="006C66C7">
      <w:pPr>
        <w:pStyle w:val="TableFooter"/>
        <w:keepNext/>
        <w:keepLines/>
      </w:pPr>
      <w:r>
        <w:t>ADNI = Alzheimer</w:t>
      </w:r>
      <w:r w:rsidR="00F4444C">
        <w:t>’s</w:t>
      </w:r>
      <w:r>
        <w:t xml:space="preserve"> Disease Neuroimaging Initiative; CDR-SB = Clinical Dementia Rating – Sum of Boxes; CSF = cerebrospinal fluid; LTE = long term extension; MMRM = mixed model for repeated measures; PC = placebo controlled; PET = Positron Emission Tomography</w:t>
      </w:r>
    </w:p>
    <w:p w14:paraId="424E2E9E" w14:textId="77777777" w:rsidR="0008002E" w:rsidRDefault="0008002E" w:rsidP="006C66C7">
      <w:pPr>
        <w:pStyle w:val="TableFooter"/>
        <w:keepNext/>
        <w:keepLines/>
      </w:pPr>
      <w:r>
        <w:t>* Includes 9 observations past 154 weeks</w:t>
      </w:r>
    </w:p>
    <w:p w14:paraId="4C5F32BF" w14:textId="77777777" w:rsidR="0008002E" w:rsidRDefault="0008002E" w:rsidP="006C66C7">
      <w:pPr>
        <w:pStyle w:val="TableFooter"/>
        <w:keepNext/>
        <w:keepLines/>
      </w:pPr>
      <w:r>
        <w:t>** P-values of Early vs Delayed start &lt; 0.01</w:t>
      </w:r>
    </w:p>
    <w:p w14:paraId="7B2AB0EF" w14:textId="77777777" w:rsidR="0008002E" w:rsidRDefault="0008002E" w:rsidP="006C66C7">
      <w:pPr>
        <w:pStyle w:val="TableFooter"/>
        <w:keepNext/>
        <w:keepLines/>
      </w:pPr>
      <w:r>
        <w:t>*** P-values of Early vs Delayed start &lt; 0.001</w:t>
      </w:r>
    </w:p>
    <w:p w14:paraId="2FD2C214" w14:textId="77777777" w:rsidR="0008002E" w:rsidRDefault="0008002E" w:rsidP="006C66C7">
      <w:pPr>
        <w:pStyle w:val="TableFooter"/>
        <w:keepNext/>
        <w:keepLines/>
      </w:pPr>
      <w:r w:rsidRPr="003647D3">
        <w:rPr>
          <w:vertAlign w:val="superscript"/>
        </w:rPr>
        <w:t>a</w:t>
      </w:r>
      <w:r>
        <w:t xml:space="preserve"> Differences from early start were estimated using differences between MMRM model point estimates from LTE and random-coefficient spline model point estimates</w:t>
      </w:r>
    </w:p>
    <w:p w14:paraId="436C397B" w14:textId="77777777" w:rsidR="0008002E" w:rsidRDefault="0008002E" w:rsidP="006C66C7">
      <w:pPr>
        <w:pStyle w:val="TableFooter"/>
        <w:keepNext/>
        <w:keepLines/>
      </w:pPr>
      <w:r w:rsidRPr="003647D3">
        <w:rPr>
          <w:vertAlign w:val="superscript"/>
        </w:rPr>
        <w:t>b</w:t>
      </w:r>
      <w:r>
        <w:t xml:space="preserve"> Models were adjusted to identical baseline CDR-SB levels using the MMRM model and propensity score weighting</w:t>
      </w:r>
    </w:p>
    <w:p w14:paraId="29E5F0B6" w14:textId="77777777" w:rsidR="0008002E" w:rsidRPr="002A2606" w:rsidRDefault="0008002E" w:rsidP="006C66C7">
      <w:pPr>
        <w:pStyle w:val="TableFooter"/>
        <w:keepNext/>
        <w:keepLines/>
      </w:pPr>
      <w:r w:rsidRPr="003647D3">
        <w:rPr>
          <w:vertAlign w:val="superscript"/>
        </w:rPr>
        <w:t>c</w:t>
      </w:r>
      <w:r>
        <w:t xml:space="preserve"> Models were adjusted to identical baseline CDR-SB levels using prespecified MMRM</w:t>
      </w:r>
    </w:p>
    <w:p w14:paraId="75504577" w14:textId="77777777" w:rsidR="0008002E" w:rsidRPr="00082CB2" w:rsidRDefault="0008002E" w:rsidP="00DD02B1">
      <w:pPr>
        <w:pStyle w:val="3-BodyText"/>
        <w:numPr>
          <w:ilvl w:val="1"/>
          <w:numId w:val="23"/>
        </w:numPr>
        <w:spacing w:before="60" w:after="60"/>
        <w:ind w:left="709" w:hanging="709"/>
      </w:pPr>
      <w:r w:rsidRPr="00082CB2">
        <w:t>The PSCR stated that patients who had received placebo in TB-2 experience a slowing of disease progression once they switched to donanemab and that patients who had received donanemab had a -1.2 to -1.6 difference in mean CDR-SB score change compared with the propensity score matched external control arm of untreated patients.</w:t>
      </w:r>
    </w:p>
    <w:p w14:paraId="2385CDC9" w14:textId="77777777" w:rsidR="0008002E" w:rsidRDefault="0008002E" w:rsidP="00DD02B1">
      <w:pPr>
        <w:pStyle w:val="3-BodyText"/>
        <w:numPr>
          <w:ilvl w:val="1"/>
          <w:numId w:val="23"/>
        </w:numPr>
        <w:spacing w:before="60" w:after="60"/>
        <w:ind w:left="709" w:hanging="709"/>
      </w:pPr>
      <w:r w:rsidRPr="00082CB2">
        <w:t xml:space="preserve">The ESCs noted the longer-term data, but also noted that no detail on the statistical approach used to construct the artificial control arm, including the covariates that were adjusted, were provided. </w:t>
      </w:r>
    </w:p>
    <w:p w14:paraId="642F5D95" w14:textId="666AFD87" w:rsidR="00CD3D4C" w:rsidRDefault="00CD3D4C" w:rsidP="00DD02B1">
      <w:pPr>
        <w:pStyle w:val="3-BodyText"/>
        <w:numPr>
          <w:ilvl w:val="1"/>
          <w:numId w:val="23"/>
        </w:numPr>
        <w:spacing w:before="60" w:after="60"/>
        <w:ind w:left="709" w:hanging="709"/>
      </w:pPr>
      <w:r>
        <w:t xml:space="preserve">The pre-PBAC response </w:t>
      </w:r>
      <w:r w:rsidR="00394F69">
        <w:t>presented graphs comparing individual patie</w:t>
      </w:r>
      <w:r w:rsidR="008C5B92">
        <w:t>nt</w:t>
      </w:r>
      <w:r w:rsidR="00394F69">
        <w:t xml:space="preserve"> responses for amyloid clearance</w:t>
      </w:r>
      <w:r w:rsidR="008C5B92">
        <w:t xml:space="preserve"> alongside clinical outcomes (iADRS and CDR-SB) – see </w:t>
      </w:r>
      <w:r w:rsidR="000B11AF">
        <w:rPr>
          <w:highlight w:val="yellow"/>
        </w:rPr>
        <w:fldChar w:fldCharType="begin"/>
      </w:r>
      <w:r w:rsidR="000B11AF">
        <w:instrText xml:space="preserve"> REF _Ref204780668 \h </w:instrText>
      </w:r>
      <w:r w:rsidR="000B11AF">
        <w:rPr>
          <w:highlight w:val="yellow"/>
        </w:rPr>
      </w:r>
      <w:r w:rsidR="000B11AF">
        <w:rPr>
          <w:highlight w:val="yellow"/>
        </w:rPr>
        <w:fldChar w:fldCharType="separate"/>
      </w:r>
      <w:r w:rsidR="00392423">
        <w:t xml:space="preserve">Figure </w:t>
      </w:r>
      <w:r w:rsidR="00392423">
        <w:rPr>
          <w:noProof/>
        </w:rPr>
        <w:t>12</w:t>
      </w:r>
      <w:r w:rsidR="000B11AF">
        <w:rPr>
          <w:highlight w:val="yellow"/>
        </w:rPr>
        <w:fldChar w:fldCharType="end"/>
      </w:r>
    </w:p>
    <w:p w14:paraId="1F4FBA1B" w14:textId="0C8B34ED" w:rsidR="00A274DE" w:rsidRDefault="000B11AF" w:rsidP="000B11AF">
      <w:pPr>
        <w:pStyle w:val="Caption"/>
      </w:pPr>
      <w:bookmarkStart w:id="32" w:name="_Ref204780668"/>
      <w:r>
        <w:t xml:space="preserve">Figure </w:t>
      </w:r>
      <w:r>
        <w:fldChar w:fldCharType="begin"/>
      </w:r>
      <w:r>
        <w:instrText xml:space="preserve"> SEQ Figure \* ARABIC </w:instrText>
      </w:r>
      <w:r>
        <w:fldChar w:fldCharType="separate"/>
      </w:r>
      <w:r w:rsidR="00392423">
        <w:rPr>
          <w:noProof/>
        </w:rPr>
        <w:t>12</w:t>
      </w:r>
      <w:r>
        <w:fldChar w:fldCharType="end"/>
      </w:r>
      <w:bookmarkEnd w:id="32"/>
      <w:r w:rsidR="00A274DE">
        <w:t xml:space="preserve">: LS mean change in iADRS (Left) and CDR-SB (Right) </w:t>
      </w:r>
      <w:r w:rsidR="003A4546">
        <w:t>correlation with amyloid value (centaloids)</w:t>
      </w:r>
    </w:p>
    <w:p w14:paraId="42764F12" w14:textId="6EAD216B" w:rsidR="00A274DE" w:rsidRDefault="00A274DE" w:rsidP="00A274DE">
      <w:pPr>
        <w:pStyle w:val="3-BodyText"/>
        <w:numPr>
          <w:ilvl w:val="0"/>
          <w:numId w:val="0"/>
        </w:numPr>
        <w:spacing w:before="60" w:after="60"/>
      </w:pPr>
      <w:r w:rsidRPr="009A4741">
        <w:rPr>
          <w:noProof/>
        </w:rPr>
        <w:drawing>
          <wp:inline distT="0" distB="0" distL="0" distR="0" wp14:anchorId="02E7FC43" wp14:editId="5A1D7E34">
            <wp:extent cx="5467350" cy="1799695"/>
            <wp:effectExtent l="0" t="0" r="0" b="0"/>
            <wp:docPr id="2107284614" name="Picture 7" descr="Figure 12: LS mean change in iADRS (Left) and CDR-SB (Right) correlation with amyloid value (centalo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84614" name="Picture 7" descr="Figure 12: LS mean change in iADRS (Left) and CDR-SB (Right) correlation with amyloid value (centaloid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2165" cy="1801280"/>
                    </a:xfrm>
                    <a:prstGeom prst="rect">
                      <a:avLst/>
                    </a:prstGeom>
                    <a:noFill/>
                    <a:ln>
                      <a:noFill/>
                    </a:ln>
                  </pic:spPr>
                </pic:pic>
              </a:graphicData>
            </a:graphic>
          </wp:inline>
        </w:drawing>
      </w:r>
    </w:p>
    <w:p w14:paraId="196D3243" w14:textId="459A8B5A" w:rsidR="003A4546" w:rsidRDefault="003A4546" w:rsidP="004C50F4">
      <w:pPr>
        <w:pStyle w:val="TableFooter"/>
      </w:pPr>
      <w:r>
        <w:t>Source: Figure 1, p1 of the pre-PBAC response</w:t>
      </w:r>
    </w:p>
    <w:p w14:paraId="6D73BA2D" w14:textId="336A5A76" w:rsidR="003A4546" w:rsidRDefault="004C50F4" w:rsidP="004C50F4">
      <w:pPr>
        <w:pStyle w:val="TableFooter"/>
      </w:pPr>
      <w:r w:rsidRPr="009A4741">
        <w:t xml:space="preserve">CDR-SB: Clinical Dementia Rating Scale-Sum of Boxes; iADRS: </w:t>
      </w:r>
      <w:r w:rsidR="00F4444C">
        <w:t>I</w:t>
      </w:r>
      <w:r w:rsidRPr="009A4741">
        <w:t xml:space="preserve">ntegrated Alzheimer’s </w:t>
      </w:r>
      <w:r w:rsidR="00F4444C">
        <w:t>D</w:t>
      </w:r>
      <w:r w:rsidRPr="009A4741">
        <w:t xml:space="preserve">isease </w:t>
      </w:r>
      <w:r w:rsidR="00F4444C">
        <w:t>R</w:t>
      </w:r>
      <w:r w:rsidRPr="009A4741">
        <w:t xml:space="preserve">ating </w:t>
      </w:r>
      <w:r w:rsidR="00F4444C">
        <w:t>S</w:t>
      </w:r>
      <w:r w:rsidRPr="009A4741">
        <w:t>cale; LS: least-square.</w:t>
      </w:r>
    </w:p>
    <w:p w14:paraId="2CE7EB15" w14:textId="380A5837" w:rsidR="00A274DE" w:rsidRPr="00082CB2" w:rsidRDefault="00EB7BAD" w:rsidP="00DD02B1">
      <w:pPr>
        <w:pStyle w:val="3-BodyText"/>
        <w:numPr>
          <w:ilvl w:val="1"/>
          <w:numId w:val="23"/>
        </w:numPr>
        <w:spacing w:before="60" w:after="60"/>
        <w:ind w:left="709" w:hanging="709"/>
      </w:pPr>
      <w:r>
        <w:lastRenderedPageBreak/>
        <w:t>The pre-PBAC response stated that the analysis from the TB-2 trial</w:t>
      </w:r>
      <w:r w:rsidR="00870EF9">
        <w:t xml:space="preserve"> demonstrated a strong correlation between lower amyloid levels and improved outcomes on both the iADRS and CDR-SB scales</w:t>
      </w:r>
      <w:r w:rsidR="00D22514">
        <w:t>.</w:t>
      </w:r>
    </w:p>
    <w:p w14:paraId="5F344CB1" w14:textId="77777777" w:rsidR="0008002E" w:rsidRPr="00DD14C0" w:rsidRDefault="0008002E" w:rsidP="0008002E">
      <w:pPr>
        <w:rPr>
          <w:b/>
          <w:bCs/>
        </w:rPr>
      </w:pPr>
      <w:r w:rsidRPr="00DD14C0">
        <w:rPr>
          <w:b/>
          <w:bCs/>
        </w:rPr>
        <w:t>Subgroup analyses: proposed TGA population</w:t>
      </w:r>
    </w:p>
    <w:p w14:paraId="746F16BD" w14:textId="77777777" w:rsidR="0008002E" w:rsidRPr="006F6126" w:rsidRDefault="0008002E" w:rsidP="00DD02B1">
      <w:pPr>
        <w:pStyle w:val="3-BodyText"/>
        <w:numPr>
          <w:ilvl w:val="1"/>
          <w:numId w:val="23"/>
        </w:numPr>
        <w:spacing w:before="60" w:after="60"/>
        <w:ind w:left="709" w:hanging="709"/>
      </w:pPr>
      <w:r w:rsidRPr="006F6126">
        <w:t>Subgroup analyses were presented in the submission for the proposed TGA population (</w:t>
      </w:r>
      <w:r>
        <w:t xml:space="preserve">i.e. </w:t>
      </w:r>
      <w:r w:rsidRPr="006F6126">
        <w:t xml:space="preserve">excludes patients who are </w:t>
      </w:r>
      <w:r w:rsidRPr="00936239">
        <w:rPr>
          <w:i/>
          <w:iCs/>
        </w:rPr>
        <w:t>APOE4</w:t>
      </w:r>
      <w:r w:rsidRPr="006F6126">
        <w:t xml:space="preserve"> homozygotes and those with superficial siderosis and the presence of more than 2 microhaemorrhages). 1,395 patients of the overall population (N=1,736) in TB-2 met the eligibility criteria for the proposed TGA subgroup analysis. This subgroup makes up 80% of the overall population and the results for the majority of the efficacy outcomes were reasonably comparable to those of the overall patient population. Efficacy analyses of the complement subgroup were not presented in the submission.</w:t>
      </w:r>
    </w:p>
    <w:p w14:paraId="64C834D6" w14:textId="5F8892AF" w:rsidR="0008002E" w:rsidRPr="00EE0EEB" w:rsidRDefault="0008002E" w:rsidP="00DD02B1">
      <w:pPr>
        <w:pStyle w:val="3-BodyText"/>
        <w:numPr>
          <w:ilvl w:val="1"/>
          <w:numId w:val="23"/>
        </w:numPr>
        <w:spacing w:before="60" w:after="60"/>
        <w:ind w:left="709" w:hanging="709"/>
      </w:pPr>
      <w:r w:rsidRPr="00EE0EEB">
        <w:t xml:space="preserve">Results for the primary outcome of iADRS change from baseline for the two treatment arms are summarised in </w:t>
      </w:r>
      <w:r w:rsidR="008D38DA">
        <w:fldChar w:fldCharType="begin"/>
      </w:r>
      <w:r w:rsidR="008D38DA">
        <w:instrText xml:space="preserve"> REF _Ref204779999 \h </w:instrText>
      </w:r>
      <w:r w:rsidR="008D38DA">
        <w:fldChar w:fldCharType="separate"/>
      </w:r>
      <w:r w:rsidR="00392423">
        <w:t xml:space="preserve">Table </w:t>
      </w:r>
      <w:r w:rsidR="00392423">
        <w:rPr>
          <w:noProof/>
        </w:rPr>
        <w:t>12</w:t>
      </w:r>
      <w:r w:rsidR="008D38DA">
        <w:fldChar w:fldCharType="end"/>
      </w:r>
      <w:r w:rsidRPr="00EE0EEB">
        <w:t xml:space="preserve"> and depicted in </w:t>
      </w:r>
      <w:r w:rsidR="000B11AF">
        <w:fldChar w:fldCharType="begin"/>
      </w:r>
      <w:r w:rsidR="000B11AF">
        <w:instrText xml:space="preserve"> REF _Ref204780692 \h </w:instrText>
      </w:r>
      <w:r w:rsidR="000B11AF">
        <w:fldChar w:fldCharType="separate"/>
      </w:r>
      <w:r w:rsidR="00392423">
        <w:t xml:space="preserve">Figure </w:t>
      </w:r>
      <w:r w:rsidR="00392423">
        <w:rPr>
          <w:noProof/>
        </w:rPr>
        <w:t>13</w:t>
      </w:r>
      <w:r w:rsidR="000B11AF">
        <w:fldChar w:fldCharType="end"/>
      </w:r>
      <w:r w:rsidRPr="00EE0EEB">
        <w:t>.</w:t>
      </w:r>
    </w:p>
    <w:p w14:paraId="6F9FF066" w14:textId="20CACFC0" w:rsidR="0008002E" w:rsidRPr="00EE0EEB" w:rsidRDefault="008D38DA" w:rsidP="008D38DA">
      <w:pPr>
        <w:pStyle w:val="Caption"/>
      </w:pPr>
      <w:bookmarkStart w:id="33" w:name="_Ref204779999"/>
      <w:r>
        <w:t xml:space="preserve">Table </w:t>
      </w:r>
      <w:r>
        <w:fldChar w:fldCharType="begin"/>
      </w:r>
      <w:r>
        <w:instrText xml:space="preserve"> SEQ Table \* ARABIC </w:instrText>
      </w:r>
      <w:r>
        <w:fldChar w:fldCharType="separate"/>
      </w:r>
      <w:r w:rsidR="00392423">
        <w:rPr>
          <w:noProof/>
        </w:rPr>
        <w:t>12</w:t>
      </w:r>
      <w:r>
        <w:fldChar w:fldCharType="end"/>
      </w:r>
      <w:bookmarkEnd w:id="33"/>
      <w:r w:rsidR="000A0F04">
        <w:t xml:space="preserve">: </w:t>
      </w:r>
      <w:r w:rsidR="0008002E" w:rsidRPr="5EEE9212">
        <w:t>TB-2: Results of the primary outcome of change from baseline in iADRS – Proposed TGA population in TB-2 (EES)</w:t>
      </w:r>
    </w:p>
    <w:tbl>
      <w:tblPr>
        <w:tblStyle w:val="HTATableshaded"/>
        <w:tblW w:w="5000" w:type="pct"/>
        <w:tblLook w:val="04A0" w:firstRow="1" w:lastRow="0" w:firstColumn="1" w:lastColumn="0" w:noHBand="0" w:noVBand="1"/>
        <w:tblCaption w:val="Table 12: TB-2: Results of the primary outcome of change from baseline in iADRS – Proposed TGA population in TB-2 (EES)"/>
      </w:tblPr>
      <w:tblGrid>
        <w:gridCol w:w="956"/>
        <w:gridCol w:w="1363"/>
        <w:gridCol w:w="1385"/>
        <w:gridCol w:w="2625"/>
        <w:gridCol w:w="2687"/>
      </w:tblGrid>
      <w:tr w:rsidR="0008002E" w:rsidRPr="00EE0EEB" w14:paraId="7CD1DC3F" w14:textId="77777777" w:rsidTr="003B5142">
        <w:trPr>
          <w:cnfStyle w:val="100000000000" w:firstRow="1" w:lastRow="0" w:firstColumn="0" w:lastColumn="0" w:oddVBand="0" w:evenVBand="0" w:oddHBand="0" w:evenHBand="0" w:firstRowFirstColumn="0" w:firstRowLastColumn="0" w:lastRowFirstColumn="0" w:lastRowLastColumn="0"/>
          <w:cantSplit/>
          <w:trHeight w:val="283"/>
        </w:trPr>
        <w:tc>
          <w:tcPr>
            <w:tcW w:w="530" w:type="pct"/>
          </w:tcPr>
          <w:p w14:paraId="65D66027" w14:textId="77777777" w:rsidR="0008002E" w:rsidRPr="00EE0EEB" w:rsidRDefault="0008002E" w:rsidP="00E81465">
            <w:pPr>
              <w:pStyle w:val="TableText"/>
              <w:keepNext/>
              <w:rPr>
                <w:b/>
                <w:bCs/>
              </w:rPr>
            </w:pPr>
          </w:p>
        </w:tc>
        <w:tc>
          <w:tcPr>
            <w:tcW w:w="756" w:type="pct"/>
          </w:tcPr>
          <w:p w14:paraId="6C33B5F8" w14:textId="77777777" w:rsidR="0008002E" w:rsidRPr="00EE0EEB" w:rsidRDefault="0008002E" w:rsidP="00E81465">
            <w:pPr>
              <w:pStyle w:val="TableText"/>
              <w:keepNext/>
              <w:rPr>
                <w:b/>
                <w:bCs/>
              </w:rPr>
            </w:pPr>
            <w:r w:rsidRPr="00EE0EEB">
              <w:rPr>
                <w:b/>
              </w:rPr>
              <w:t>Donanemab</w:t>
            </w:r>
          </w:p>
          <w:p w14:paraId="16D8EA53" w14:textId="77777777" w:rsidR="0008002E" w:rsidRPr="00EE0EEB" w:rsidRDefault="0008002E" w:rsidP="00E81465">
            <w:pPr>
              <w:pStyle w:val="TableText"/>
              <w:keepNext/>
              <w:rPr>
                <w:b/>
                <w:bCs/>
              </w:rPr>
            </w:pPr>
            <w:r w:rsidRPr="00EE0EEB">
              <w:rPr>
                <w:b/>
              </w:rPr>
              <w:t>Mean change from baseline (SE)</w:t>
            </w:r>
          </w:p>
        </w:tc>
        <w:tc>
          <w:tcPr>
            <w:tcW w:w="768" w:type="pct"/>
          </w:tcPr>
          <w:p w14:paraId="1AA2361D" w14:textId="77777777" w:rsidR="0008002E" w:rsidRPr="00EE0EEB" w:rsidRDefault="0008002E" w:rsidP="00E81465">
            <w:pPr>
              <w:pStyle w:val="TableText"/>
              <w:keepNext/>
              <w:rPr>
                <w:b/>
                <w:bCs/>
              </w:rPr>
            </w:pPr>
            <w:r w:rsidRPr="00EE0EEB">
              <w:rPr>
                <w:b/>
              </w:rPr>
              <w:t>Placebo</w:t>
            </w:r>
          </w:p>
          <w:p w14:paraId="5C02C6B5" w14:textId="77777777" w:rsidR="0008002E" w:rsidRPr="00EE0EEB" w:rsidRDefault="0008002E" w:rsidP="00E81465">
            <w:pPr>
              <w:pStyle w:val="TableText"/>
              <w:keepNext/>
              <w:rPr>
                <w:b/>
                <w:bCs/>
              </w:rPr>
            </w:pPr>
            <w:r w:rsidRPr="00EE0EEB">
              <w:rPr>
                <w:b/>
              </w:rPr>
              <w:t>Mean change from baseline (SE)</w:t>
            </w:r>
          </w:p>
        </w:tc>
        <w:tc>
          <w:tcPr>
            <w:tcW w:w="1456" w:type="pct"/>
          </w:tcPr>
          <w:p w14:paraId="718DF53A" w14:textId="77777777" w:rsidR="0008002E" w:rsidRPr="00EE0EEB" w:rsidRDefault="0008002E" w:rsidP="00E81465">
            <w:pPr>
              <w:pStyle w:val="TableText"/>
              <w:keepNext/>
              <w:rPr>
                <w:b/>
                <w:bCs/>
              </w:rPr>
            </w:pPr>
            <w:r w:rsidRPr="00EE0EEB">
              <w:rPr>
                <w:b/>
              </w:rPr>
              <w:t>Adjusted mean difference</w:t>
            </w:r>
          </w:p>
          <w:p w14:paraId="6E05AC5A" w14:textId="77777777" w:rsidR="0008002E" w:rsidRPr="00EE0EEB" w:rsidRDefault="0008002E" w:rsidP="00E81465">
            <w:pPr>
              <w:pStyle w:val="TableText"/>
              <w:keepNext/>
              <w:rPr>
                <w:b/>
                <w:bCs/>
              </w:rPr>
            </w:pPr>
            <w:r w:rsidRPr="00EE0EEB">
              <w:rPr>
                <w:b/>
              </w:rPr>
              <w:t>Donanemab minus Placebo</w:t>
            </w:r>
          </w:p>
          <w:p w14:paraId="6AB1E351" w14:textId="77777777" w:rsidR="0008002E" w:rsidRPr="00EE0EEB" w:rsidRDefault="0008002E" w:rsidP="00E81465">
            <w:pPr>
              <w:pStyle w:val="TableText"/>
              <w:keepNext/>
              <w:rPr>
                <w:b/>
                <w:bCs/>
              </w:rPr>
            </w:pPr>
            <w:r w:rsidRPr="00EE0EEB">
              <w:rPr>
                <w:b/>
              </w:rPr>
              <w:t>(95% CI)</w:t>
            </w:r>
          </w:p>
          <w:p w14:paraId="456A868C" w14:textId="77777777" w:rsidR="0008002E" w:rsidRPr="00EE0EEB" w:rsidRDefault="0008002E" w:rsidP="00E81465">
            <w:pPr>
              <w:pStyle w:val="TableText"/>
              <w:keepNext/>
              <w:rPr>
                <w:b/>
                <w:bCs/>
              </w:rPr>
            </w:pPr>
            <w:r w:rsidRPr="00EE0EEB">
              <w:rPr>
                <w:b/>
              </w:rPr>
              <w:t>p-value</w:t>
            </w:r>
          </w:p>
        </w:tc>
        <w:tc>
          <w:tcPr>
            <w:tcW w:w="1490" w:type="pct"/>
          </w:tcPr>
          <w:p w14:paraId="22B886D2" w14:textId="77777777" w:rsidR="0008002E" w:rsidRPr="00EE0EEB" w:rsidRDefault="0008002E" w:rsidP="00E81465">
            <w:pPr>
              <w:pStyle w:val="TableText"/>
              <w:keepNext/>
              <w:rPr>
                <w:b/>
                <w:bCs/>
              </w:rPr>
            </w:pPr>
            <w:r w:rsidRPr="00EE0EEB">
              <w:rPr>
                <w:b/>
              </w:rPr>
              <w:t>% difference</w:t>
            </w:r>
          </w:p>
          <w:p w14:paraId="1C18F797" w14:textId="77777777" w:rsidR="0008002E" w:rsidRPr="00EE0EEB" w:rsidRDefault="0008002E" w:rsidP="00E81465">
            <w:pPr>
              <w:pStyle w:val="TableText"/>
              <w:keepNext/>
              <w:rPr>
                <w:b/>
                <w:bCs/>
              </w:rPr>
            </w:pPr>
            <w:r w:rsidRPr="00EE0EEB">
              <w:rPr>
                <w:b/>
              </w:rPr>
              <w:t>Donanemab minus Placebo</w:t>
            </w:r>
          </w:p>
          <w:p w14:paraId="04DF1268" w14:textId="77777777" w:rsidR="0008002E" w:rsidRPr="00EE0EEB" w:rsidRDefault="0008002E" w:rsidP="00E81465">
            <w:pPr>
              <w:pStyle w:val="TableText"/>
              <w:keepNext/>
              <w:rPr>
                <w:b/>
                <w:bCs/>
              </w:rPr>
            </w:pPr>
            <w:r w:rsidRPr="00EE0EEB">
              <w:rPr>
                <w:b/>
              </w:rPr>
              <w:t>(95% CI)</w:t>
            </w:r>
          </w:p>
        </w:tc>
      </w:tr>
      <w:tr w:rsidR="0008002E" w:rsidRPr="00EE0EEB" w14:paraId="1EE2C80A" w14:textId="77777777" w:rsidTr="003B5142">
        <w:trPr>
          <w:cantSplit/>
          <w:trHeight w:val="283"/>
        </w:trPr>
        <w:tc>
          <w:tcPr>
            <w:tcW w:w="530" w:type="pct"/>
          </w:tcPr>
          <w:p w14:paraId="19FB4D22" w14:textId="77777777" w:rsidR="0008002E" w:rsidRPr="00EE0EEB" w:rsidRDefault="0008002E" w:rsidP="00E81465">
            <w:pPr>
              <w:pStyle w:val="TableText"/>
              <w:keepNext/>
            </w:pPr>
            <w:r w:rsidRPr="00EE0EEB">
              <w:t>Week 12</w:t>
            </w:r>
          </w:p>
        </w:tc>
        <w:tc>
          <w:tcPr>
            <w:tcW w:w="756" w:type="pct"/>
            <w:tcBorders>
              <w:right w:val="single" w:sz="4" w:space="0" w:color="auto"/>
            </w:tcBorders>
            <w:vAlign w:val="center"/>
          </w:tcPr>
          <w:p w14:paraId="58CAC8B9" w14:textId="77777777" w:rsidR="0008002E" w:rsidRPr="00EE0EEB" w:rsidRDefault="0008002E" w:rsidP="00E81465">
            <w:pPr>
              <w:pStyle w:val="TableText"/>
              <w:keepNext/>
              <w:jc w:val="center"/>
            </w:pPr>
            <w:r w:rsidRPr="00EE0EEB">
              <w:t>n=615</w:t>
            </w:r>
          </w:p>
          <w:p w14:paraId="768343F6" w14:textId="77777777" w:rsidR="0008002E" w:rsidRPr="00EE0EEB" w:rsidRDefault="0008002E" w:rsidP="00E81465">
            <w:pPr>
              <w:pStyle w:val="TableText"/>
              <w:keepNext/>
              <w:jc w:val="center"/>
            </w:pPr>
            <w:r w:rsidRPr="00EE0EEB">
              <w:t>-0.80 (0.13)</w:t>
            </w:r>
          </w:p>
        </w:tc>
        <w:tc>
          <w:tcPr>
            <w:tcW w:w="768" w:type="pct"/>
            <w:tcBorders>
              <w:left w:val="single" w:sz="4" w:space="0" w:color="auto"/>
            </w:tcBorders>
            <w:vAlign w:val="center"/>
          </w:tcPr>
          <w:p w14:paraId="24D31DA5" w14:textId="77777777" w:rsidR="0008002E" w:rsidRPr="00EE0EEB" w:rsidRDefault="0008002E" w:rsidP="00E81465">
            <w:pPr>
              <w:pStyle w:val="TableText"/>
              <w:keepNext/>
              <w:jc w:val="center"/>
            </w:pPr>
            <w:r w:rsidRPr="00EE0EEB">
              <w:t>n=636</w:t>
            </w:r>
          </w:p>
          <w:p w14:paraId="5224FE5C" w14:textId="77777777" w:rsidR="0008002E" w:rsidRPr="00EE0EEB" w:rsidRDefault="0008002E" w:rsidP="00E81465">
            <w:pPr>
              <w:pStyle w:val="TableText"/>
              <w:keepNext/>
              <w:jc w:val="center"/>
            </w:pPr>
            <w:r w:rsidRPr="00EE0EEB">
              <w:t>-1.50 (0.13)</w:t>
            </w:r>
          </w:p>
        </w:tc>
        <w:tc>
          <w:tcPr>
            <w:tcW w:w="1456" w:type="pct"/>
            <w:vAlign w:val="center"/>
          </w:tcPr>
          <w:p w14:paraId="703EEAD5" w14:textId="77777777" w:rsidR="0008002E" w:rsidRPr="00EE0EEB" w:rsidRDefault="0008002E" w:rsidP="00E81465">
            <w:pPr>
              <w:pStyle w:val="TableText"/>
              <w:keepNext/>
              <w:jc w:val="center"/>
            </w:pPr>
            <w:r w:rsidRPr="00EE0EEB">
              <w:t>0.70 (0.35, 1.06)</w:t>
            </w:r>
          </w:p>
          <w:p w14:paraId="38C3DE4C" w14:textId="77777777" w:rsidR="0008002E" w:rsidRPr="00EE0EEB" w:rsidRDefault="0008002E" w:rsidP="00E81465">
            <w:pPr>
              <w:pStyle w:val="TableText"/>
              <w:keepNext/>
              <w:jc w:val="center"/>
            </w:pPr>
            <w:r w:rsidRPr="00EE0EEB">
              <w:t>p&lt;0.001</w:t>
            </w:r>
          </w:p>
        </w:tc>
        <w:tc>
          <w:tcPr>
            <w:tcW w:w="1490" w:type="pct"/>
            <w:vAlign w:val="center"/>
          </w:tcPr>
          <w:p w14:paraId="4D33D942" w14:textId="77777777" w:rsidR="0008002E" w:rsidRPr="00EE0EEB" w:rsidRDefault="0008002E" w:rsidP="00E81465">
            <w:pPr>
              <w:pStyle w:val="TableText"/>
              <w:keepNext/>
              <w:jc w:val="center"/>
            </w:pPr>
            <w:r w:rsidRPr="00EE0EEB">
              <w:t>46.8</w:t>
            </w:r>
          </w:p>
          <w:p w14:paraId="59229609" w14:textId="77777777" w:rsidR="0008002E" w:rsidRPr="00EE0EEB" w:rsidRDefault="0008002E" w:rsidP="00E81465">
            <w:pPr>
              <w:pStyle w:val="TableText"/>
              <w:keepNext/>
              <w:jc w:val="center"/>
            </w:pPr>
            <w:r w:rsidRPr="00EE0EEB">
              <w:t>(21.86, 71.72)</w:t>
            </w:r>
          </w:p>
        </w:tc>
      </w:tr>
      <w:tr w:rsidR="0008002E" w:rsidRPr="00EE0EEB" w14:paraId="03E05448" w14:textId="77777777" w:rsidTr="003B5142">
        <w:trPr>
          <w:cantSplit/>
          <w:trHeight w:val="283"/>
        </w:trPr>
        <w:tc>
          <w:tcPr>
            <w:tcW w:w="530" w:type="pct"/>
          </w:tcPr>
          <w:p w14:paraId="7D20E944" w14:textId="77777777" w:rsidR="0008002E" w:rsidRPr="00EE0EEB" w:rsidRDefault="0008002E" w:rsidP="00E81465">
            <w:pPr>
              <w:pStyle w:val="TableText"/>
              <w:keepNext/>
            </w:pPr>
            <w:r w:rsidRPr="00EE0EEB">
              <w:t>Week 24</w:t>
            </w:r>
          </w:p>
        </w:tc>
        <w:tc>
          <w:tcPr>
            <w:tcW w:w="756" w:type="pct"/>
            <w:vAlign w:val="center"/>
          </w:tcPr>
          <w:p w14:paraId="72A1DA66" w14:textId="77777777" w:rsidR="0008002E" w:rsidRPr="00EE0EEB" w:rsidRDefault="0008002E" w:rsidP="00E81465">
            <w:pPr>
              <w:pStyle w:val="TableText"/>
              <w:keepNext/>
              <w:jc w:val="center"/>
            </w:pPr>
            <w:r w:rsidRPr="00EE0EEB">
              <w:t>n=583</w:t>
            </w:r>
          </w:p>
          <w:p w14:paraId="46446F45" w14:textId="77777777" w:rsidR="0008002E" w:rsidRPr="00EE0EEB" w:rsidRDefault="0008002E" w:rsidP="00E81465">
            <w:pPr>
              <w:pStyle w:val="TableText"/>
              <w:keepNext/>
              <w:jc w:val="center"/>
            </w:pPr>
            <w:r w:rsidRPr="00EE0EEB">
              <w:t>-1.60 (0.26)</w:t>
            </w:r>
          </w:p>
        </w:tc>
        <w:tc>
          <w:tcPr>
            <w:tcW w:w="768" w:type="pct"/>
            <w:vAlign w:val="center"/>
          </w:tcPr>
          <w:p w14:paraId="4A6D796A" w14:textId="77777777" w:rsidR="0008002E" w:rsidRPr="00EE0EEB" w:rsidRDefault="0008002E" w:rsidP="00E81465">
            <w:pPr>
              <w:pStyle w:val="TableText"/>
              <w:keepNext/>
              <w:jc w:val="center"/>
            </w:pPr>
            <w:r w:rsidRPr="00EE0EEB">
              <w:t>n=605</w:t>
            </w:r>
          </w:p>
          <w:p w14:paraId="64D7BF0F" w14:textId="77777777" w:rsidR="0008002E" w:rsidRPr="00EE0EEB" w:rsidRDefault="0008002E" w:rsidP="00E81465">
            <w:pPr>
              <w:pStyle w:val="TableText"/>
              <w:keepNext/>
              <w:jc w:val="center"/>
            </w:pPr>
            <w:r w:rsidRPr="00EE0EEB">
              <w:t>-3.00 (0.25)</w:t>
            </w:r>
          </w:p>
        </w:tc>
        <w:tc>
          <w:tcPr>
            <w:tcW w:w="1456" w:type="pct"/>
            <w:vAlign w:val="center"/>
          </w:tcPr>
          <w:p w14:paraId="43C97D56" w14:textId="77777777" w:rsidR="0008002E" w:rsidRPr="00EE0EEB" w:rsidRDefault="0008002E" w:rsidP="00E81465">
            <w:pPr>
              <w:pStyle w:val="TableText"/>
              <w:keepNext/>
              <w:jc w:val="center"/>
            </w:pPr>
            <w:r w:rsidRPr="00EE0EEB">
              <w:t>1.4 (0.69, 2.11)</w:t>
            </w:r>
          </w:p>
          <w:p w14:paraId="23DA32BF" w14:textId="77777777" w:rsidR="0008002E" w:rsidRPr="00EE0EEB" w:rsidRDefault="0008002E" w:rsidP="00E81465">
            <w:pPr>
              <w:pStyle w:val="TableText"/>
              <w:keepNext/>
              <w:jc w:val="center"/>
            </w:pPr>
            <w:r w:rsidRPr="00EE0EEB">
              <w:t>p&lt;0.001</w:t>
            </w:r>
          </w:p>
        </w:tc>
        <w:tc>
          <w:tcPr>
            <w:tcW w:w="1490" w:type="pct"/>
            <w:vAlign w:val="center"/>
          </w:tcPr>
          <w:p w14:paraId="04D98F73" w14:textId="77777777" w:rsidR="0008002E" w:rsidRPr="00EE0EEB" w:rsidRDefault="0008002E" w:rsidP="00E81465">
            <w:pPr>
              <w:pStyle w:val="TableText"/>
              <w:keepNext/>
              <w:jc w:val="center"/>
            </w:pPr>
            <w:r w:rsidRPr="00EE0EEB">
              <w:t>46.6</w:t>
            </w:r>
          </w:p>
          <w:p w14:paraId="2960DBE3" w14:textId="77777777" w:rsidR="0008002E" w:rsidRPr="00EE0EEB" w:rsidRDefault="0008002E" w:rsidP="00E81465">
            <w:pPr>
              <w:pStyle w:val="TableText"/>
              <w:keepNext/>
              <w:jc w:val="center"/>
            </w:pPr>
            <w:r w:rsidRPr="00EE0EEB">
              <w:t>(21.83, 71.44)</w:t>
            </w:r>
          </w:p>
        </w:tc>
      </w:tr>
      <w:tr w:rsidR="0008002E" w:rsidRPr="00EE0EEB" w14:paraId="7EC309C6" w14:textId="77777777" w:rsidTr="003B5142">
        <w:trPr>
          <w:cantSplit/>
          <w:trHeight w:val="283"/>
        </w:trPr>
        <w:tc>
          <w:tcPr>
            <w:tcW w:w="530" w:type="pct"/>
          </w:tcPr>
          <w:p w14:paraId="500E0634" w14:textId="77777777" w:rsidR="0008002E" w:rsidRPr="00EE0EEB" w:rsidRDefault="0008002E" w:rsidP="00E81465">
            <w:pPr>
              <w:pStyle w:val="TableText"/>
              <w:keepNext/>
            </w:pPr>
            <w:r w:rsidRPr="00EE0EEB">
              <w:t>Week 36</w:t>
            </w:r>
          </w:p>
        </w:tc>
        <w:tc>
          <w:tcPr>
            <w:tcW w:w="756" w:type="pct"/>
            <w:vAlign w:val="center"/>
          </w:tcPr>
          <w:p w14:paraId="4510CDA2" w14:textId="77777777" w:rsidR="0008002E" w:rsidRPr="00EE0EEB" w:rsidRDefault="0008002E" w:rsidP="00E81465">
            <w:pPr>
              <w:pStyle w:val="TableText"/>
              <w:keepNext/>
              <w:jc w:val="center"/>
            </w:pPr>
            <w:r w:rsidRPr="00EE0EEB">
              <w:t>n=541</w:t>
            </w:r>
          </w:p>
          <w:p w14:paraId="30ADAA67" w14:textId="77777777" w:rsidR="0008002E" w:rsidRPr="00EE0EEB" w:rsidRDefault="0008002E" w:rsidP="00E81465">
            <w:pPr>
              <w:pStyle w:val="TableText"/>
              <w:keepNext/>
              <w:jc w:val="center"/>
            </w:pPr>
            <w:r w:rsidRPr="00EE0EEB">
              <w:t>-2.71 (0.36)</w:t>
            </w:r>
          </w:p>
        </w:tc>
        <w:tc>
          <w:tcPr>
            <w:tcW w:w="768" w:type="pct"/>
            <w:vAlign w:val="center"/>
          </w:tcPr>
          <w:p w14:paraId="116EF023" w14:textId="77777777" w:rsidR="0008002E" w:rsidRPr="00EE0EEB" w:rsidRDefault="0008002E" w:rsidP="00E81465">
            <w:pPr>
              <w:pStyle w:val="TableText"/>
              <w:keepNext/>
              <w:jc w:val="center"/>
            </w:pPr>
            <w:r w:rsidRPr="00EE0EEB">
              <w:t>n=579</w:t>
            </w:r>
          </w:p>
          <w:p w14:paraId="67FF2376" w14:textId="77777777" w:rsidR="0008002E" w:rsidRPr="00EE0EEB" w:rsidRDefault="0008002E" w:rsidP="00E81465">
            <w:pPr>
              <w:pStyle w:val="TableText"/>
              <w:keepNext/>
              <w:jc w:val="center"/>
            </w:pPr>
            <w:r w:rsidRPr="00EE0EEB">
              <w:t>-4.74 (0.36)</w:t>
            </w:r>
          </w:p>
        </w:tc>
        <w:tc>
          <w:tcPr>
            <w:tcW w:w="1456" w:type="pct"/>
            <w:vAlign w:val="center"/>
          </w:tcPr>
          <w:p w14:paraId="42006146" w14:textId="77777777" w:rsidR="0008002E" w:rsidRPr="00EE0EEB" w:rsidRDefault="0008002E" w:rsidP="00E81465">
            <w:pPr>
              <w:pStyle w:val="TableText"/>
              <w:keepNext/>
              <w:jc w:val="center"/>
            </w:pPr>
            <w:r w:rsidRPr="00EE0EEB">
              <w:t>2.04 (1.04, 3.04)</w:t>
            </w:r>
          </w:p>
          <w:p w14:paraId="23A09A7D" w14:textId="77777777" w:rsidR="0008002E" w:rsidRPr="00EE0EEB" w:rsidRDefault="0008002E" w:rsidP="00E81465">
            <w:pPr>
              <w:pStyle w:val="TableText"/>
              <w:keepNext/>
              <w:jc w:val="center"/>
            </w:pPr>
            <w:r w:rsidRPr="00EE0EEB">
              <w:t>p&lt;0.001</w:t>
            </w:r>
          </w:p>
        </w:tc>
        <w:tc>
          <w:tcPr>
            <w:tcW w:w="1490" w:type="pct"/>
            <w:vAlign w:val="center"/>
          </w:tcPr>
          <w:p w14:paraId="63538201" w14:textId="77777777" w:rsidR="0008002E" w:rsidRPr="00EE0EEB" w:rsidRDefault="0008002E" w:rsidP="00E81465">
            <w:pPr>
              <w:pStyle w:val="TableText"/>
              <w:keepNext/>
              <w:jc w:val="center"/>
            </w:pPr>
            <w:r w:rsidRPr="00EE0EEB">
              <w:t>42.9</w:t>
            </w:r>
          </w:p>
          <w:p w14:paraId="15AF3CFA" w14:textId="77777777" w:rsidR="0008002E" w:rsidRPr="00EE0EEB" w:rsidRDefault="0008002E" w:rsidP="00E81465">
            <w:pPr>
              <w:pStyle w:val="TableText"/>
              <w:keepNext/>
              <w:jc w:val="center"/>
            </w:pPr>
            <w:r w:rsidRPr="00EE0EEB">
              <w:t>(20.99, 64.90)</w:t>
            </w:r>
          </w:p>
        </w:tc>
      </w:tr>
      <w:tr w:rsidR="0008002E" w:rsidRPr="00EE0EEB" w14:paraId="7C64A533" w14:textId="77777777" w:rsidTr="003B5142">
        <w:trPr>
          <w:cantSplit/>
          <w:trHeight w:val="283"/>
        </w:trPr>
        <w:tc>
          <w:tcPr>
            <w:tcW w:w="530" w:type="pct"/>
          </w:tcPr>
          <w:p w14:paraId="1B5AF1A9" w14:textId="77777777" w:rsidR="0008002E" w:rsidRPr="00EE0EEB" w:rsidRDefault="0008002E" w:rsidP="00E81465">
            <w:pPr>
              <w:pStyle w:val="TableText"/>
              <w:keepNext/>
            </w:pPr>
            <w:r w:rsidRPr="00EE0EEB">
              <w:t>Week 52</w:t>
            </w:r>
          </w:p>
        </w:tc>
        <w:tc>
          <w:tcPr>
            <w:tcW w:w="756" w:type="pct"/>
            <w:vAlign w:val="center"/>
          </w:tcPr>
          <w:p w14:paraId="0AF59646" w14:textId="77777777" w:rsidR="0008002E" w:rsidRPr="00EE0EEB" w:rsidRDefault="0008002E" w:rsidP="00E81465">
            <w:pPr>
              <w:pStyle w:val="TableText"/>
              <w:keepNext/>
              <w:jc w:val="center"/>
            </w:pPr>
            <w:r w:rsidRPr="00EE0EEB">
              <w:t>n=525</w:t>
            </w:r>
          </w:p>
          <w:p w14:paraId="0A929F8C" w14:textId="77777777" w:rsidR="0008002E" w:rsidRPr="00EE0EEB" w:rsidRDefault="0008002E" w:rsidP="00E81465">
            <w:pPr>
              <w:pStyle w:val="TableText"/>
              <w:keepNext/>
              <w:jc w:val="center"/>
            </w:pPr>
            <w:r w:rsidRPr="00EE0EEB">
              <w:t>-5.41 (0.43)</w:t>
            </w:r>
          </w:p>
        </w:tc>
        <w:tc>
          <w:tcPr>
            <w:tcW w:w="768" w:type="pct"/>
            <w:vAlign w:val="center"/>
          </w:tcPr>
          <w:p w14:paraId="35FF8677" w14:textId="77777777" w:rsidR="0008002E" w:rsidRPr="00EE0EEB" w:rsidRDefault="0008002E" w:rsidP="00E81465">
            <w:pPr>
              <w:pStyle w:val="TableText"/>
              <w:keepNext/>
              <w:jc w:val="center"/>
            </w:pPr>
            <w:r w:rsidRPr="00EE0EEB">
              <w:t>n=545</w:t>
            </w:r>
          </w:p>
          <w:p w14:paraId="26D65D72" w14:textId="77777777" w:rsidR="0008002E" w:rsidRPr="00EE0EEB" w:rsidRDefault="0008002E" w:rsidP="00E81465">
            <w:pPr>
              <w:pStyle w:val="TableText"/>
              <w:keepNext/>
              <w:jc w:val="center"/>
            </w:pPr>
            <w:r w:rsidRPr="00EE0EEB">
              <w:t>-8.04 (0.42)</w:t>
            </w:r>
          </w:p>
        </w:tc>
        <w:tc>
          <w:tcPr>
            <w:tcW w:w="1456" w:type="pct"/>
            <w:vAlign w:val="center"/>
          </w:tcPr>
          <w:p w14:paraId="08CBAC91" w14:textId="77777777" w:rsidR="0008002E" w:rsidRPr="00EE0EEB" w:rsidRDefault="0008002E" w:rsidP="00E81465">
            <w:pPr>
              <w:pStyle w:val="TableText"/>
              <w:keepNext/>
              <w:jc w:val="center"/>
            </w:pPr>
            <w:r w:rsidRPr="00EE0EEB">
              <w:t>2.63 (1.44, 3.82)</w:t>
            </w:r>
          </w:p>
          <w:p w14:paraId="08A7FB77" w14:textId="77777777" w:rsidR="0008002E" w:rsidRPr="00EE0EEB" w:rsidRDefault="0008002E" w:rsidP="00E81465">
            <w:pPr>
              <w:pStyle w:val="TableText"/>
              <w:keepNext/>
              <w:jc w:val="center"/>
            </w:pPr>
            <w:r w:rsidRPr="00EE0EEB">
              <w:t>p&lt;0.001</w:t>
            </w:r>
          </w:p>
        </w:tc>
        <w:tc>
          <w:tcPr>
            <w:tcW w:w="1490" w:type="pct"/>
            <w:vAlign w:val="center"/>
          </w:tcPr>
          <w:p w14:paraId="2F66ADF8" w14:textId="77777777" w:rsidR="0008002E" w:rsidRPr="00EE0EEB" w:rsidRDefault="0008002E" w:rsidP="00E81465">
            <w:pPr>
              <w:pStyle w:val="TableText"/>
              <w:keepNext/>
              <w:jc w:val="center"/>
            </w:pPr>
            <w:r w:rsidRPr="00EE0EEB">
              <w:t>32.7</w:t>
            </w:r>
          </w:p>
          <w:p w14:paraId="112CBD3E" w14:textId="77777777" w:rsidR="0008002E" w:rsidRPr="00EE0EEB" w:rsidRDefault="0008002E" w:rsidP="00E81465">
            <w:pPr>
              <w:pStyle w:val="TableText"/>
              <w:keepNext/>
              <w:jc w:val="center"/>
            </w:pPr>
            <w:r w:rsidRPr="00EE0EEB">
              <w:t>(17.58, 47.87)</w:t>
            </w:r>
          </w:p>
        </w:tc>
      </w:tr>
      <w:tr w:rsidR="0008002E" w:rsidRPr="00EE0EEB" w14:paraId="185A3D4A" w14:textId="77777777" w:rsidTr="003B5142">
        <w:trPr>
          <w:cantSplit/>
          <w:trHeight w:val="283"/>
        </w:trPr>
        <w:tc>
          <w:tcPr>
            <w:tcW w:w="530" w:type="pct"/>
          </w:tcPr>
          <w:p w14:paraId="3C227FC7" w14:textId="77777777" w:rsidR="0008002E" w:rsidRPr="00EE0EEB" w:rsidRDefault="0008002E" w:rsidP="00E81465">
            <w:pPr>
              <w:pStyle w:val="TableText"/>
              <w:keepNext/>
            </w:pPr>
            <w:r w:rsidRPr="00EE0EEB">
              <w:t>Week 64</w:t>
            </w:r>
          </w:p>
        </w:tc>
        <w:tc>
          <w:tcPr>
            <w:tcW w:w="756" w:type="pct"/>
            <w:vAlign w:val="center"/>
          </w:tcPr>
          <w:p w14:paraId="128CBEA7" w14:textId="77777777" w:rsidR="0008002E" w:rsidRPr="00EE0EEB" w:rsidRDefault="0008002E" w:rsidP="00E81465">
            <w:pPr>
              <w:pStyle w:val="TableText"/>
              <w:keepNext/>
              <w:jc w:val="center"/>
            </w:pPr>
            <w:r w:rsidRPr="00EE0EEB">
              <w:t>n=479</w:t>
            </w:r>
          </w:p>
          <w:p w14:paraId="3C7AB97A" w14:textId="77777777" w:rsidR="0008002E" w:rsidRPr="00EE0EEB" w:rsidRDefault="0008002E" w:rsidP="00E81465">
            <w:pPr>
              <w:pStyle w:val="TableText"/>
              <w:keepNext/>
              <w:jc w:val="center"/>
            </w:pPr>
            <w:r w:rsidRPr="00EE0EEB">
              <w:t>-7.86 (0.50)</w:t>
            </w:r>
          </w:p>
        </w:tc>
        <w:tc>
          <w:tcPr>
            <w:tcW w:w="768" w:type="pct"/>
            <w:vAlign w:val="center"/>
          </w:tcPr>
          <w:p w14:paraId="4B2A489F" w14:textId="77777777" w:rsidR="0008002E" w:rsidRPr="00EE0EEB" w:rsidRDefault="0008002E" w:rsidP="00E81465">
            <w:pPr>
              <w:pStyle w:val="TableText"/>
              <w:keepNext/>
              <w:jc w:val="center"/>
            </w:pPr>
            <w:r w:rsidRPr="00EE0EEB">
              <w:t>n=514</w:t>
            </w:r>
          </w:p>
          <w:p w14:paraId="3030EAA8" w14:textId="77777777" w:rsidR="0008002E" w:rsidRPr="00EE0EEB" w:rsidRDefault="0008002E" w:rsidP="00E81465">
            <w:pPr>
              <w:pStyle w:val="TableText"/>
              <w:keepNext/>
              <w:jc w:val="center"/>
            </w:pPr>
            <w:r w:rsidRPr="00EE0EEB">
              <w:t>-10.85 (0.48)</w:t>
            </w:r>
          </w:p>
        </w:tc>
        <w:tc>
          <w:tcPr>
            <w:tcW w:w="1456" w:type="pct"/>
            <w:vAlign w:val="center"/>
          </w:tcPr>
          <w:p w14:paraId="5FA70246" w14:textId="77777777" w:rsidR="0008002E" w:rsidRPr="00EE0EEB" w:rsidRDefault="0008002E" w:rsidP="00E81465">
            <w:pPr>
              <w:pStyle w:val="TableText"/>
              <w:keepNext/>
              <w:jc w:val="center"/>
            </w:pPr>
            <w:r w:rsidRPr="00EE0EEB">
              <w:t>2.99 (1.63, 4.34)</w:t>
            </w:r>
          </w:p>
          <w:p w14:paraId="250F3011" w14:textId="77777777" w:rsidR="0008002E" w:rsidRPr="00EE0EEB" w:rsidRDefault="0008002E" w:rsidP="00E81465">
            <w:pPr>
              <w:pStyle w:val="TableText"/>
              <w:keepNext/>
              <w:jc w:val="center"/>
            </w:pPr>
            <w:r w:rsidRPr="00EE0EEB">
              <w:t>p&lt;0.001</w:t>
            </w:r>
          </w:p>
        </w:tc>
        <w:tc>
          <w:tcPr>
            <w:tcW w:w="1490" w:type="pct"/>
            <w:vAlign w:val="center"/>
          </w:tcPr>
          <w:p w14:paraId="52B3C096" w14:textId="77777777" w:rsidR="0008002E" w:rsidRPr="00EE0EEB" w:rsidRDefault="0008002E" w:rsidP="00E81465">
            <w:pPr>
              <w:pStyle w:val="TableText"/>
              <w:keepNext/>
              <w:jc w:val="center"/>
            </w:pPr>
            <w:r w:rsidRPr="00EE0EEB">
              <w:t>27.5</w:t>
            </w:r>
          </w:p>
          <w:p w14:paraId="54F00E1C" w14:textId="77777777" w:rsidR="0008002E" w:rsidRPr="00EE0EEB" w:rsidRDefault="0008002E" w:rsidP="00E81465">
            <w:pPr>
              <w:pStyle w:val="TableText"/>
              <w:keepNext/>
              <w:jc w:val="center"/>
            </w:pPr>
            <w:r w:rsidRPr="00EE0EEB">
              <w:t>(14.83, 40.21)</w:t>
            </w:r>
          </w:p>
        </w:tc>
      </w:tr>
      <w:tr w:rsidR="0008002E" w:rsidRPr="00EE0EEB" w14:paraId="7EFAF580" w14:textId="77777777" w:rsidTr="003B5142">
        <w:trPr>
          <w:cantSplit/>
          <w:trHeight w:val="283"/>
        </w:trPr>
        <w:tc>
          <w:tcPr>
            <w:tcW w:w="530" w:type="pct"/>
          </w:tcPr>
          <w:p w14:paraId="58EDEFB0" w14:textId="77777777" w:rsidR="0008002E" w:rsidRPr="00EE0EEB" w:rsidRDefault="0008002E" w:rsidP="00E81465">
            <w:pPr>
              <w:pStyle w:val="TableText"/>
              <w:keepNext/>
            </w:pPr>
            <w:r w:rsidRPr="00EE0EEB">
              <w:t>Week 76</w:t>
            </w:r>
          </w:p>
        </w:tc>
        <w:tc>
          <w:tcPr>
            <w:tcW w:w="756" w:type="pct"/>
            <w:vAlign w:val="center"/>
          </w:tcPr>
          <w:p w14:paraId="3B11086E" w14:textId="77777777" w:rsidR="0008002E" w:rsidRPr="00EE0EEB" w:rsidRDefault="0008002E" w:rsidP="00E81465">
            <w:pPr>
              <w:pStyle w:val="TableText"/>
              <w:keepNext/>
              <w:jc w:val="center"/>
            </w:pPr>
            <w:r w:rsidRPr="00EE0EEB">
              <w:t>n=475</w:t>
            </w:r>
          </w:p>
          <w:p w14:paraId="177D4778" w14:textId="77777777" w:rsidR="0008002E" w:rsidRPr="00EE0EEB" w:rsidRDefault="0008002E" w:rsidP="00E81465">
            <w:pPr>
              <w:pStyle w:val="TableText"/>
              <w:keepNext/>
              <w:jc w:val="center"/>
            </w:pPr>
            <w:r w:rsidRPr="00EE0EEB">
              <w:t>-10.33 (0.59)</w:t>
            </w:r>
          </w:p>
        </w:tc>
        <w:tc>
          <w:tcPr>
            <w:tcW w:w="768" w:type="pct"/>
            <w:vAlign w:val="center"/>
          </w:tcPr>
          <w:p w14:paraId="3C2B8276" w14:textId="77777777" w:rsidR="0008002E" w:rsidRPr="00EE0EEB" w:rsidRDefault="0008002E" w:rsidP="00E81465">
            <w:pPr>
              <w:pStyle w:val="TableText"/>
              <w:keepNext/>
              <w:jc w:val="center"/>
            </w:pPr>
            <w:r w:rsidRPr="00EE0EEB">
              <w:t>n=510</w:t>
            </w:r>
          </w:p>
          <w:p w14:paraId="6C38C7B9" w14:textId="77777777" w:rsidR="0008002E" w:rsidRPr="00EE0EEB" w:rsidRDefault="0008002E" w:rsidP="00E81465">
            <w:pPr>
              <w:pStyle w:val="TableText"/>
              <w:keepNext/>
              <w:jc w:val="center"/>
            </w:pPr>
            <w:r w:rsidRPr="00EE0EEB">
              <w:t>-13.67 (0.57)</w:t>
            </w:r>
          </w:p>
        </w:tc>
        <w:tc>
          <w:tcPr>
            <w:tcW w:w="1456" w:type="pct"/>
            <w:vAlign w:val="center"/>
          </w:tcPr>
          <w:p w14:paraId="595302C2" w14:textId="77777777" w:rsidR="0008002E" w:rsidRPr="00EE0EEB" w:rsidRDefault="0008002E" w:rsidP="00E81465">
            <w:pPr>
              <w:pStyle w:val="TableText"/>
              <w:keepNext/>
              <w:jc w:val="center"/>
            </w:pPr>
            <w:r w:rsidRPr="00EE0EEB">
              <w:t>3.34 (1.75, 4.93)</w:t>
            </w:r>
          </w:p>
          <w:p w14:paraId="609DC4BC" w14:textId="77777777" w:rsidR="0008002E" w:rsidRPr="00EE0EEB" w:rsidRDefault="0008002E" w:rsidP="00E81465">
            <w:pPr>
              <w:pStyle w:val="TableText"/>
              <w:keepNext/>
              <w:jc w:val="center"/>
            </w:pPr>
            <w:r w:rsidRPr="00EE0EEB">
              <w:t>p&lt;0.001</w:t>
            </w:r>
          </w:p>
        </w:tc>
        <w:tc>
          <w:tcPr>
            <w:tcW w:w="1490" w:type="pct"/>
            <w:vAlign w:val="center"/>
          </w:tcPr>
          <w:p w14:paraId="1F914E98" w14:textId="77777777" w:rsidR="0008002E" w:rsidRPr="00EE0EEB" w:rsidRDefault="0008002E" w:rsidP="00E81465">
            <w:pPr>
              <w:pStyle w:val="TableText"/>
              <w:keepNext/>
              <w:jc w:val="center"/>
            </w:pPr>
            <w:r w:rsidRPr="00EE0EEB">
              <w:t>24.4</w:t>
            </w:r>
          </w:p>
          <w:p w14:paraId="2480DF15" w14:textId="77777777" w:rsidR="0008002E" w:rsidRPr="00EE0EEB" w:rsidRDefault="0008002E" w:rsidP="00E81465">
            <w:pPr>
              <w:pStyle w:val="TableText"/>
              <w:keepNext/>
              <w:jc w:val="center"/>
            </w:pPr>
            <w:r w:rsidRPr="00EE0EEB">
              <w:t>(12.66, 36.21)</w:t>
            </w:r>
          </w:p>
        </w:tc>
      </w:tr>
    </w:tbl>
    <w:p w14:paraId="7CA93DA3" w14:textId="77777777" w:rsidR="0008002E" w:rsidRPr="00EE0EEB" w:rsidRDefault="0008002E" w:rsidP="0008002E">
      <w:pPr>
        <w:pStyle w:val="TableFooter"/>
      </w:pPr>
      <w:r w:rsidRPr="00EE0EEB">
        <w:t>Source: Attachment 2.21 (Attachment 8) to the submission (TB-2 restricted label population analyses)</w:t>
      </w:r>
    </w:p>
    <w:p w14:paraId="03AE8616" w14:textId="2F2FBC4E" w:rsidR="0008002E" w:rsidRPr="00EE0EEB" w:rsidRDefault="0008002E" w:rsidP="0008002E">
      <w:pPr>
        <w:pStyle w:val="TableFooter"/>
      </w:pPr>
      <w:r w:rsidRPr="00EE0EEB">
        <w:t>CI=confidence interval; EES=Evaluable Efficacy Set; iADRS=Integrated Alzheimer</w:t>
      </w:r>
      <w:r w:rsidR="00F4444C">
        <w:t>’s</w:t>
      </w:r>
      <w:r w:rsidRPr="00EE0EEB">
        <w:t xml:space="preserve"> Disease Rating Scale; SE=standard error; TGA=Therapeutic Goods Administration.</w:t>
      </w:r>
    </w:p>
    <w:p w14:paraId="595AB4CF" w14:textId="77777777" w:rsidR="0008002E" w:rsidRPr="00EE0EEB" w:rsidRDefault="0008002E" w:rsidP="0008002E">
      <w:pPr>
        <w:pStyle w:val="TableFooter"/>
      </w:pPr>
      <w:r w:rsidRPr="00EE0EEB">
        <w:t>Analysis using natural cubic spline model.</w:t>
      </w:r>
    </w:p>
    <w:p w14:paraId="07D75998" w14:textId="0020F1CD" w:rsidR="0008002E" w:rsidRPr="00EE0EEB" w:rsidRDefault="000B11AF" w:rsidP="000B11AF">
      <w:pPr>
        <w:pStyle w:val="Caption"/>
      </w:pPr>
      <w:bookmarkStart w:id="34" w:name="_Ref204780692"/>
      <w:r>
        <w:lastRenderedPageBreak/>
        <w:t xml:space="preserve">Figure </w:t>
      </w:r>
      <w:r>
        <w:fldChar w:fldCharType="begin"/>
      </w:r>
      <w:r>
        <w:instrText xml:space="preserve"> SEQ Figure \* ARABIC </w:instrText>
      </w:r>
      <w:r>
        <w:fldChar w:fldCharType="separate"/>
      </w:r>
      <w:r w:rsidR="00392423">
        <w:rPr>
          <w:noProof/>
        </w:rPr>
        <w:t>13</w:t>
      </w:r>
      <w:r>
        <w:fldChar w:fldCharType="end"/>
      </w:r>
      <w:bookmarkEnd w:id="34"/>
      <w:r w:rsidR="0008002E" w:rsidRPr="00EE0EEB">
        <w:fldChar w:fldCharType="begin"/>
      </w:r>
      <w:r w:rsidR="0008002E" w:rsidRPr="00EE0EEB">
        <w:instrText xml:space="preserve"> SEQ Figure_PBAC. \* ARABIC </w:instrText>
      </w:r>
      <w:r w:rsidR="0008002E" w:rsidRPr="00EE0EEB">
        <w:fldChar w:fldCharType="separate"/>
      </w:r>
      <w:r w:rsidR="00392423">
        <w:rPr>
          <w:noProof/>
        </w:rPr>
        <w:t>1</w:t>
      </w:r>
      <w:r w:rsidR="0008002E" w:rsidRPr="00EE0EEB">
        <w:fldChar w:fldCharType="end"/>
      </w:r>
      <w:r w:rsidR="00C62727">
        <w:t xml:space="preserve">: </w:t>
      </w:r>
      <w:r w:rsidR="0008002E" w:rsidRPr="5EEE9212">
        <w:t>TB-2: iADRS change from baseline to 76 weeks in the proposed TGA population</w:t>
      </w:r>
    </w:p>
    <w:p w14:paraId="6B94E160" w14:textId="77777777" w:rsidR="0008002E" w:rsidRPr="00EE0EEB" w:rsidRDefault="0008002E" w:rsidP="0008002E">
      <w:r w:rsidRPr="00EE0EEB">
        <w:rPr>
          <w:noProof/>
        </w:rPr>
        <w:drawing>
          <wp:inline distT="0" distB="0" distL="0" distR="0" wp14:anchorId="64D6B24F" wp14:editId="4D684FA6">
            <wp:extent cx="5731510" cy="2524125"/>
            <wp:effectExtent l="0" t="0" r="0" b="0"/>
            <wp:docPr id="1101160699" name="Picture 1101160699" descr="Figure 13: TB-2: iADRS change from baseline to 76 weeks in the proposed TGA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60699" name="Picture 1101160699" descr="Figure 13: TB-2: iADRS change from baseline to 76 weeks in the proposed TGA population"/>
                    <pic:cNvPicPr/>
                  </pic:nvPicPr>
                  <pic:blipFill>
                    <a:blip r:embed="rId25"/>
                    <a:stretch>
                      <a:fillRect/>
                    </a:stretch>
                  </pic:blipFill>
                  <pic:spPr>
                    <a:xfrm>
                      <a:off x="0" y="0"/>
                      <a:ext cx="5731510" cy="2524125"/>
                    </a:xfrm>
                    <a:prstGeom prst="rect">
                      <a:avLst/>
                    </a:prstGeom>
                  </pic:spPr>
                </pic:pic>
              </a:graphicData>
            </a:graphic>
          </wp:inline>
        </w:drawing>
      </w:r>
    </w:p>
    <w:p w14:paraId="499712D1" w14:textId="77777777" w:rsidR="0008002E" w:rsidRPr="00EE0EEB" w:rsidRDefault="0008002E" w:rsidP="0008002E">
      <w:pPr>
        <w:pStyle w:val="TableFooter"/>
      </w:pPr>
      <w:r w:rsidRPr="00EE0EEB">
        <w:t>Source: Figure 2-40, p221 of the submission.</w:t>
      </w:r>
    </w:p>
    <w:p w14:paraId="43B9A7FA" w14:textId="0136B1DA" w:rsidR="0008002E" w:rsidRPr="00EE0EEB" w:rsidRDefault="0008002E" w:rsidP="0008002E">
      <w:pPr>
        <w:pStyle w:val="TableFooter"/>
      </w:pPr>
      <w:r w:rsidRPr="00EE0EEB">
        <w:t>CI=confidence interval; iADRS=Integrated Alzheimer</w:t>
      </w:r>
      <w:r w:rsidR="00F4444C">
        <w:t>’s</w:t>
      </w:r>
      <w:r w:rsidRPr="00EE0EEB">
        <w:t xml:space="preserve"> Disease Rating Scale; NCS2=natural cubic spline; TGA=Therapeutic Goods Administration; wk=week</w:t>
      </w:r>
    </w:p>
    <w:p w14:paraId="446E09AC" w14:textId="77777777" w:rsidR="0008002E" w:rsidRPr="006F6126" w:rsidRDefault="0008002E" w:rsidP="00DD02B1">
      <w:pPr>
        <w:pStyle w:val="3-BodyText"/>
        <w:numPr>
          <w:ilvl w:val="1"/>
          <w:numId w:val="23"/>
        </w:numPr>
        <w:spacing w:before="60" w:after="60"/>
        <w:ind w:left="709" w:hanging="709"/>
      </w:pPr>
      <w:r w:rsidRPr="006F6126">
        <w:t xml:space="preserve">The difference between the donanemab and placebo treatment arms in iADRS change from baseline to Week 76 was similar between the proposed TGA subgroup </w:t>
      </w:r>
      <w:r>
        <w:br/>
      </w:r>
      <w:r w:rsidRPr="006F6126">
        <w:t>(-3.34 [24.4% relative reduction in decline]) and the overall population (-2.92 [22.3% relative reduction in decline]). A difference in iADRS change between donanemab-treated patients and placebo-treated patients was observed from Week 12 and this treatment effect widened over time.</w:t>
      </w:r>
    </w:p>
    <w:p w14:paraId="4C75DBE2" w14:textId="77777777" w:rsidR="0008002E" w:rsidRPr="006F6126" w:rsidRDefault="0008002E" w:rsidP="00DD02B1">
      <w:pPr>
        <w:pStyle w:val="3-BodyText"/>
        <w:numPr>
          <w:ilvl w:val="1"/>
          <w:numId w:val="23"/>
        </w:numPr>
        <w:spacing w:before="60" w:after="60"/>
        <w:ind w:left="709" w:hanging="709"/>
      </w:pPr>
      <w:bookmarkStart w:id="35" w:name="_Ref201333234"/>
      <w:r w:rsidRPr="006F6126">
        <w:t>Analysis of time saved (delay) associated with donanemab compared with placebo was also conducted for the proposed TGA population. The results indicated that treatment with donanemab was associated with a delay in disease progression of 2.90 months based on iADRS change (1.38 months in the overall population) and 5.82 months based on CDR-SB change (5.44 months in the overall population) compared with placebo.</w:t>
      </w:r>
      <w:bookmarkEnd w:id="35"/>
      <w:r w:rsidRPr="006F6126">
        <w:t xml:space="preserve"> </w:t>
      </w:r>
    </w:p>
    <w:p w14:paraId="6081431E" w14:textId="77777777" w:rsidR="0008002E" w:rsidRPr="006F6126" w:rsidRDefault="0008002E" w:rsidP="00DD02B1">
      <w:pPr>
        <w:pStyle w:val="3-BodyText"/>
        <w:numPr>
          <w:ilvl w:val="1"/>
          <w:numId w:val="23"/>
        </w:numPr>
        <w:spacing w:before="60" w:after="60"/>
        <w:ind w:left="709" w:hanging="709"/>
      </w:pPr>
      <w:r w:rsidRPr="006F6126">
        <w:t>Consistent with the overall population, the percent reduction in decline compared with placebo was 31.5%, 27.2%, and 24.2% for the CDR-SB, ADCS-iADL, and ADAS-Cog13 endpoints, respectively.</w:t>
      </w:r>
    </w:p>
    <w:p w14:paraId="59F8C3D1" w14:textId="77777777" w:rsidR="0008002E" w:rsidRPr="006F6126" w:rsidRDefault="0008002E" w:rsidP="00DD02B1">
      <w:pPr>
        <w:pStyle w:val="3-BodyText"/>
        <w:numPr>
          <w:ilvl w:val="1"/>
          <w:numId w:val="23"/>
        </w:numPr>
        <w:spacing w:before="60" w:after="60"/>
        <w:ind w:left="709" w:hanging="709"/>
      </w:pPr>
      <w:r w:rsidRPr="006F6126">
        <w:t>Time to clinical worsening or progression to the next stage of disease was assessed using the MCID score for iADRS</w:t>
      </w:r>
      <w:r w:rsidRPr="006F6126">
        <w:rPr>
          <w:rStyle w:val="FootnoteReference"/>
        </w:rPr>
        <w:footnoteReference w:id="40"/>
      </w:r>
      <w:r w:rsidRPr="006F6126">
        <w:t>, CDR-SB</w:t>
      </w:r>
      <w:r w:rsidRPr="006F6126">
        <w:rPr>
          <w:rStyle w:val="FootnoteReference"/>
        </w:rPr>
        <w:footnoteReference w:id="41"/>
      </w:r>
      <w:r w:rsidRPr="006F6126">
        <w:t>, and CDR-G</w:t>
      </w:r>
      <w:r w:rsidRPr="006F6126">
        <w:rPr>
          <w:rStyle w:val="FootnoteReference"/>
        </w:rPr>
        <w:footnoteReference w:id="42"/>
      </w:r>
      <w:r w:rsidRPr="006F6126">
        <w:t xml:space="preserve">. These MCIDs apply to within patient changes and not to between group differences. Summarises results of the </w:t>
      </w:r>
      <w:r w:rsidRPr="006F6126">
        <w:rPr>
          <w:bCs/>
        </w:rPr>
        <w:t>Cox proportional hazards analysis for iADRS, CDR-SB, and CDR-G.</w:t>
      </w:r>
    </w:p>
    <w:p w14:paraId="377D14AC" w14:textId="62468F01" w:rsidR="0008002E" w:rsidRPr="00EE0EEB" w:rsidRDefault="008D38DA" w:rsidP="008D38DA">
      <w:pPr>
        <w:pStyle w:val="Caption"/>
      </w:pPr>
      <w:r>
        <w:lastRenderedPageBreak/>
        <w:t xml:space="preserve">Table </w:t>
      </w:r>
      <w:r>
        <w:fldChar w:fldCharType="begin"/>
      </w:r>
      <w:r>
        <w:instrText xml:space="preserve"> SEQ Table \* ARABIC </w:instrText>
      </w:r>
      <w:r>
        <w:fldChar w:fldCharType="separate"/>
      </w:r>
      <w:r w:rsidR="00392423">
        <w:rPr>
          <w:noProof/>
        </w:rPr>
        <w:t>13</w:t>
      </w:r>
      <w:r>
        <w:fldChar w:fldCharType="end"/>
      </w:r>
      <w:r w:rsidR="000A0F04">
        <w:t xml:space="preserve">: </w:t>
      </w:r>
      <w:r w:rsidR="0008002E" w:rsidRPr="5EEE9212">
        <w:t>Cox proportional hazards analysis of the hazard of progression to an MCID (within patient) – decline based on iADRS, CDR-SB and CDR-G (TGA subgroup, EES)</w:t>
      </w:r>
    </w:p>
    <w:tbl>
      <w:tblPr>
        <w:tblStyle w:val="HTATableshaded"/>
        <w:tblW w:w="5000" w:type="pct"/>
        <w:tblLook w:val="04A0" w:firstRow="1" w:lastRow="0" w:firstColumn="1" w:lastColumn="0" w:noHBand="0" w:noVBand="1"/>
        <w:tblCaption w:val="Table 13: Cox proportional hazards analysis of the hazard of progression to an MCID (within patient) – decline based on iADRS, CDR-SB and CDR-G (TGA subgroup, EES)"/>
      </w:tblPr>
      <w:tblGrid>
        <w:gridCol w:w="927"/>
        <w:gridCol w:w="1294"/>
        <w:gridCol w:w="1744"/>
        <w:gridCol w:w="2347"/>
        <w:gridCol w:w="1440"/>
        <w:gridCol w:w="1264"/>
      </w:tblGrid>
      <w:tr w:rsidR="0008002E" w:rsidRPr="00DD14C0" w14:paraId="3EDD6B5F" w14:textId="77777777" w:rsidTr="00E81465">
        <w:trPr>
          <w:cnfStyle w:val="100000000000" w:firstRow="1" w:lastRow="0" w:firstColumn="0" w:lastColumn="0" w:oddVBand="0" w:evenVBand="0" w:oddHBand="0" w:evenHBand="0" w:firstRowFirstColumn="0" w:firstRowLastColumn="0" w:lastRowFirstColumn="0" w:lastRowLastColumn="0"/>
          <w:cantSplit/>
          <w:trHeight w:val="283"/>
        </w:trPr>
        <w:tc>
          <w:tcPr>
            <w:tcW w:w="512" w:type="pct"/>
            <w:hideMark/>
          </w:tcPr>
          <w:p w14:paraId="548EEBF7" w14:textId="77777777" w:rsidR="0008002E" w:rsidRPr="00DD14C0" w:rsidRDefault="0008002E" w:rsidP="00E81465">
            <w:pPr>
              <w:pStyle w:val="TableText"/>
              <w:keepNext/>
              <w:widowControl/>
              <w:rPr>
                <w:b/>
                <w:bCs/>
              </w:rPr>
            </w:pPr>
            <w:r w:rsidRPr="00DD14C0">
              <w:rPr>
                <w:b/>
                <w:bCs/>
              </w:rPr>
              <w:t>Endpoint</w:t>
            </w:r>
          </w:p>
        </w:tc>
        <w:tc>
          <w:tcPr>
            <w:tcW w:w="718" w:type="pct"/>
            <w:tcBorders>
              <w:right w:val="nil"/>
            </w:tcBorders>
            <w:hideMark/>
          </w:tcPr>
          <w:p w14:paraId="09FF48A3" w14:textId="77777777" w:rsidR="0008002E" w:rsidRPr="00DD14C0" w:rsidRDefault="0008002E" w:rsidP="00E81465">
            <w:pPr>
              <w:pStyle w:val="TableText"/>
              <w:keepNext/>
              <w:widowControl/>
              <w:rPr>
                <w:b/>
                <w:bCs/>
              </w:rPr>
            </w:pPr>
            <w:r w:rsidRPr="00DD14C0">
              <w:rPr>
                <w:b/>
                <w:bCs/>
              </w:rPr>
              <w:t xml:space="preserve">Donanemab </w:t>
            </w:r>
            <w:r w:rsidRPr="00DD14C0">
              <w:rPr>
                <w:b/>
                <w:bCs/>
              </w:rPr>
              <w:br/>
              <w:t>Event</w:t>
            </w:r>
            <w:r w:rsidRPr="00DD14C0">
              <w:rPr>
                <w:b/>
                <w:bCs/>
                <w:vertAlign w:val="superscript"/>
              </w:rPr>
              <w:t>a</w:t>
            </w:r>
            <w:r w:rsidRPr="00DD14C0">
              <w:rPr>
                <w:b/>
                <w:bCs/>
              </w:rPr>
              <w:t xml:space="preserve"> n/N (%)</w:t>
            </w:r>
          </w:p>
        </w:tc>
        <w:tc>
          <w:tcPr>
            <w:tcW w:w="968" w:type="pct"/>
            <w:tcBorders>
              <w:right w:val="nil"/>
            </w:tcBorders>
            <w:hideMark/>
          </w:tcPr>
          <w:p w14:paraId="219249E4" w14:textId="77777777" w:rsidR="0008002E" w:rsidRPr="00DD14C0" w:rsidRDefault="0008002E" w:rsidP="00E81465">
            <w:pPr>
              <w:pStyle w:val="TableText"/>
              <w:keepNext/>
              <w:widowControl/>
              <w:rPr>
                <w:b/>
                <w:bCs/>
              </w:rPr>
            </w:pPr>
            <w:r w:rsidRPr="00DD14C0">
              <w:rPr>
                <w:b/>
                <w:bCs/>
              </w:rPr>
              <w:t xml:space="preserve">Placebo </w:t>
            </w:r>
            <w:r w:rsidRPr="00DD14C0">
              <w:rPr>
                <w:b/>
                <w:bCs/>
              </w:rPr>
              <w:br/>
              <w:t>Event</w:t>
            </w:r>
            <w:r w:rsidRPr="00DD14C0">
              <w:rPr>
                <w:b/>
                <w:bCs/>
                <w:vertAlign w:val="superscript"/>
              </w:rPr>
              <w:t>a</w:t>
            </w:r>
            <w:r w:rsidRPr="00DD14C0">
              <w:rPr>
                <w:b/>
                <w:bCs/>
              </w:rPr>
              <w:t xml:space="preserve"> n/N (%)</w:t>
            </w:r>
          </w:p>
        </w:tc>
        <w:tc>
          <w:tcPr>
            <w:tcW w:w="1302" w:type="pct"/>
          </w:tcPr>
          <w:p w14:paraId="04297DE8" w14:textId="77777777" w:rsidR="0008002E" w:rsidRPr="00DD14C0" w:rsidRDefault="0008002E" w:rsidP="00E81465">
            <w:pPr>
              <w:pStyle w:val="TableText"/>
              <w:keepNext/>
              <w:widowControl/>
              <w:rPr>
                <w:b/>
                <w:bCs/>
              </w:rPr>
            </w:pPr>
            <w:r w:rsidRPr="00DD14C0">
              <w:rPr>
                <w:b/>
                <w:bCs/>
              </w:rPr>
              <w:t>Difference in event</w:t>
            </w:r>
            <w:r w:rsidRPr="00DD14C0">
              <w:rPr>
                <w:b/>
                <w:bCs/>
                <w:vertAlign w:val="superscript"/>
              </w:rPr>
              <w:t>a</w:t>
            </w:r>
            <w:r w:rsidRPr="00DD14C0">
              <w:rPr>
                <w:b/>
                <w:bCs/>
              </w:rPr>
              <w:t xml:space="preserve"> rate</w:t>
            </w:r>
          </w:p>
          <w:p w14:paraId="46CFEB19" w14:textId="77777777" w:rsidR="0008002E" w:rsidRPr="00DD14C0" w:rsidRDefault="0008002E" w:rsidP="00E81465">
            <w:pPr>
              <w:pStyle w:val="TableText"/>
              <w:keepNext/>
              <w:widowControl/>
              <w:rPr>
                <w:b/>
                <w:bCs/>
              </w:rPr>
            </w:pPr>
            <w:r w:rsidRPr="00DD14C0">
              <w:rPr>
                <w:b/>
                <w:bCs/>
              </w:rPr>
              <w:t>Donanemab minus Placebo</w:t>
            </w:r>
          </w:p>
        </w:tc>
        <w:tc>
          <w:tcPr>
            <w:tcW w:w="799" w:type="pct"/>
            <w:tcBorders>
              <w:bottom w:val="nil"/>
            </w:tcBorders>
            <w:hideMark/>
          </w:tcPr>
          <w:p w14:paraId="317AF24D" w14:textId="77777777" w:rsidR="0008002E" w:rsidRPr="00DD14C0" w:rsidRDefault="0008002E" w:rsidP="00E81465">
            <w:pPr>
              <w:pStyle w:val="TableText"/>
              <w:keepNext/>
              <w:widowControl/>
              <w:rPr>
                <w:b/>
                <w:bCs/>
              </w:rPr>
            </w:pPr>
            <w:r w:rsidRPr="00DD14C0">
              <w:rPr>
                <w:b/>
                <w:bCs/>
              </w:rPr>
              <w:t>HR (95% CI)</w:t>
            </w:r>
          </w:p>
        </w:tc>
        <w:tc>
          <w:tcPr>
            <w:tcW w:w="701" w:type="pct"/>
            <w:tcBorders>
              <w:bottom w:val="nil"/>
            </w:tcBorders>
            <w:hideMark/>
          </w:tcPr>
          <w:p w14:paraId="54AE541B" w14:textId="77777777" w:rsidR="0008002E" w:rsidRPr="00DD14C0" w:rsidRDefault="0008002E" w:rsidP="00E81465">
            <w:pPr>
              <w:pStyle w:val="TableText"/>
              <w:keepNext/>
              <w:widowControl/>
              <w:rPr>
                <w:b/>
                <w:bCs/>
              </w:rPr>
            </w:pPr>
            <w:r w:rsidRPr="00DD14C0">
              <w:rPr>
                <w:b/>
                <w:bCs/>
              </w:rPr>
              <w:t>p-value</w:t>
            </w:r>
          </w:p>
        </w:tc>
      </w:tr>
      <w:tr w:rsidR="0008002E" w:rsidRPr="006F6126" w14:paraId="7D1C9B40" w14:textId="77777777" w:rsidTr="00E81465">
        <w:trPr>
          <w:cantSplit/>
          <w:trHeight w:val="283"/>
        </w:trPr>
        <w:tc>
          <w:tcPr>
            <w:tcW w:w="512" w:type="pct"/>
            <w:tcBorders>
              <w:top w:val="single" w:sz="4" w:space="0" w:color="auto"/>
              <w:left w:val="single" w:sz="4" w:space="0" w:color="auto"/>
              <w:bottom w:val="single" w:sz="4" w:space="0" w:color="auto"/>
              <w:right w:val="single" w:sz="4" w:space="0" w:color="auto"/>
            </w:tcBorders>
            <w:hideMark/>
          </w:tcPr>
          <w:p w14:paraId="4F6CF400" w14:textId="77777777" w:rsidR="0008002E" w:rsidRPr="006F6126" w:rsidRDefault="0008002E" w:rsidP="00E81465">
            <w:pPr>
              <w:pStyle w:val="TableText"/>
              <w:keepNext/>
              <w:widowControl/>
            </w:pPr>
            <w:r w:rsidRPr="006F6126">
              <w:t>iADRS</w:t>
            </w:r>
          </w:p>
        </w:tc>
        <w:tc>
          <w:tcPr>
            <w:tcW w:w="718" w:type="pct"/>
            <w:tcBorders>
              <w:top w:val="single" w:sz="4" w:space="0" w:color="auto"/>
              <w:left w:val="single" w:sz="4" w:space="0" w:color="auto"/>
              <w:bottom w:val="single" w:sz="4" w:space="0" w:color="auto"/>
              <w:right w:val="single" w:sz="4" w:space="0" w:color="auto"/>
            </w:tcBorders>
          </w:tcPr>
          <w:p w14:paraId="21D991B2" w14:textId="77777777" w:rsidR="0008002E" w:rsidRPr="006F6126" w:rsidRDefault="0008002E" w:rsidP="00E81465">
            <w:pPr>
              <w:pStyle w:val="TableText"/>
              <w:keepNext/>
              <w:widowControl/>
            </w:pPr>
            <w:r w:rsidRPr="006F6126">
              <w:t>195/643(30.3)</w:t>
            </w:r>
          </w:p>
        </w:tc>
        <w:tc>
          <w:tcPr>
            <w:tcW w:w="968" w:type="pct"/>
            <w:tcBorders>
              <w:top w:val="single" w:sz="4" w:space="0" w:color="auto"/>
              <w:left w:val="single" w:sz="4" w:space="0" w:color="auto"/>
              <w:bottom w:val="single" w:sz="4" w:space="0" w:color="auto"/>
              <w:right w:val="single" w:sz="4" w:space="0" w:color="auto"/>
            </w:tcBorders>
          </w:tcPr>
          <w:p w14:paraId="32B73082" w14:textId="77777777" w:rsidR="0008002E" w:rsidRPr="006F6126" w:rsidRDefault="0008002E" w:rsidP="00E81465">
            <w:pPr>
              <w:pStyle w:val="TableText"/>
              <w:keepNext/>
              <w:widowControl/>
            </w:pPr>
            <w:r w:rsidRPr="006F6126">
              <w:t>269/660 (40.8)</w:t>
            </w:r>
          </w:p>
        </w:tc>
        <w:tc>
          <w:tcPr>
            <w:tcW w:w="1302" w:type="pct"/>
            <w:tcBorders>
              <w:top w:val="single" w:sz="4" w:space="0" w:color="auto"/>
              <w:left w:val="single" w:sz="4" w:space="0" w:color="auto"/>
              <w:bottom w:val="single" w:sz="4" w:space="0" w:color="auto"/>
              <w:right w:val="single" w:sz="4" w:space="0" w:color="auto"/>
            </w:tcBorders>
          </w:tcPr>
          <w:p w14:paraId="38CCB2B5" w14:textId="77777777" w:rsidR="0008002E" w:rsidRPr="006F6126" w:rsidRDefault="0008002E" w:rsidP="00E81465">
            <w:pPr>
              <w:pStyle w:val="TableText"/>
              <w:keepNext/>
              <w:widowControl/>
            </w:pPr>
            <w:r w:rsidRPr="006F6126">
              <w:t>-10.5%</w:t>
            </w:r>
          </w:p>
        </w:tc>
        <w:tc>
          <w:tcPr>
            <w:tcW w:w="799" w:type="pct"/>
            <w:tcBorders>
              <w:top w:val="single" w:sz="4" w:space="0" w:color="auto"/>
              <w:left w:val="single" w:sz="4" w:space="0" w:color="auto"/>
              <w:bottom w:val="single" w:sz="4" w:space="0" w:color="auto"/>
              <w:right w:val="single" w:sz="4" w:space="0" w:color="auto"/>
            </w:tcBorders>
          </w:tcPr>
          <w:p w14:paraId="1FF0AE89" w14:textId="77777777" w:rsidR="0008002E" w:rsidRPr="006F6126" w:rsidRDefault="0008002E" w:rsidP="00E81465">
            <w:pPr>
              <w:pStyle w:val="TableText"/>
              <w:keepNext/>
              <w:widowControl/>
            </w:pPr>
            <w:r w:rsidRPr="006F6126">
              <w:t>0.68 (0.55, 0.83)</w:t>
            </w:r>
          </w:p>
        </w:tc>
        <w:tc>
          <w:tcPr>
            <w:tcW w:w="701" w:type="pct"/>
            <w:tcBorders>
              <w:top w:val="single" w:sz="4" w:space="0" w:color="auto"/>
              <w:left w:val="single" w:sz="4" w:space="0" w:color="auto"/>
              <w:bottom w:val="single" w:sz="4" w:space="0" w:color="auto"/>
              <w:right w:val="single" w:sz="4" w:space="0" w:color="auto"/>
            </w:tcBorders>
          </w:tcPr>
          <w:p w14:paraId="6F647D02" w14:textId="77777777" w:rsidR="0008002E" w:rsidRPr="006F6126" w:rsidRDefault="0008002E" w:rsidP="00E81465">
            <w:pPr>
              <w:pStyle w:val="TableText"/>
              <w:keepNext/>
              <w:widowControl/>
            </w:pPr>
            <w:r w:rsidRPr="006F6126">
              <w:t>p=0.0002</w:t>
            </w:r>
          </w:p>
        </w:tc>
      </w:tr>
      <w:tr w:rsidR="0008002E" w:rsidRPr="006F6126" w14:paraId="701E165D" w14:textId="77777777" w:rsidTr="00E81465">
        <w:trPr>
          <w:cantSplit/>
          <w:trHeight w:val="283"/>
        </w:trPr>
        <w:tc>
          <w:tcPr>
            <w:tcW w:w="512" w:type="pct"/>
            <w:tcBorders>
              <w:top w:val="single" w:sz="4" w:space="0" w:color="auto"/>
              <w:left w:val="single" w:sz="4" w:space="0" w:color="auto"/>
              <w:bottom w:val="single" w:sz="4" w:space="0" w:color="auto"/>
              <w:right w:val="single" w:sz="4" w:space="0" w:color="auto"/>
            </w:tcBorders>
          </w:tcPr>
          <w:p w14:paraId="4D7CEB3F" w14:textId="77777777" w:rsidR="0008002E" w:rsidRPr="006F6126" w:rsidRDefault="0008002E" w:rsidP="00E81465">
            <w:pPr>
              <w:pStyle w:val="TableText"/>
              <w:keepNext/>
              <w:widowControl/>
            </w:pPr>
            <w:r w:rsidRPr="006F6126">
              <w:t>CDR-SB</w:t>
            </w:r>
          </w:p>
        </w:tc>
        <w:tc>
          <w:tcPr>
            <w:tcW w:w="718" w:type="pct"/>
            <w:tcBorders>
              <w:top w:val="single" w:sz="4" w:space="0" w:color="auto"/>
              <w:left w:val="single" w:sz="4" w:space="0" w:color="auto"/>
              <w:bottom w:val="single" w:sz="4" w:space="0" w:color="auto"/>
              <w:right w:val="single" w:sz="4" w:space="0" w:color="auto"/>
            </w:tcBorders>
          </w:tcPr>
          <w:p w14:paraId="4C59B99C" w14:textId="77777777" w:rsidR="0008002E" w:rsidRPr="006F6126" w:rsidRDefault="0008002E" w:rsidP="00E81465">
            <w:pPr>
              <w:pStyle w:val="TableText"/>
              <w:keepNext/>
              <w:widowControl/>
            </w:pPr>
            <w:r w:rsidRPr="006F6126">
              <w:t>191/656(29.1)</w:t>
            </w:r>
          </w:p>
        </w:tc>
        <w:tc>
          <w:tcPr>
            <w:tcW w:w="968" w:type="pct"/>
            <w:tcBorders>
              <w:top w:val="single" w:sz="4" w:space="0" w:color="auto"/>
              <w:left w:val="single" w:sz="4" w:space="0" w:color="auto"/>
              <w:bottom w:val="single" w:sz="4" w:space="0" w:color="auto"/>
              <w:right w:val="single" w:sz="4" w:space="0" w:color="auto"/>
            </w:tcBorders>
          </w:tcPr>
          <w:p w14:paraId="29327AD4" w14:textId="77777777" w:rsidR="0008002E" w:rsidRPr="006F6126" w:rsidRDefault="0008002E" w:rsidP="00E81465">
            <w:pPr>
              <w:pStyle w:val="TableText"/>
              <w:keepNext/>
              <w:widowControl/>
            </w:pPr>
            <w:r w:rsidRPr="006F6126">
              <w:t>276/671(41.1)</w:t>
            </w:r>
          </w:p>
        </w:tc>
        <w:tc>
          <w:tcPr>
            <w:tcW w:w="1302" w:type="pct"/>
            <w:tcBorders>
              <w:top w:val="single" w:sz="4" w:space="0" w:color="auto"/>
              <w:left w:val="single" w:sz="4" w:space="0" w:color="auto"/>
              <w:bottom w:val="single" w:sz="4" w:space="0" w:color="auto"/>
              <w:right w:val="single" w:sz="4" w:space="0" w:color="auto"/>
            </w:tcBorders>
          </w:tcPr>
          <w:p w14:paraId="109ED2BD" w14:textId="77777777" w:rsidR="0008002E" w:rsidRPr="006F6126" w:rsidRDefault="0008002E" w:rsidP="00E81465">
            <w:pPr>
              <w:pStyle w:val="TableText"/>
              <w:keepNext/>
              <w:widowControl/>
            </w:pPr>
            <w:r w:rsidRPr="006F6126">
              <w:t>-12.0%</w:t>
            </w:r>
          </w:p>
        </w:tc>
        <w:tc>
          <w:tcPr>
            <w:tcW w:w="799" w:type="pct"/>
            <w:tcBorders>
              <w:top w:val="single" w:sz="4" w:space="0" w:color="auto"/>
              <w:left w:val="single" w:sz="4" w:space="0" w:color="auto"/>
              <w:bottom w:val="single" w:sz="4" w:space="0" w:color="auto"/>
              <w:right w:val="single" w:sz="4" w:space="0" w:color="auto"/>
            </w:tcBorders>
          </w:tcPr>
          <w:p w14:paraId="38074738" w14:textId="77777777" w:rsidR="0008002E" w:rsidRPr="006F6126" w:rsidRDefault="0008002E" w:rsidP="00E81465">
            <w:pPr>
              <w:pStyle w:val="TableText"/>
              <w:keepNext/>
              <w:widowControl/>
            </w:pPr>
            <w:r w:rsidRPr="006F6126">
              <w:t>0.64 (0.52, 0.79)</w:t>
            </w:r>
          </w:p>
        </w:tc>
        <w:tc>
          <w:tcPr>
            <w:tcW w:w="701" w:type="pct"/>
            <w:tcBorders>
              <w:top w:val="single" w:sz="4" w:space="0" w:color="auto"/>
              <w:left w:val="single" w:sz="4" w:space="0" w:color="auto"/>
              <w:bottom w:val="single" w:sz="4" w:space="0" w:color="auto"/>
              <w:right w:val="single" w:sz="4" w:space="0" w:color="auto"/>
            </w:tcBorders>
          </w:tcPr>
          <w:p w14:paraId="0A440FC8" w14:textId="77777777" w:rsidR="0008002E" w:rsidRPr="006F6126" w:rsidRDefault="0008002E" w:rsidP="00E81465">
            <w:pPr>
              <w:pStyle w:val="TableText"/>
              <w:keepNext/>
              <w:widowControl/>
            </w:pPr>
            <w:r w:rsidRPr="006F6126">
              <w:t>&lt;0.0001</w:t>
            </w:r>
          </w:p>
        </w:tc>
      </w:tr>
      <w:tr w:rsidR="0008002E" w:rsidRPr="006F6126" w14:paraId="5540742C" w14:textId="77777777" w:rsidTr="00E81465">
        <w:trPr>
          <w:cantSplit/>
          <w:trHeight w:val="283"/>
        </w:trPr>
        <w:tc>
          <w:tcPr>
            <w:tcW w:w="512" w:type="pct"/>
            <w:tcBorders>
              <w:top w:val="single" w:sz="4" w:space="0" w:color="auto"/>
              <w:left w:val="single" w:sz="4" w:space="0" w:color="auto"/>
              <w:bottom w:val="single" w:sz="4" w:space="0" w:color="auto"/>
              <w:right w:val="single" w:sz="4" w:space="0" w:color="auto"/>
            </w:tcBorders>
          </w:tcPr>
          <w:p w14:paraId="4D4CDC27" w14:textId="77777777" w:rsidR="0008002E" w:rsidRPr="006F6126" w:rsidRDefault="0008002E" w:rsidP="00E81465">
            <w:pPr>
              <w:pStyle w:val="TableText"/>
              <w:keepNext/>
              <w:widowControl/>
            </w:pPr>
            <w:r w:rsidRPr="006F6126">
              <w:t xml:space="preserve">CDR-G </w:t>
            </w:r>
          </w:p>
        </w:tc>
        <w:tc>
          <w:tcPr>
            <w:tcW w:w="718" w:type="pct"/>
            <w:tcBorders>
              <w:top w:val="single" w:sz="4" w:space="0" w:color="auto"/>
              <w:left w:val="single" w:sz="4" w:space="0" w:color="auto"/>
              <w:bottom w:val="single" w:sz="4" w:space="0" w:color="auto"/>
              <w:right w:val="single" w:sz="4" w:space="0" w:color="auto"/>
            </w:tcBorders>
          </w:tcPr>
          <w:p w14:paraId="18A6B370" w14:textId="77777777" w:rsidR="0008002E" w:rsidRPr="006F6126" w:rsidRDefault="0008002E" w:rsidP="00E81465">
            <w:pPr>
              <w:pStyle w:val="TableText"/>
              <w:keepNext/>
              <w:widowControl/>
            </w:pPr>
            <w:r w:rsidRPr="006F6126">
              <w:t>151/656(23.0)</w:t>
            </w:r>
          </w:p>
        </w:tc>
        <w:tc>
          <w:tcPr>
            <w:tcW w:w="968" w:type="pct"/>
            <w:tcBorders>
              <w:top w:val="single" w:sz="4" w:space="0" w:color="auto"/>
              <w:left w:val="single" w:sz="4" w:space="0" w:color="auto"/>
              <w:bottom w:val="single" w:sz="4" w:space="0" w:color="auto"/>
              <w:right w:val="single" w:sz="4" w:space="0" w:color="auto"/>
            </w:tcBorders>
          </w:tcPr>
          <w:p w14:paraId="4E3E9F69" w14:textId="77777777" w:rsidR="0008002E" w:rsidRPr="006F6126" w:rsidRDefault="0008002E" w:rsidP="00E81465">
            <w:pPr>
              <w:pStyle w:val="TableText"/>
              <w:keepNext/>
              <w:widowControl/>
            </w:pPr>
            <w:r w:rsidRPr="006F6126">
              <w:t>234/671(34.9)</w:t>
            </w:r>
          </w:p>
        </w:tc>
        <w:tc>
          <w:tcPr>
            <w:tcW w:w="1302" w:type="pct"/>
            <w:tcBorders>
              <w:top w:val="single" w:sz="4" w:space="0" w:color="auto"/>
              <w:left w:val="single" w:sz="4" w:space="0" w:color="auto"/>
              <w:bottom w:val="single" w:sz="4" w:space="0" w:color="auto"/>
              <w:right w:val="single" w:sz="4" w:space="0" w:color="auto"/>
            </w:tcBorders>
          </w:tcPr>
          <w:p w14:paraId="5376632C" w14:textId="77777777" w:rsidR="0008002E" w:rsidRPr="006F6126" w:rsidRDefault="0008002E" w:rsidP="00E81465">
            <w:pPr>
              <w:pStyle w:val="TableText"/>
              <w:keepNext/>
              <w:widowControl/>
            </w:pPr>
            <w:r w:rsidRPr="006F6126">
              <w:t>-11.9%</w:t>
            </w:r>
          </w:p>
        </w:tc>
        <w:tc>
          <w:tcPr>
            <w:tcW w:w="799" w:type="pct"/>
            <w:tcBorders>
              <w:top w:val="single" w:sz="4" w:space="0" w:color="auto"/>
              <w:left w:val="single" w:sz="4" w:space="0" w:color="auto"/>
              <w:bottom w:val="single" w:sz="4" w:space="0" w:color="auto"/>
              <w:right w:val="single" w:sz="4" w:space="0" w:color="auto"/>
            </w:tcBorders>
          </w:tcPr>
          <w:p w14:paraId="7FC77BA0" w14:textId="77777777" w:rsidR="0008002E" w:rsidRPr="006F6126" w:rsidRDefault="0008002E" w:rsidP="00E81465">
            <w:pPr>
              <w:pStyle w:val="TableText"/>
              <w:keepNext/>
              <w:widowControl/>
            </w:pPr>
            <w:r w:rsidRPr="006F6126">
              <w:t>0.60 (0.48, 0.76)</w:t>
            </w:r>
          </w:p>
        </w:tc>
        <w:tc>
          <w:tcPr>
            <w:tcW w:w="701" w:type="pct"/>
            <w:tcBorders>
              <w:top w:val="single" w:sz="4" w:space="0" w:color="auto"/>
              <w:left w:val="single" w:sz="4" w:space="0" w:color="auto"/>
              <w:bottom w:val="single" w:sz="4" w:space="0" w:color="auto"/>
              <w:right w:val="single" w:sz="4" w:space="0" w:color="auto"/>
            </w:tcBorders>
          </w:tcPr>
          <w:p w14:paraId="22DEB7DE" w14:textId="77777777" w:rsidR="0008002E" w:rsidRPr="006F6126" w:rsidRDefault="0008002E" w:rsidP="00E81465">
            <w:pPr>
              <w:pStyle w:val="TableText"/>
              <w:keepNext/>
              <w:widowControl/>
            </w:pPr>
            <w:r w:rsidRPr="006F6126">
              <w:t>&lt;0.0001</w:t>
            </w:r>
          </w:p>
        </w:tc>
      </w:tr>
    </w:tbl>
    <w:p w14:paraId="24B5A27D" w14:textId="77777777" w:rsidR="0008002E" w:rsidRPr="00EE0EEB" w:rsidRDefault="0008002E" w:rsidP="0008002E">
      <w:pPr>
        <w:pStyle w:val="TableFooter"/>
      </w:pPr>
      <w:r w:rsidRPr="00EE0EEB">
        <w:t>Source: TB-2 restricted population analyses, Tables 2, 3, and 4, Attachment 2.21 accompanying the submission.</w:t>
      </w:r>
    </w:p>
    <w:p w14:paraId="67275B77" w14:textId="332E978F" w:rsidR="0008002E" w:rsidRPr="00EE0EEB" w:rsidRDefault="0008002E" w:rsidP="0008002E">
      <w:pPr>
        <w:pStyle w:val="TableFooter"/>
      </w:pPr>
      <w:r w:rsidRPr="00EE0EEB">
        <w:t>CDR-G=Clinical Dementia Rating Global scale; CDR-SB=Clinical Dementia Rating – Sum of Boxes; CI=confidence interval; EES=evaluable efficacy set; HR=hazard ratio; iADRS=Integrated Alzheimer</w:t>
      </w:r>
      <w:r w:rsidR="00F4444C">
        <w:t>’s</w:t>
      </w:r>
      <w:r w:rsidRPr="00EE0EEB">
        <w:t xml:space="preserve"> Disease Rating Scale; TGA=Therapeutic Goods Administration</w:t>
      </w:r>
    </w:p>
    <w:p w14:paraId="6BECDE10" w14:textId="77777777" w:rsidR="0008002E" w:rsidRPr="00EE0EEB" w:rsidRDefault="0008002E" w:rsidP="0008002E">
      <w:pPr>
        <w:pStyle w:val="TableFooter"/>
      </w:pPr>
      <w:r w:rsidRPr="00EE0EEB">
        <w:t>Notes</w:t>
      </w:r>
    </w:p>
    <w:p w14:paraId="790FF2FC" w14:textId="77777777" w:rsidR="0008002E" w:rsidRPr="00EE0EEB" w:rsidRDefault="0008002E" w:rsidP="0008002E">
      <w:pPr>
        <w:pStyle w:val="TableFooter"/>
      </w:pPr>
      <w:r w:rsidRPr="00EE0EEB">
        <w:t>HR, 95% CI, and p-value are calculated using Cox proportional hazards model. The model included these covariates: baseline age, baseline value, baseline symptomatic treatments use and stratified by pooled investigator and baseline tau level.</w:t>
      </w:r>
    </w:p>
    <w:p w14:paraId="73E9B264" w14:textId="77777777" w:rsidR="0008002E" w:rsidRPr="00EE0EEB" w:rsidRDefault="0008002E" w:rsidP="0008002E">
      <w:pPr>
        <w:pStyle w:val="TableFooter"/>
      </w:pPr>
      <w:r w:rsidRPr="00EE0EEB">
        <w:t>Event: progression to MCID.</w:t>
      </w:r>
    </w:p>
    <w:p w14:paraId="676DA87A" w14:textId="77777777" w:rsidR="0008002E" w:rsidRPr="00EE0EEB" w:rsidRDefault="0008002E" w:rsidP="0008002E">
      <w:pPr>
        <w:pStyle w:val="TableFooter"/>
      </w:pPr>
      <w:r w:rsidRPr="00EE0EEB">
        <w:t>MCID for CDR-Global was defined as any increase in CDR-Global score for two consecutive visits.</w:t>
      </w:r>
    </w:p>
    <w:p w14:paraId="74E53DCA" w14:textId="77777777" w:rsidR="0008002E" w:rsidRPr="00EE0EEB" w:rsidRDefault="0008002E" w:rsidP="0008002E">
      <w:pPr>
        <w:pStyle w:val="TableFooter"/>
      </w:pPr>
      <w:r w:rsidRPr="00EE0EEB">
        <w:t xml:space="preserve">MCID for CDR-SB was defined as 1 point or more increase for MCI patients and 2 point or more increase for mild AD </w:t>
      </w:r>
    </w:p>
    <w:p w14:paraId="198056B0" w14:textId="77777777" w:rsidR="0008002E" w:rsidRPr="00EE0EEB" w:rsidRDefault="0008002E" w:rsidP="0008002E">
      <w:pPr>
        <w:pStyle w:val="TableFooter"/>
      </w:pPr>
      <w:r w:rsidRPr="00EE0EEB">
        <w:t>Patients, respectively, at two consecutive visits</w:t>
      </w:r>
    </w:p>
    <w:p w14:paraId="6B8A4B6B" w14:textId="77777777" w:rsidR="0008002E" w:rsidRPr="00EE0EEB" w:rsidRDefault="0008002E" w:rsidP="0008002E">
      <w:pPr>
        <w:pStyle w:val="TableFooter"/>
      </w:pPr>
      <w:r w:rsidRPr="00EE0EEB">
        <w:t>MCID for iADRS was defined as 5 iADRS points or greater decrease for MCI patients and 9 iADRS points or greater decrease for mild AD patients, respectively, at two consecutive visits</w:t>
      </w:r>
    </w:p>
    <w:p w14:paraId="337C2B87" w14:textId="3D8754F9" w:rsidR="0008002E" w:rsidRDefault="0008002E" w:rsidP="00DD02B1">
      <w:pPr>
        <w:pStyle w:val="3-BodyText"/>
        <w:numPr>
          <w:ilvl w:val="1"/>
          <w:numId w:val="23"/>
        </w:numPr>
        <w:spacing w:before="60" w:after="60"/>
        <w:ind w:left="709" w:hanging="709"/>
      </w:pPr>
      <w:r w:rsidRPr="00FA2A19">
        <w:t>Compared to the placebo arm, patients in the donanemab arm had a 32.8% reduction in the hazard of experiencing a meaningful decline in iADRS score (HR = 0.68</w:t>
      </w:r>
      <w:r w:rsidR="00F42A54">
        <w:t>;</w:t>
      </w:r>
      <w:r w:rsidRPr="00FA2A19">
        <w:t xml:space="preserve"> 95% CI: 0.55, 0.83; p=0.0002), a 36.0% reduction in the hazard of experiencing a meaningful decline in CDR-SB score (HR = 0.64</w:t>
      </w:r>
      <w:r w:rsidR="00F42A54">
        <w:t>;</w:t>
      </w:r>
      <w:r w:rsidRPr="00FA2A19">
        <w:t xml:space="preserve"> 95% CI: 0.52, 0.79; p&lt;0.0001), and a 40% reduction in the hazard of experiencing a meaningful decline in CDR-G score (HR = 0.60</w:t>
      </w:r>
      <w:r w:rsidR="00F42A54">
        <w:t>;</w:t>
      </w:r>
      <w:r w:rsidRPr="00FA2A19">
        <w:t xml:space="preserve"> 95% CI: 0.48, 0.76; p&lt;0.0001). The corresponding differences in event rate between the donanemab and placebo arms did not appear large for the iADRS (-10.5%), CDR-SB (-12.0%), and CDR-G (-11.9%) scales.</w:t>
      </w:r>
    </w:p>
    <w:p w14:paraId="5CCC46BD" w14:textId="77777777" w:rsidR="00D97939" w:rsidRPr="00D97939" w:rsidRDefault="00D97939" w:rsidP="00D97939">
      <w:pPr>
        <w:rPr>
          <w:b/>
          <w:bCs/>
        </w:rPr>
      </w:pPr>
      <w:r w:rsidRPr="00D97939">
        <w:rPr>
          <w:b/>
          <w:bCs/>
        </w:rPr>
        <w:t>Subgroup analyses: by tau burden and other patient characteristics</w:t>
      </w:r>
    </w:p>
    <w:p w14:paraId="206E1AAC" w14:textId="4480D6B8" w:rsidR="00647948" w:rsidRPr="00FA2A19" w:rsidRDefault="000B11AF" w:rsidP="00DD02B1">
      <w:pPr>
        <w:pStyle w:val="3-BodyText"/>
        <w:numPr>
          <w:ilvl w:val="1"/>
          <w:numId w:val="23"/>
        </w:numPr>
        <w:spacing w:before="60" w:after="60"/>
        <w:ind w:left="709" w:hanging="709"/>
      </w:pPr>
      <w:r>
        <w:fldChar w:fldCharType="begin"/>
      </w:r>
      <w:r>
        <w:instrText xml:space="preserve"> REF _Ref204780712 \h </w:instrText>
      </w:r>
      <w:r>
        <w:fldChar w:fldCharType="separate"/>
      </w:r>
      <w:r w:rsidR="00392423">
        <w:t xml:space="preserve">Figure </w:t>
      </w:r>
      <w:r w:rsidR="00392423">
        <w:rPr>
          <w:noProof/>
        </w:rPr>
        <w:t>14</w:t>
      </w:r>
      <w:r>
        <w:fldChar w:fldCharType="end"/>
      </w:r>
      <w:r w:rsidR="00D97939">
        <w:t xml:space="preserve"> summarises results of subgroup analyses by baseline characteristics.</w:t>
      </w:r>
    </w:p>
    <w:p w14:paraId="2F8BF280" w14:textId="36B70BB3" w:rsidR="0008002E" w:rsidRPr="00EE0EEB" w:rsidRDefault="000B11AF" w:rsidP="000B11AF">
      <w:pPr>
        <w:pStyle w:val="Caption"/>
      </w:pPr>
      <w:bookmarkStart w:id="36" w:name="_Ref204780712"/>
      <w:r>
        <w:lastRenderedPageBreak/>
        <w:t xml:space="preserve">Figure </w:t>
      </w:r>
      <w:r>
        <w:fldChar w:fldCharType="begin"/>
      </w:r>
      <w:r>
        <w:instrText xml:space="preserve"> SEQ Figure \* ARABIC </w:instrText>
      </w:r>
      <w:r>
        <w:fldChar w:fldCharType="separate"/>
      </w:r>
      <w:r w:rsidR="00392423">
        <w:rPr>
          <w:noProof/>
        </w:rPr>
        <w:t>14</w:t>
      </w:r>
      <w:r>
        <w:fldChar w:fldCharType="end"/>
      </w:r>
      <w:bookmarkEnd w:id="36"/>
      <w:r w:rsidR="0008002E" w:rsidRPr="00EE0EEB">
        <w:fldChar w:fldCharType="begin"/>
      </w:r>
      <w:r w:rsidR="0008002E" w:rsidRPr="00EE0EEB">
        <w:instrText xml:space="preserve"> SEQ Figure_PBAC. \* ARABIC </w:instrText>
      </w:r>
      <w:r w:rsidR="0008002E" w:rsidRPr="00EE0EEB">
        <w:fldChar w:fldCharType="separate"/>
      </w:r>
      <w:r w:rsidR="00392423">
        <w:rPr>
          <w:noProof/>
        </w:rPr>
        <w:t>2</w:t>
      </w:r>
      <w:r w:rsidR="0008002E" w:rsidRPr="00EE0EEB">
        <w:fldChar w:fldCharType="end"/>
      </w:r>
      <w:r w:rsidR="00647948">
        <w:t xml:space="preserve">: </w:t>
      </w:r>
      <w:r w:rsidR="0008002E" w:rsidRPr="5EEE9212">
        <w:t>TB-2: Subgroup analyses by baseline characteristics for the iADRS change from baseline at Week 76 in the overall population</w:t>
      </w:r>
    </w:p>
    <w:p w14:paraId="26E2E408" w14:textId="77777777" w:rsidR="0008002E" w:rsidRPr="00EE0EEB" w:rsidRDefault="0008002E" w:rsidP="0008002E">
      <w:r w:rsidRPr="00EE0EEB">
        <w:rPr>
          <w:noProof/>
        </w:rPr>
        <w:drawing>
          <wp:inline distT="0" distB="0" distL="0" distR="0" wp14:anchorId="1DF7FAF9" wp14:editId="23FB1D0A">
            <wp:extent cx="5693410" cy="3503735"/>
            <wp:effectExtent l="0" t="0" r="2540" b="1905"/>
            <wp:docPr id="2026082751" name="Picture 2026082751" descr="Figure 14: TB-2: Subgroup analyses by baseline characteristics for the iADRS change from baseline at Week 76 in the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82751" name="Picture 2026082751" descr="Figure 14: TB-2: Subgroup analyses by baseline characteristics for the iADRS change from baseline at Week 76 in the overall population"/>
                    <pic:cNvPicPr/>
                  </pic:nvPicPr>
                  <pic:blipFill>
                    <a:blip r:embed="rId26"/>
                    <a:stretch>
                      <a:fillRect/>
                    </a:stretch>
                  </pic:blipFill>
                  <pic:spPr>
                    <a:xfrm>
                      <a:off x="0" y="0"/>
                      <a:ext cx="5698411" cy="3506812"/>
                    </a:xfrm>
                    <a:prstGeom prst="rect">
                      <a:avLst/>
                    </a:prstGeom>
                  </pic:spPr>
                </pic:pic>
              </a:graphicData>
            </a:graphic>
          </wp:inline>
        </w:drawing>
      </w:r>
    </w:p>
    <w:p w14:paraId="6952BDFA" w14:textId="77777777" w:rsidR="0008002E" w:rsidRPr="00EE0EEB" w:rsidRDefault="0008002E" w:rsidP="0008002E">
      <w:pPr>
        <w:pStyle w:val="TableFooter"/>
      </w:pPr>
      <w:r w:rsidRPr="00EE0EEB">
        <w:t>Source: Figure 243, p229 of the submission</w:t>
      </w:r>
    </w:p>
    <w:p w14:paraId="264F0D11" w14:textId="0343389F" w:rsidR="0008002E" w:rsidRPr="00EE0EEB" w:rsidRDefault="0008002E" w:rsidP="0008002E">
      <w:pPr>
        <w:pStyle w:val="TableFooter"/>
      </w:pPr>
      <w:r w:rsidRPr="00EE0EEB">
        <w:t>AD=Alzheimer</w:t>
      </w:r>
      <w:r w:rsidR="00F4444C">
        <w:t>’s</w:t>
      </w:r>
      <w:r w:rsidRPr="00EE0EEB">
        <w:t xml:space="preserve"> disease; Apoe4=apolipoprotein E allele 4; BMI=body mass index; CI=confidence interval; LS=least squares; iADRS=integrated Alzheimer</w:t>
      </w:r>
      <w:r w:rsidR="00F4444C">
        <w:t>’s</w:t>
      </w:r>
      <w:r w:rsidRPr="00EE0EEB">
        <w:t xml:space="preserve"> Disease Rating Scale; MCI=mild cognitive impairment</w:t>
      </w:r>
    </w:p>
    <w:p w14:paraId="41B51892" w14:textId="34935F13" w:rsidR="0008002E" w:rsidRPr="00FA2A19" w:rsidRDefault="0008002E" w:rsidP="00DD02B1">
      <w:pPr>
        <w:pStyle w:val="3-BodyText"/>
        <w:numPr>
          <w:ilvl w:val="1"/>
          <w:numId w:val="23"/>
        </w:numPr>
        <w:spacing w:before="60" w:after="60"/>
        <w:ind w:left="709" w:hanging="709"/>
      </w:pPr>
      <w:r w:rsidRPr="00FA2A19">
        <w:t>Patients enrolled in TB-2 were required to have confirmed presence of both amyloid and tau pathology. Randomisation was stratified by tau pathology (Intermediate versus High)</w:t>
      </w:r>
      <w:r w:rsidRPr="00630A71">
        <w:rPr>
          <w:rStyle w:val="FootnoteReference"/>
        </w:rPr>
        <w:footnoteReference w:id="43"/>
      </w:r>
      <w:r w:rsidRPr="00FA2A19">
        <w:t>. Analysis of the Intermediate tau (low/medium tau) population, in addition to analysis of the overall population, was a prespecified primary objective of the TB-2 trial. At Week 76, the mean (±SE) change from baseline in iADRS score in the intermediate tau population was -6.02 (±0.50) for the donanemab arm and -9.27 (±0.49) for the placebo arm, with a mean difference between the arms of 3.25 (95% CI: 1.88, 4.62</w:t>
      </w:r>
      <w:r w:rsidR="00F42A54">
        <w:t>;</w:t>
      </w:r>
      <w:r w:rsidRPr="00FA2A19">
        <w:t xml:space="preserve"> p&lt;0.001). This corresponded to a 35.1% (95% CI: 19.9, 50.2) reduction in disease decline in donanemab-treated patients compared with placebo-treated patients.</w:t>
      </w:r>
    </w:p>
    <w:p w14:paraId="5B7C793F" w14:textId="6D658F7A" w:rsidR="0008002E" w:rsidRPr="00FA2A19" w:rsidRDefault="0008002E" w:rsidP="00DD02B1">
      <w:pPr>
        <w:pStyle w:val="3-BodyText"/>
        <w:numPr>
          <w:ilvl w:val="1"/>
          <w:numId w:val="23"/>
        </w:numPr>
        <w:spacing w:before="60" w:after="60"/>
        <w:ind w:left="709" w:hanging="709"/>
        <w:rPr>
          <w:i/>
        </w:rPr>
      </w:pPr>
      <w:r w:rsidRPr="002F3140">
        <w:t xml:space="preserve">For </w:t>
      </w:r>
      <w:r w:rsidRPr="00FA2A19">
        <w:t>the high tau population, recognising the smaller number of patients in this subgroup, the mean difference between the donanemab and placebo arms was 1.26 (95% CI</w:t>
      </w:r>
      <w:r w:rsidR="00F42A54">
        <w:t>:</w:t>
      </w:r>
      <w:r w:rsidRPr="00FA2A19">
        <w:t xml:space="preserve"> -1.77, 4.28) which corresponds to a modest 6% reduction in disease decline in donanemab-treated patients compared with placebo-treated patients. The lower result in the high tau patients was likely due to downstream pathological processes that had already been initiated. Although the efficacy of donanemab in patients with </w:t>
      </w:r>
      <w:r w:rsidRPr="00FA2A19">
        <w:lastRenderedPageBreak/>
        <w:t xml:space="preserve">higher brain tau concentrations remains uncertain, this observation, together with donanemab-related safety concerns, require the careful selection of patients for treatment in clinical practice. </w:t>
      </w:r>
    </w:p>
    <w:p w14:paraId="5144486B" w14:textId="77777777" w:rsidR="0008002E" w:rsidRPr="005E379B" w:rsidRDefault="0008002E" w:rsidP="00DD02B1">
      <w:pPr>
        <w:pStyle w:val="3-BodyText"/>
        <w:numPr>
          <w:ilvl w:val="1"/>
          <w:numId w:val="23"/>
        </w:numPr>
        <w:spacing w:before="60" w:after="60"/>
        <w:ind w:left="709" w:hanging="709"/>
        <w:rPr>
          <w:iCs/>
        </w:rPr>
      </w:pPr>
      <w:r w:rsidRPr="00082CB2">
        <w:rPr>
          <w:iCs/>
        </w:rPr>
        <w:t xml:space="preserve">The PSCR stated that the TB-2 study was not powered to precisely estimate the effective size withing the smaller-sized tau subgroup, and thus, no formal statistical efficacy comparisons can be made between the Intermediate and High tau </w:t>
      </w:r>
      <w:r w:rsidRPr="005E379B">
        <w:rPr>
          <w:iCs/>
        </w:rPr>
        <w:t xml:space="preserve">populations. </w:t>
      </w:r>
    </w:p>
    <w:p w14:paraId="439B053E" w14:textId="492534BA" w:rsidR="0008002E" w:rsidRPr="005E379B" w:rsidRDefault="0008002E" w:rsidP="00DD02B1">
      <w:pPr>
        <w:pStyle w:val="3-BodyText"/>
        <w:numPr>
          <w:ilvl w:val="1"/>
          <w:numId w:val="23"/>
        </w:numPr>
        <w:spacing w:before="60" w:after="60"/>
        <w:ind w:left="709" w:hanging="709"/>
      </w:pPr>
      <w:r w:rsidRPr="005E379B">
        <w:t xml:space="preserve">In the TGA Delegate’s Overview, the sponsor noted that while a similar mean difference was observed in the low-medium and high tau populations, the relative percent slowing is lower in the high tau population, likely because of downstream pathological processes that have already been initiated. The sponsor further stated that </w:t>
      </w:r>
      <w:r w:rsidR="00D10887" w:rsidRPr="00D10887">
        <w:rPr>
          <w:color w:val="000000"/>
          <w:w w:val="60"/>
          <w:shd w:val="solid" w:color="000000" w:fill="000000"/>
          <w:fitText w:val="468" w:id="-623664119"/>
          <w14:textFill>
            <w14:solidFill>
              <w14:srgbClr w14:val="000000">
                <w14:alpha w14:val="100000"/>
              </w14:srgbClr>
            </w14:solidFill>
          </w14:textFill>
        </w:rPr>
        <w:t>|||  ||</w:t>
      </w:r>
      <w:r w:rsidR="00D10887" w:rsidRPr="00D10887">
        <w:rPr>
          <w:color w:val="000000"/>
          <w:spacing w:val="4"/>
          <w:w w:val="60"/>
          <w:shd w:val="solid" w:color="000000" w:fill="000000"/>
          <w:fitText w:val="468" w:id="-623664119"/>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72"/>
          <w14:textFill>
            <w14:solidFill>
              <w14:srgbClr w14:val="000000">
                <w14:alpha w14:val="100000"/>
              </w14:srgbClr>
            </w14:solidFill>
          </w14:textFill>
        </w:rPr>
        <w:t>|||  ||</w:t>
      </w:r>
      <w:r w:rsidR="00D10887" w:rsidRPr="00D10887">
        <w:rPr>
          <w:color w:val="000000"/>
          <w:spacing w:val="4"/>
          <w:w w:val="60"/>
          <w:shd w:val="solid" w:color="000000" w:fill="000000"/>
          <w:fitText w:val="468" w:id="-623663872"/>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71"/>
          <w14:textFill>
            <w14:solidFill>
              <w14:srgbClr w14:val="000000">
                <w14:alpha w14:val="100000"/>
              </w14:srgbClr>
            </w14:solidFill>
          </w14:textFill>
        </w:rPr>
        <w:t>|||  ||</w:t>
      </w:r>
      <w:r w:rsidR="00D10887" w:rsidRPr="00D10887">
        <w:rPr>
          <w:color w:val="000000"/>
          <w:spacing w:val="4"/>
          <w:w w:val="60"/>
          <w:shd w:val="solid" w:color="000000" w:fill="000000"/>
          <w:fitText w:val="468" w:id="-623663871"/>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70"/>
          <w14:textFill>
            <w14:solidFill>
              <w14:srgbClr w14:val="000000">
                <w14:alpha w14:val="100000"/>
              </w14:srgbClr>
            </w14:solidFill>
          </w14:textFill>
        </w:rPr>
        <w:t>|||  ||</w:t>
      </w:r>
      <w:r w:rsidR="00D10887" w:rsidRPr="00D10887">
        <w:rPr>
          <w:color w:val="000000"/>
          <w:spacing w:val="5"/>
          <w:w w:val="60"/>
          <w:shd w:val="solid" w:color="000000" w:fill="000000"/>
          <w:fitText w:val="469" w:id="-623663870"/>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69"/>
          <w14:textFill>
            <w14:solidFill>
              <w14:srgbClr w14:val="000000">
                <w14:alpha w14:val="100000"/>
              </w14:srgbClr>
            </w14:solidFill>
          </w14:textFill>
        </w:rPr>
        <w:t>|||  ||</w:t>
      </w:r>
      <w:r w:rsidR="00D10887" w:rsidRPr="00D10887">
        <w:rPr>
          <w:color w:val="000000"/>
          <w:spacing w:val="5"/>
          <w:w w:val="60"/>
          <w:shd w:val="solid" w:color="000000" w:fill="000000"/>
          <w:fitText w:val="469" w:id="-623663869"/>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68"/>
          <w14:textFill>
            <w14:solidFill>
              <w14:srgbClr w14:val="000000">
                <w14:alpha w14:val="100000"/>
              </w14:srgbClr>
            </w14:solidFill>
          </w14:textFill>
        </w:rPr>
        <w:t>|||  ||</w:t>
      </w:r>
      <w:r w:rsidR="00D10887" w:rsidRPr="00D10887">
        <w:rPr>
          <w:color w:val="000000"/>
          <w:spacing w:val="5"/>
          <w:w w:val="60"/>
          <w:shd w:val="solid" w:color="000000" w:fill="000000"/>
          <w:fitText w:val="469" w:id="-623663868"/>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7"/>
          <w14:textFill>
            <w14:solidFill>
              <w14:srgbClr w14:val="000000">
                <w14:alpha w14:val="100000"/>
              </w14:srgbClr>
            </w14:solidFill>
          </w14:textFill>
        </w:rPr>
        <w:t>|||  ||</w:t>
      </w:r>
      <w:r w:rsidR="00D10887" w:rsidRPr="00D10887">
        <w:rPr>
          <w:color w:val="000000"/>
          <w:spacing w:val="4"/>
          <w:w w:val="60"/>
          <w:shd w:val="solid" w:color="000000" w:fill="000000"/>
          <w:fitText w:val="468" w:id="-623663867"/>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6"/>
          <w14:textFill>
            <w14:solidFill>
              <w14:srgbClr w14:val="000000">
                <w14:alpha w14:val="100000"/>
              </w14:srgbClr>
            </w14:solidFill>
          </w14:textFill>
        </w:rPr>
        <w:t>|||  ||</w:t>
      </w:r>
      <w:r w:rsidR="00D10887" w:rsidRPr="00D10887">
        <w:rPr>
          <w:color w:val="000000"/>
          <w:spacing w:val="4"/>
          <w:w w:val="60"/>
          <w:shd w:val="solid" w:color="000000" w:fill="000000"/>
          <w:fitText w:val="468" w:id="-623663866"/>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65"/>
          <w14:textFill>
            <w14:solidFill>
              <w14:srgbClr w14:val="000000">
                <w14:alpha w14:val="100000"/>
              </w14:srgbClr>
            </w14:solidFill>
          </w14:textFill>
        </w:rPr>
        <w:t>|||  ||</w:t>
      </w:r>
      <w:r w:rsidR="00D10887" w:rsidRPr="00D10887">
        <w:rPr>
          <w:color w:val="000000"/>
          <w:spacing w:val="3"/>
          <w:w w:val="62"/>
          <w:shd w:val="solid" w:color="000000" w:fill="000000"/>
          <w:fitText w:val="481" w:id="-623663865"/>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4"/>
          <w14:textFill>
            <w14:solidFill>
              <w14:srgbClr w14:val="000000">
                <w14:alpha w14:val="100000"/>
              </w14:srgbClr>
            </w14:solidFill>
          </w14:textFill>
        </w:rPr>
        <w:t>|||  ||</w:t>
      </w:r>
      <w:r w:rsidR="00D10887" w:rsidRPr="00D10887">
        <w:rPr>
          <w:color w:val="000000"/>
          <w:spacing w:val="4"/>
          <w:w w:val="60"/>
          <w:shd w:val="solid" w:color="000000" w:fill="000000"/>
          <w:fitText w:val="468" w:id="-623663864"/>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63"/>
          <w14:textFill>
            <w14:solidFill>
              <w14:srgbClr w14:val="000000">
                <w14:alpha w14:val="100000"/>
              </w14:srgbClr>
            </w14:solidFill>
          </w14:textFill>
        </w:rPr>
        <w:t>|||  ||</w:t>
      </w:r>
      <w:r w:rsidR="00D10887" w:rsidRPr="00D10887">
        <w:rPr>
          <w:color w:val="000000"/>
          <w:spacing w:val="3"/>
          <w:w w:val="62"/>
          <w:shd w:val="solid" w:color="000000" w:fill="000000"/>
          <w:fitText w:val="481" w:id="-623663863"/>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2"/>
          <w14:textFill>
            <w14:solidFill>
              <w14:srgbClr w14:val="000000">
                <w14:alpha w14:val="100000"/>
              </w14:srgbClr>
            </w14:solidFill>
          </w14:textFill>
        </w:rPr>
        <w:t>|||  ||</w:t>
      </w:r>
      <w:r w:rsidR="00D10887" w:rsidRPr="00D10887">
        <w:rPr>
          <w:color w:val="000000"/>
          <w:spacing w:val="4"/>
          <w:w w:val="60"/>
          <w:shd w:val="solid" w:color="000000" w:fill="000000"/>
          <w:fitText w:val="468" w:id="-623663862"/>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1"/>
          <w14:textFill>
            <w14:solidFill>
              <w14:srgbClr w14:val="000000">
                <w14:alpha w14:val="100000"/>
              </w14:srgbClr>
            </w14:solidFill>
          </w14:textFill>
        </w:rPr>
        <w:t>|||  ||</w:t>
      </w:r>
      <w:r w:rsidR="00D10887" w:rsidRPr="00D10887">
        <w:rPr>
          <w:color w:val="000000"/>
          <w:spacing w:val="4"/>
          <w:w w:val="60"/>
          <w:shd w:val="solid" w:color="000000" w:fill="000000"/>
          <w:fitText w:val="468" w:id="-623663861"/>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0"/>
          <w14:textFill>
            <w14:solidFill>
              <w14:srgbClr w14:val="000000">
                <w14:alpha w14:val="100000"/>
              </w14:srgbClr>
            </w14:solidFill>
          </w14:textFill>
        </w:rPr>
        <w:t>|||  ||</w:t>
      </w:r>
      <w:r w:rsidR="00D10887" w:rsidRPr="00D10887">
        <w:rPr>
          <w:color w:val="000000"/>
          <w:spacing w:val="4"/>
          <w:w w:val="60"/>
          <w:shd w:val="solid" w:color="000000" w:fill="000000"/>
          <w:fitText w:val="468" w:id="-623663860"/>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59"/>
          <w14:textFill>
            <w14:solidFill>
              <w14:srgbClr w14:val="000000">
                <w14:alpha w14:val="100000"/>
              </w14:srgbClr>
            </w14:solidFill>
          </w14:textFill>
        </w:rPr>
        <w:t>|||  ||</w:t>
      </w:r>
      <w:r w:rsidR="00D10887" w:rsidRPr="00D10887">
        <w:rPr>
          <w:color w:val="000000"/>
          <w:spacing w:val="4"/>
          <w:w w:val="60"/>
          <w:shd w:val="solid" w:color="000000" w:fill="000000"/>
          <w:fitText w:val="468" w:id="-623663859"/>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58"/>
          <w14:textFill>
            <w14:solidFill>
              <w14:srgbClr w14:val="000000">
                <w14:alpha w14:val="100000"/>
              </w14:srgbClr>
            </w14:solidFill>
          </w14:textFill>
        </w:rPr>
        <w:t>|||  ||</w:t>
      </w:r>
      <w:r w:rsidR="00D10887" w:rsidRPr="00D10887">
        <w:rPr>
          <w:color w:val="000000"/>
          <w:spacing w:val="4"/>
          <w:w w:val="60"/>
          <w:shd w:val="solid" w:color="000000" w:fill="000000"/>
          <w:fitText w:val="468" w:id="-623663858"/>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57"/>
          <w14:textFill>
            <w14:solidFill>
              <w14:srgbClr w14:val="000000">
                <w14:alpha w14:val="100000"/>
              </w14:srgbClr>
            </w14:solidFill>
          </w14:textFill>
        </w:rPr>
        <w:t>|||  ||</w:t>
      </w:r>
      <w:r w:rsidR="00D10887" w:rsidRPr="00D10887">
        <w:rPr>
          <w:color w:val="000000"/>
          <w:spacing w:val="4"/>
          <w:w w:val="60"/>
          <w:shd w:val="solid" w:color="000000" w:fill="000000"/>
          <w:fitText w:val="468" w:id="-623663857"/>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56"/>
          <w14:textFill>
            <w14:solidFill>
              <w14:srgbClr w14:val="000000">
                <w14:alpha w14:val="100000"/>
              </w14:srgbClr>
            </w14:solidFill>
          </w14:textFill>
        </w:rPr>
        <w:t>|||  ||</w:t>
      </w:r>
      <w:r w:rsidR="00D10887" w:rsidRPr="00D10887">
        <w:rPr>
          <w:color w:val="000000"/>
          <w:spacing w:val="3"/>
          <w:w w:val="62"/>
          <w:shd w:val="solid" w:color="000000" w:fill="000000"/>
          <w:fitText w:val="481" w:id="-623663856"/>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72"/>
          <w14:textFill>
            <w14:solidFill>
              <w14:srgbClr w14:val="000000">
                <w14:alpha w14:val="100000"/>
              </w14:srgbClr>
            </w14:solidFill>
          </w14:textFill>
        </w:rPr>
        <w:t>|||  ||</w:t>
      </w:r>
      <w:r w:rsidR="00D10887" w:rsidRPr="00D10887">
        <w:rPr>
          <w:color w:val="000000"/>
          <w:spacing w:val="5"/>
          <w:w w:val="60"/>
          <w:shd w:val="solid" w:color="000000" w:fill="000000"/>
          <w:fitText w:val="469" w:id="-623663872"/>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71"/>
          <w14:textFill>
            <w14:solidFill>
              <w14:srgbClr w14:val="000000">
                <w14:alpha w14:val="100000"/>
              </w14:srgbClr>
            </w14:solidFill>
          </w14:textFill>
        </w:rPr>
        <w:t>|||  ||</w:t>
      </w:r>
      <w:r w:rsidR="00D10887" w:rsidRPr="00D10887">
        <w:rPr>
          <w:color w:val="000000"/>
          <w:spacing w:val="3"/>
          <w:w w:val="62"/>
          <w:shd w:val="solid" w:color="000000" w:fill="000000"/>
          <w:fitText w:val="481" w:id="-623663871"/>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70"/>
          <w14:textFill>
            <w14:solidFill>
              <w14:srgbClr w14:val="000000">
                <w14:alpha w14:val="100000"/>
              </w14:srgbClr>
            </w14:solidFill>
          </w14:textFill>
        </w:rPr>
        <w:t>|||  ||</w:t>
      </w:r>
      <w:r w:rsidR="00D10887" w:rsidRPr="00D10887">
        <w:rPr>
          <w:color w:val="000000"/>
          <w:spacing w:val="5"/>
          <w:w w:val="60"/>
          <w:shd w:val="solid" w:color="000000" w:fill="000000"/>
          <w:fitText w:val="469" w:id="-623663870"/>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69"/>
          <w14:textFill>
            <w14:solidFill>
              <w14:srgbClr w14:val="000000">
                <w14:alpha w14:val="100000"/>
              </w14:srgbClr>
            </w14:solidFill>
          </w14:textFill>
        </w:rPr>
        <w:t>|||  ||</w:t>
      </w:r>
      <w:r w:rsidR="00D10887" w:rsidRPr="00D10887">
        <w:rPr>
          <w:color w:val="000000"/>
          <w:spacing w:val="5"/>
          <w:w w:val="60"/>
          <w:shd w:val="solid" w:color="000000" w:fill="000000"/>
          <w:fitText w:val="469" w:id="-623663869"/>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8"/>
          <w14:textFill>
            <w14:solidFill>
              <w14:srgbClr w14:val="000000">
                <w14:alpha w14:val="100000"/>
              </w14:srgbClr>
            </w14:solidFill>
          </w14:textFill>
        </w:rPr>
        <w:t>|||  ||</w:t>
      </w:r>
      <w:r w:rsidR="00D10887" w:rsidRPr="00D10887">
        <w:rPr>
          <w:color w:val="000000"/>
          <w:spacing w:val="4"/>
          <w:w w:val="60"/>
          <w:shd w:val="solid" w:color="000000" w:fill="000000"/>
          <w:fitText w:val="468" w:id="-623663868"/>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67"/>
          <w14:textFill>
            <w14:solidFill>
              <w14:srgbClr w14:val="000000">
                <w14:alpha w14:val="100000"/>
              </w14:srgbClr>
            </w14:solidFill>
          </w14:textFill>
        </w:rPr>
        <w:t>|||  ||</w:t>
      </w:r>
      <w:r w:rsidR="00D10887" w:rsidRPr="00D10887">
        <w:rPr>
          <w:color w:val="000000"/>
          <w:spacing w:val="5"/>
          <w:w w:val="60"/>
          <w:shd w:val="solid" w:color="000000" w:fill="000000"/>
          <w:fitText w:val="469" w:id="-623663867"/>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6"/>
          <w14:textFill>
            <w14:solidFill>
              <w14:srgbClr w14:val="000000">
                <w14:alpha w14:val="100000"/>
              </w14:srgbClr>
            </w14:solidFill>
          </w14:textFill>
        </w:rPr>
        <w:t>|||  ||</w:t>
      </w:r>
      <w:r w:rsidR="00D10887" w:rsidRPr="00D10887">
        <w:rPr>
          <w:color w:val="000000"/>
          <w:spacing w:val="4"/>
          <w:w w:val="60"/>
          <w:shd w:val="solid" w:color="000000" w:fill="000000"/>
          <w:fitText w:val="468" w:id="-623663866"/>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65"/>
          <w14:textFill>
            <w14:solidFill>
              <w14:srgbClr w14:val="000000">
                <w14:alpha w14:val="100000"/>
              </w14:srgbClr>
            </w14:solidFill>
          </w14:textFill>
        </w:rPr>
        <w:t>|||  ||</w:t>
      </w:r>
      <w:r w:rsidR="00D10887" w:rsidRPr="00D10887">
        <w:rPr>
          <w:color w:val="000000"/>
          <w:spacing w:val="3"/>
          <w:w w:val="62"/>
          <w:shd w:val="solid" w:color="000000" w:fill="000000"/>
          <w:fitText w:val="481" w:id="-623663865"/>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4"/>
          <w14:textFill>
            <w14:solidFill>
              <w14:srgbClr w14:val="000000">
                <w14:alpha w14:val="100000"/>
              </w14:srgbClr>
            </w14:solidFill>
          </w14:textFill>
        </w:rPr>
        <w:t>|||  ||</w:t>
      </w:r>
      <w:r w:rsidR="00D10887" w:rsidRPr="00D10887">
        <w:rPr>
          <w:color w:val="000000"/>
          <w:spacing w:val="4"/>
          <w:w w:val="60"/>
          <w:shd w:val="solid" w:color="000000" w:fill="000000"/>
          <w:fitText w:val="468" w:id="-623663864"/>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3"/>
          <w14:textFill>
            <w14:solidFill>
              <w14:srgbClr w14:val="000000">
                <w14:alpha w14:val="100000"/>
              </w14:srgbClr>
            </w14:solidFill>
          </w14:textFill>
        </w:rPr>
        <w:t>|||  ||</w:t>
      </w:r>
      <w:r w:rsidR="00D10887" w:rsidRPr="00D10887">
        <w:rPr>
          <w:color w:val="000000"/>
          <w:spacing w:val="4"/>
          <w:w w:val="60"/>
          <w:shd w:val="solid" w:color="000000" w:fill="000000"/>
          <w:fitText w:val="468" w:id="-623663863"/>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2"/>
          <w14:textFill>
            <w14:solidFill>
              <w14:srgbClr w14:val="000000">
                <w14:alpha w14:val="100000"/>
              </w14:srgbClr>
            </w14:solidFill>
          </w14:textFill>
        </w:rPr>
        <w:t>|||  ||</w:t>
      </w:r>
      <w:r w:rsidR="00D10887" w:rsidRPr="00D10887">
        <w:rPr>
          <w:color w:val="000000"/>
          <w:spacing w:val="4"/>
          <w:w w:val="60"/>
          <w:shd w:val="solid" w:color="000000" w:fill="000000"/>
          <w:fitText w:val="468" w:id="-623663862"/>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1"/>
          <w14:textFill>
            <w14:solidFill>
              <w14:srgbClr w14:val="000000">
                <w14:alpha w14:val="100000"/>
              </w14:srgbClr>
            </w14:solidFill>
          </w14:textFill>
        </w:rPr>
        <w:t>|||  ||</w:t>
      </w:r>
      <w:r w:rsidR="00D10887" w:rsidRPr="00D10887">
        <w:rPr>
          <w:color w:val="000000"/>
          <w:spacing w:val="4"/>
          <w:w w:val="60"/>
          <w:shd w:val="solid" w:color="000000" w:fill="000000"/>
          <w:fitText w:val="468" w:id="-623663861"/>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0"/>
          <w14:textFill>
            <w14:solidFill>
              <w14:srgbClr w14:val="000000">
                <w14:alpha w14:val="100000"/>
              </w14:srgbClr>
            </w14:solidFill>
          </w14:textFill>
        </w:rPr>
        <w:t>|||  ||</w:t>
      </w:r>
      <w:r w:rsidR="00D10887" w:rsidRPr="00D10887">
        <w:rPr>
          <w:color w:val="000000"/>
          <w:spacing w:val="4"/>
          <w:w w:val="60"/>
          <w:shd w:val="solid" w:color="000000" w:fill="000000"/>
          <w:fitText w:val="468" w:id="-623663860"/>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59"/>
          <w14:textFill>
            <w14:solidFill>
              <w14:srgbClr w14:val="000000">
                <w14:alpha w14:val="100000"/>
              </w14:srgbClr>
            </w14:solidFill>
          </w14:textFill>
        </w:rPr>
        <w:t>|||  ||</w:t>
      </w:r>
      <w:r w:rsidR="00D10887" w:rsidRPr="00D10887">
        <w:rPr>
          <w:color w:val="000000"/>
          <w:spacing w:val="4"/>
          <w:w w:val="60"/>
          <w:shd w:val="solid" w:color="000000" w:fill="000000"/>
          <w:fitText w:val="468" w:id="-623663859"/>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58"/>
          <w14:textFill>
            <w14:solidFill>
              <w14:srgbClr w14:val="000000">
                <w14:alpha w14:val="100000"/>
              </w14:srgbClr>
            </w14:solidFill>
          </w14:textFill>
        </w:rPr>
        <w:t>|||  ||</w:t>
      </w:r>
      <w:r w:rsidR="00D10887" w:rsidRPr="00D10887">
        <w:rPr>
          <w:color w:val="000000"/>
          <w:spacing w:val="4"/>
          <w:w w:val="60"/>
          <w:shd w:val="solid" w:color="000000" w:fill="000000"/>
          <w:fitText w:val="468" w:id="-623663858"/>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57"/>
          <w14:textFill>
            <w14:solidFill>
              <w14:srgbClr w14:val="000000">
                <w14:alpha w14:val="100000"/>
              </w14:srgbClr>
            </w14:solidFill>
          </w14:textFill>
        </w:rPr>
        <w:t>|||  ||</w:t>
      </w:r>
      <w:r w:rsidR="00D10887" w:rsidRPr="00D10887">
        <w:rPr>
          <w:color w:val="000000"/>
          <w:spacing w:val="3"/>
          <w:w w:val="62"/>
          <w:shd w:val="solid" w:color="000000" w:fill="000000"/>
          <w:fitText w:val="481" w:id="-623663857"/>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56"/>
          <w14:textFill>
            <w14:solidFill>
              <w14:srgbClr w14:val="000000">
                <w14:alpha w14:val="100000"/>
              </w14:srgbClr>
            </w14:solidFill>
          </w14:textFill>
        </w:rPr>
        <w:t>|||  ||</w:t>
      </w:r>
      <w:r w:rsidR="00D10887" w:rsidRPr="00D10887">
        <w:rPr>
          <w:color w:val="000000"/>
          <w:spacing w:val="5"/>
          <w:w w:val="60"/>
          <w:shd w:val="solid" w:color="000000" w:fill="000000"/>
          <w:fitText w:val="469" w:id="-623663856"/>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72"/>
          <w14:textFill>
            <w14:solidFill>
              <w14:srgbClr w14:val="000000">
                <w14:alpha w14:val="100000"/>
              </w14:srgbClr>
            </w14:solidFill>
          </w14:textFill>
        </w:rPr>
        <w:t>|||  ||</w:t>
      </w:r>
      <w:r w:rsidR="00D10887" w:rsidRPr="00D10887">
        <w:rPr>
          <w:color w:val="000000"/>
          <w:spacing w:val="3"/>
          <w:w w:val="62"/>
          <w:shd w:val="solid" w:color="000000" w:fill="000000"/>
          <w:fitText w:val="481" w:id="-623663872"/>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71"/>
          <w14:textFill>
            <w14:solidFill>
              <w14:srgbClr w14:val="000000">
                <w14:alpha w14:val="100000"/>
              </w14:srgbClr>
            </w14:solidFill>
          </w14:textFill>
        </w:rPr>
        <w:t>|||  ||</w:t>
      </w:r>
      <w:r w:rsidR="00D10887" w:rsidRPr="00D10887">
        <w:rPr>
          <w:color w:val="000000"/>
          <w:spacing w:val="5"/>
          <w:w w:val="60"/>
          <w:shd w:val="solid" w:color="000000" w:fill="000000"/>
          <w:fitText w:val="469" w:id="-623663871"/>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70"/>
          <w14:textFill>
            <w14:solidFill>
              <w14:srgbClr w14:val="000000">
                <w14:alpha w14:val="100000"/>
              </w14:srgbClr>
            </w14:solidFill>
          </w14:textFill>
        </w:rPr>
        <w:t>|||  ||</w:t>
      </w:r>
      <w:r w:rsidR="00D10887" w:rsidRPr="00D10887">
        <w:rPr>
          <w:color w:val="000000"/>
          <w:spacing w:val="5"/>
          <w:w w:val="60"/>
          <w:shd w:val="solid" w:color="000000" w:fill="000000"/>
          <w:fitText w:val="469" w:id="-623663870"/>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9"/>
          <w14:textFill>
            <w14:solidFill>
              <w14:srgbClr w14:val="000000">
                <w14:alpha w14:val="100000"/>
              </w14:srgbClr>
            </w14:solidFill>
          </w14:textFill>
        </w:rPr>
        <w:t>|||  ||</w:t>
      </w:r>
      <w:r w:rsidR="00D10887" w:rsidRPr="00D10887">
        <w:rPr>
          <w:color w:val="000000"/>
          <w:spacing w:val="4"/>
          <w:w w:val="60"/>
          <w:shd w:val="solid" w:color="000000" w:fill="000000"/>
          <w:fitText w:val="468" w:id="-623663869"/>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68"/>
          <w14:textFill>
            <w14:solidFill>
              <w14:srgbClr w14:val="000000">
                <w14:alpha w14:val="100000"/>
              </w14:srgbClr>
            </w14:solidFill>
          </w14:textFill>
        </w:rPr>
        <w:t>|||  ||</w:t>
      </w:r>
      <w:r w:rsidR="00D10887" w:rsidRPr="00D10887">
        <w:rPr>
          <w:color w:val="000000"/>
          <w:spacing w:val="5"/>
          <w:w w:val="60"/>
          <w:shd w:val="solid" w:color="000000" w:fill="000000"/>
          <w:fitText w:val="469" w:id="-623663868"/>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7"/>
          <w14:textFill>
            <w14:solidFill>
              <w14:srgbClr w14:val="000000">
                <w14:alpha w14:val="100000"/>
              </w14:srgbClr>
            </w14:solidFill>
          </w14:textFill>
        </w:rPr>
        <w:t>|||  ||</w:t>
      </w:r>
      <w:r w:rsidR="00D10887" w:rsidRPr="00D10887">
        <w:rPr>
          <w:color w:val="000000"/>
          <w:spacing w:val="4"/>
          <w:w w:val="60"/>
          <w:shd w:val="solid" w:color="000000" w:fill="000000"/>
          <w:fitText w:val="468" w:id="-623663867"/>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66"/>
          <w14:textFill>
            <w14:solidFill>
              <w14:srgbClr w14:val="000000">
                <w14:alpha w14:val="100000"/>
              </w14:srgbClr>
            </w14:solidFill>
          </w14:textFill>
        </w:rPr>
        <w:t>|||  ||</w:t>
      </w:r>
      <w:r w:rsidR="00D10887" w:rsidRPr="00D10887">
        <w:rPr>
          <w:color w:val="000000"/>
          <w:spacing w:val="3"/>
          <w:w w:val="62"/>
          <w:shd w:val="solid" w:color="000000" w:fill="000000"/>
          <w:fitText w:val="481" w:id="-623663866"/>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5"/>
          <w14:textFill>
            <w14:solidFill>
              <w14:srgbClr w14:val="000000">
                <w14:alpha w14:val="100000"/>
              </w14:srgbClr>
            </w14:solidFill>
          </w14:textFill>
        </w:rPr>
        <w:t>|||  ||</w:t>
      </w:r>
      <w:r w:rsidR="00D10887" w:rsidRPr="00D10887">
        <w:rPr>
          <w:color w:val="000000"/>
          <w:spacing w:val="4"/>
          <w:w w:val="60"/>
          <w:shd w:val="solid" w:color="000000" w:fill="000000"/>
          <w:fitText w:val="468" w:id="-623663865"/>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4"/>
          <w14:textFill>
            <w14:solidFill>
              <w14:srgbClr w14:val="000000">
                <w14:alpha w14:val="100000"/>
              </w14:srgbClr>
            </w14:solidFill>
          </w14:textFill>
        </w:rPr>
        <w:t>|||  ||</w:t>
      </w:r>
      <w:r w:rsidR="00D10887" w:rsidRPr="00D10887">
        <w:rPr>
          <w:color w:val="000000"/>
          <w:spacing w:val="4"/>
          <w:w w:val="60"/>
          <w:shd w:val="solid" w:color="000000" w:fill="000000"/>
          <w:fitText w:val="468" w:id="-623663864"/>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3"/>
          <w14:textFill>
            <w14:solidFill>
              <w14:srgbClr w14:val="000000">
                <w14:alpha w14:val="100000"/>
              </w14:srgbClr>
            </w14:solidFill>
          </w14:textFill>
        </w:rPr>
        <w:t>|||  ||</w:t>
      </w:r>
      <w:r w:rsidR="00D10887" w:rsidRPr="00D10887">
        <w:rPr>
          <w:color w:val="000000"/>
          <w:spacing w:val="4"/>
          <w:w w:val="60"/>
          <w:shd w:val="solid" w:color="000000" w:fill="000000"/>
          <w:fitText w:val="468" w:id="-623663863"/>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2"/>
          <w14:textFill>
            <w14:solidFill>
              <w14:srgbClr w14:val="000000">
                <w14:alpha w14:val="100000"/>
              </w14:srgbClr>
            </w14:solidFill>
          </w14:textFill>
        </w:rPr>
        <w:t>|||  ||</w:t>
      </w:r>
      <w:r w:rsidR="00D10887" w:rsidRPr="00D10887">
        <w:rPr>
          <w:color w:val="000000"/>
          <w:spacing w:val="4"/>
          <w:w w:val="60"/>
          <w:shd w:val="solid" w:color="000000" w:fill="000000"/>
          <w:fitText w:val="468" w:id="-623663862"/>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1"/>
          <w14:textFill>
            <w14:solidFill>
              <w14:srgbClr w14:val="000000">
                <w14:alpha w14:val="100000"/>
              </w14:srgbClr>
            </w14:solidFill>
          </w14:textFill>
        </w:rPr>
        <w:t>|||  ||</w:t>
      </w:r>
      <w:r w:rsidR="00D10887" w:rsidRPr="00D10887">
        <w:rPr>
          <w:color w:val="000000"/>
          <w:spacing w:val="4"/>
          <w:w w:val="60"/>
          <w:shd w:val="solid" w:color="000000" w:fill="000000"/>
          <w:fitText w:val="468" w:id="-623663861"/>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60"/>
          <w14:textFill>
            <w14:solidFill>
              <w14:srgbClr w14:val="000000">
                <w14:alpha w14:val="100000"/>
              </w14:srgbClr>
            </w14:solidFill>
          </w14:textFill>
        </w:rPr>
        <w:t>|||  ||</w:t>
      </w:r>
      <w:r w:rsidR="00D10887" w:rsidRPr="00D10887">
        <w:rPr>
          <w:color w:val="000000"/>
          <w:spacing w:val="4"/>
          <w:w w:val="60"/>
          <w:shd w:val="solid" w:color="000000" w:fill="000000"/>
          <w:fitText w:val="468" w:id="-623663860"/>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59"/>
          <w14:textFill>
            <w14:solidFill>
              <w14:srgbClr w14:val="000000">
                <w14:alpha w14:val="100000"/>
              </w14:srgbClr>
            </w14:solidFill>
          </w14:textFill>
        </w:rPr>
        <w:t>|||  ||</w:t>
      </w:r>
      <w:r w:rsidR="00D10887" w:rsidRPr="00D10887">
        <w:rPr>
          <w:color w:val="000000"/>
          <w:spacing w:val="3"/>
          <w:w w:val="62"/>
          <w:shd w:val="solid" w:color="000000" w:fill="000000"/>
          <w:fitText w:val="481" w:id="-623663859"/>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58"/>
          <w14:textFill>
            <w14:solidFill>
              <w14:srgbClr w14:val="000000">
                <w14:alpha w14:val="100000"/>
              </w14:srgbClr>
            </w14:solidFill>
          </w14:textFill>
        </w:rPr>
        <w:t>|||  ||</w:t>
      </w:r>
      <w:r w:rsidR="00D10887" w:rsidRPr="00D10887">
        <w:rPr>
          <w:color w:val="000000"/>
          <w:spacing w:val="4"/>
          <w:w w:val="60"/>
          <w:shd w:val="solid" w:color="000000" w:fill="000000"/>
          <w:fitText w:val="468" w:id="-623663858"/>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8" w:id="-623663857"/>
          <w14:textFill>
            <w14:solidFill>
              <w14:srgbClr w14:val="000000">
                <w14:alpha w14:val="100000"/>
              </w14:srgbClr>
            </w14:solidFill>
          </w14:textFill>
        </w:rPr>
        <w:t>|||  ||</w:t>
      </w:r>
      <w:r w:rsidR="00D10887" w:rsidRPr="00D10887">
        <w:rPr>
          <w:color w:val="000000"/>
          <w:spacing w:val="4"/>
          <w:w w:val="60"/>
          <w:shd w:val="solid" w:color="000000" w:fill="000000"/>
          <w:fitText w:val="468" w:id="-623663857"/>
          <w14:textFill>
            <w14:solidFill>
              <w14:srgbClr w14:val="000000">
                <w14:alpha w14:val="100000"/>
              </w14:srgbClr>
            </w14:solidFill>
          </w14:textFill>
        </w:rPr>
        <w:t>|</w:t>
      </w:r>
      <w:r w:rsidR="00D10887" w:rsidRPr="00D10887">
        <w:t xml:space="preserve"> </w:t>
      </w:r>
      <w:r w:rsidR="00D10887" w:rsidRPr="00D10887">
        <w:rPr>
          <w:color w:val="000000"/>
          <w:w w:val="62"/>
          <w:shd w:val="solid" w:color="000000" w:fill="000000"/>
          <w:fitText w:val="481" w:id="-623663856"/>
          <w14:textFill>
            <w14:solidFill>
              <w14:srgbClr w14:val="000000">
                <w14:alpha w14:val="100000"/>
              </w14:srgbClr>
            </w14:solidFill>
          </w14:textFill>
        </w:rPr>
        <w:t>|||  ||</w:t>
      </w:r>
      <w:r w:rsidR="00D10887" w:rsidRPr="00D10887">
        <w:rPr>
          <w:color w:val="000000"/>
          <w:spacing w:val="3"/>
          <w:w w:val="62"/>
          <w:shd w:val="solid" w:color="000000" w:fill="000000"/>
          <w:fitText w:val="481" w:id="-623663856"/>
          <w14:textFill>
            <w14:solidFill>
              <w14:srgbClr w14:val="000000">
                <w14:alpha w14:val="100000"/>
              </w14:srgbClr>
            </w14:solidFill>
          </w14:textFill>
        </w:rPr>
        <w:t>|</w:t>
      </w:r>
      <w:r w:rsidR="00D10887" w:rsidRPr="00D10887">
        <w:t xml:space="preserve"> </w:t>
      </w:r>
      <w:r w:rsidR="00D10887" w:rsidRPr="00D10887">
        <w:rPr>
          <w:color w:val="000000"/>
          <w:w w:val="60"/>
          <w:shd w:val="solid" w:color="000000" w:fill="000000"/>
          <w:fitText w:val="469" w:id="-623663872"/>
          <w14:textFill>
            <w14:solidFill>
              <w14:srgbClr w14:val="000000">
                <w14:alpha w14:val="100000"/>
              </w14:srgbClr>
            </w14:solidFill>
          </w14:textFill>
        </w:rPr>
        <w:t>|||  ||</w:t>
      </w:r>
      <w:r w:rsidR="00D10887" w:rsidRPr="00D10887">
        <w:rPr>
          <w:color w:val="000000"/>
          <w:spacing w:val="5"/>
          <w:w w:val="60"/>
          <w:shd w:val="solid" w:color="000000" w:fill="000000"/>
          <w:fitText w:val="469" w:id="-623663872"/>
          <w14:textFill>
            <w14:solidFill>
              <w14:srgbClr w14:val="000000">
                <w14:alpha w14:val="100000"/>
              </w14:srgbClr>
            </w14:solidFill>
          </w14:textFill>
        </w:rPr>
        <w:t>|</w:t>
      </w:r>
      <w:r w:rsidR="00D10887" w:rsidRPr="00D10887">
        <w:t xml:space="preserve"> </w:t>
      </w:r>
      <w:r w:rsidR="00D10887" w:rsidRPr="0055418C">
        <w:rPr>
          <w:color w:val="000000"/>
          <w:w w:val="60"/>
          <w:shd w:val="solid" w:color="000000" w:fill="000000"/>
          <w:fitText w:val="469" w:id="-623663871"/>
          <w14:textFill>
            <w14:solidFill>
              <w14:srgbClr w14:val="000000">
                <w14:alpha w14:val="100000"/>
              </w14:srgbClr>
            </w14:solidFill>
          </w14:textFill>
        </w:rPr>
        <w:t>|||  ||</w:t>
      </w:r>
      <w:r w:rsidR="00D10887" w:rsidRPr="0055418C">
        <w:rPr>
          <w:color w:val="000000"/>
          <w:spacing w:val="5"/>
          <w:w w:val="60"/>
          <w:shd w:val="solid" w:color="000000" w:fill="000000"/>
          <w:fitText w:val="469" w:id="-623663871"/>
          <w14:textFill>
            <w14:solidFill>
              <w14:srgbClr w14:val="000000">
                <w14:alpha w14:val="100000"/>
              </w14:srgbClr>
            </w14:solidFill>
          </w14:textFill>
        </w:rPr>
        <w:t>|</w:t>
      </w:r>
      <w:r w:rsidRPr="005E379B">
        <w:t>.</w:t>
      </w:r>
    </w:p>
    <w:p w14:paraId="2D24E33B" w14:textId="4C936F80" w:rsidR="0008002E" w:rsidRPr="00FA2A19" w:rsidRDefault="0008002E" w:rsidP="00DD02B1">
      <w:pPr>
        <w:pStyle w:val="3-BodyText"/>
        <w:numPr>
          <w:ilvl w:val="1"/>
          <w:numId w:val="23"/>
        </w:numPr>
        <w:spacing w:before="60" w:after="60"/>
        <w:ind w:left="709" w:hanging="709"/>
      </w:pPr>
      <w:r w:rsidRPr="00FA2A19">
        <w:t xml:space="preserve">Additional subgroup analyses were presented to evaluate clinical progression among patients in the overall population who achieved early amyloid clearance (defined as &lt;24.1 CL) at 24 weeks or at 54 weeks, and who switched to placebo. </w:t>
      </w:r>
      <w:r w:rsidR="000B11AF">
        <w:fldChar w:fldCharType="begin"/>
      </w:r>
      <w:r w:rsidR="000B11AF">
        <w:instrText xml:space="preserve"> REF _Ref204780733 \h </w:instrText>
      </w:r>
      <w:r w:rsidR="000B11AF">
        <w:fldChar w:fldCharType="separate"/>
      </w:r>
      <w:r w:rsidR="00392423">
        <w:t xml:space="preserve">Figure </w:t>
      </w:r>
      <w:r w:rsidR="00392423">
        <w:rPr>
          <w:noProof/>
        </w:rPr>
        <w:t>15</w:t>
      </w:r>
      <w:r w:rsidR="000B11AF">
        <w:fldChar w:fldCharType="end"/>
      </w:r>
      <w:r w:rsidR="009A2FB2">
        <w:t xml:space="preserve"> </w:t>
      </w:r>
      <w:r w:rsidRPr="00FA2A19">
        <w:t xml:space="preserve">summarises the results. A comparison with patients who did not achieve early amyloid clearance at 24 weeks is presented in </w:t>
      </w:r>
      <w:r w:rsidR="000B11AF">
        <w:fldChar w:fldCharType="begin"/>
      </w:r>
      <w:r w:rsidR="000B11AF">
        <w:instrText xml:space="preserve"> REF _Ref204780761 \h </w:instrText>
      </w:r>
      <w:r w:rsidR="000B11AF">
        <w:fldChar w:fldCharType="separate"/>
      </w:r>
      <w:r w:rsidR="00392423">
        <w:t xml:space="preserve">Figure </w:t>
      </w:r>
      <w:r w:rsidR="00392423">
        <w:rPr>
          <w:noProof/>
        </w:rPr>
        <w:t>16</w:t>
      </w:r>
      <w:r w:rsidR="000B11AF">
        <w:fldChar w:fldCharType="end"/>
      </w:r>
      <w:r w:rsidRPr="00FA2A19">
        <w:t>.</w:t>
      </w:r>
    </w:p>
    <w:p w14:paraId="7B2E21C0" w14:textId="3113FEDD" w:rsidR="0008002E" w:rsidRPr="00EE0EEB" w:rsidRDefault="000B11AF" w:rsidP="000B11AF">
      <w:pPr>
        <w:pStyle w:val="Caption"/>
      </w:pPr>
      <w:bookmarkStart w:id="37" w:name="_Ref204780733"/>
      <w:r>
        <w:t xml:space="preserve">Figure </w:t>
      </w:r>
      <w:r>
        <w:fldChar w:fldCharType="begin"/>
      </w:r>
      <w:r>
        <w:instrText xml:space="preserve"> SEQ Figure \* ARABIC </w:instrText>
      </w:r>
      <w:r>
        <w:fldChar w:fldCharType="separate"/>
      </w:r>
      <w:r w:rsidR="00392423">
        <w:rPr>
          <w:noProof/>
        </w:rPr>
        <w:t>15</w:t>
      </w:r>
      <w:r>
        <w:fldChar w:fldCharType="end"/>
      </w:r>
      <w:bookmarkEnd w:id="37"/>
      <w:r w:rsidR="0008002E" w:rsidRPr="00EE0EEB">
        <w:fldChar w:fldCharType="begin"/>
      </w:r>
      <w:r w:rsidR="0008002E" w:rsidRPr="00EE0EEB">
        <w:instrText xml:space="preserve"> SEQ Figure_PBAC. \* ARABIC </w:instrText>
      </w:r>
      <w:r w:rsidR="0008002E" w:rsidRPr="00EE0EEB">
        <w:fldChar w:fldCharType="separate"/>
      </w:r>
      <w:r w:rsidR="00392423">
        <w:rPr>
          <w:noProof/>
        </w:rPr>
        <w:t>3</w:t>
      </w:r>
      <w:r w:rsidR="0008002E" w:rsidRPr="00EE0EEB">
        <w:fldChar w:fldCharType="end"/>
      </w:r>
      <w:r w:rsidR="00D97939">
        <w:t xml:space="preserve">: </w:t>
      </w:r>
      <w:r w:rsidR="0008002E" w:rsidRPr="5EEE9212">
        <w:t>Change from baseline to Week 76 in patients who achieved early amyloid clearance (&lt;24.1 CL) at Weeks 24 or 52, and who switched to placebo as measured by (A) iADRS and (B) CDR-SB</w:t>
      </w:r>
    </w:p>
    <w:p w14:paraId="33D1C25B" w14:textId="77777777" w:rsidR="0008002E" w:rsidRPr="00EE0EEB" w:rsidRDefault="0008002E" w:rsidP="0008002E">
      <w:pPr>
        <w:pStyle w:val="TableFooter"/>
      </w:pPr>
      <w:r w:rsidRPr="00EE0EEB">
        <w:rPr>
          <w:noProof/>
        </w:rPr>
        <w:drawing>
          <wp:inline distT="0" distB="0" distL="0" distR="0" wp14:anchorId="0C9CA646" wp14:editId="1D965A8C">
            <wp:extent cx="6133217" cy="2852928"/>
            <wp:effectExtent l="0" t="0" r="1270" b="5080"/>
            <wp:docPr id="16818201" name="Picture 16818201" descr="Figure 15: Change from baseline to Week 76 in patients who achieved early amyloid clearance (&lt;24.1 CL) at Weeks 24 or 52, and who switched to placebo as measured by (A) iADRS and (B) CDR-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201" name="Picture 16818201" descr="Figure 15: Change from baseline to Week 76 in patients who achieved early amyloid clearance (&lt;24.1 CL) at Weeks 24 or 52, and who switched to placebo as measured by (A) iADRS and (B) CDR-SB"/>
                    <pic:cNvPicPr/>
                  </pic:nvPicPr>
                  <pic:blipFill>
                    <a:blip r:embed="rId27"/>
                    <a:stretch>
                      <a:fillRect/>
                    </a:stretch>
                  </pic:blipFill>
                  <pic:spPr>
                    <a:xfrm>
                      <a:off x="0" y="0"/>
                      <a:ext cx="6174771" cy="2872257"/>
                    </a:xfrm>
                    <a:prstGeom prst="rect">
                      <a:avLst/>
                    </a:prstGeom>
                  </pic:spPr>
                </pic:pic>
              </a:graphicData>
            </a:graphic>
          </wp:inline>
        </w:drawing>
      </w:r>
    </w:p>
    <w:p w14:paraId="1119DD6D" w14:textId="77777777" w:rsidR="0008002E" w:rsidRPr="00EE0EEB" w:rsidRDefault="0008002E" w:rsidP="0008002E">
      <w:pPr>
        <w:pStyle w:val="TableFooter"/>
      </w:pPr>
      <w:r w:rsidRPr="00EE0EEB">
        <w:t>Source: Figure 2-46, p232 of the submission</w:t>
      </w:r>
    </w:p>
    <w:p w14:paraId="28505333" w14:textId="728E155A" w:rsidR="0008002E" w:rsidRPr="00EE0EEB" w:rsidRDefault="0008002E" w:rsidP="0008002E">
      <w:pPr>
        <w:pStyle w:val="TableFooter"/>
      </w:pPr>
      <w:r w:rsidRPr="00EE0EEB">
        <w:t>Nominal **p&lt;0.01; ***p&lt;0.001, ****p&lt;0.0001 vs placebo. CDR-SB=Clinical Dementia Rating Scale–Sum of Boxes; CL=Centiloid; EC=early clearance; iADRS=integrated Alzheimer</w:t>
      </w:r>
      <w:r w:rsidR="00F4444C">
        <w:t>’s</w:t>
      </w:r>
      <w:r w:rsidRPr="00EE0EEB">
        <w:t xml:space="preserve"> Disease Rating Scale; LS=least squares; SE=standard error</w:t>
      </w:r>
    </w:p>
    <w:p w14:paraId="2C9492A3" w14:textId="3A6FF16F" w:rsidR="0008002E" w:rsidRPr="00EE0EEB" w:rsidRDefault="000B11AF" w:rsidP="000B11AF">
      <w:pPr>
        <w:pStyle w:val="Caption"/>
      </w:pPr>
      <w:bookmarkStart w:id="38" w:name="_Ref204780761"/>
      <w:r>
        <w:lastRenderedPageBreak/>
        <w:t xml:space="preserve">Figure </w:t>
      </w:r>
      <w:r>
        <w:fldChar w:fldCharType="begin"/>
      </w:r>
      <w:r>
        <w:instrText xml:space="preserve"> SEQ Figure \* ARABIC </w:instrText>
      </w:r>
      <w:r>
        <w:fldChar w:fldCharType="separate"/>
      </w:r>
      <w:r w:rsidR="00392423">
        <w:rPr>
          <w:noProof/>
        </w:rPr>
        <w:t>16</w:t>
      </w:r>
      <w:r>
        <w:fldChar w:fldCharType="end"/>
      </w:r>
      <w:bookmarkEnd w:id="38"/>
      <w:r w:rsidR="0008002E" w:rsidRPr="00EE0EEB">
        <w:fldChar w:fldCharType="begin"/>
      </w:r>
      <w:r w:rsidR="0008002E" w:rsidRPr="00EE0EEB">
        <w:instrText xml:space="preserve"> SEQ Figure_PBAC. \* ARABIC </w:instrText>
      </w:r>
      <w:r w:rsidR="0008002E" w:rsidRPr="00EE0EEB">
        <w:fldChar w:fldCharType="separate"/>
      </w:r>
      <w:r w:rsidR="00392423">
        <w:rPr>
          <w:noProof/>
        </w:rPr>
        <w:t>4</w:t>
      </w:r>
      <w:r w:rsidR="0008002E" w:rsidRPr="00EE0EEB">
        <w:fldChar w:fldCharType="end"/>
      </w:r>
      <w:r w:rsidR="00D97939">
        <w:t xml:space="preserve">: </w:t>
      </w:r>
      <w:r w:rsidR="0008002E" w:rsidRPr="5EEE9212">
        <w:t>TB-2 – Change from baseline to Week 76 in iADRS: patients who achieved early amyloid clearance (&lt;24.1 CL) at Week 24 and switched to placebo compared with patients who did not achieve early amyloid clearance at Week 24 (NCS2)</w:t>
      </w:r>
    </w:p>
    <w:p w14:paraId="5ACA3927" w14:textId="77777777" w:rsidR="0008002E" w:rsidRPr="00EE0EEB" w:rsidRDefault="0008002E" w:rsidP="0008002E">
      <w:pPr>
        <w:pStyle w:val="BodyText"/>
      </w:pPr>
      <w:r w:rsidRPr="00EE0EEB">
        <w:rPr>
          <w:noProof/>
        </w:rPr>
        <w:drawing>
          <wp:inline distT="0" distB="0" distL="0" distR="0" wp14:anchorId="499EEF18" wp14:editId="1EB3EA72">
            <wp:extent cx="5480050" cy="2468360"/>
            <wp:effectExtent l="0" t="0" r="6350" b="8255"/>
            <wp:docPr id="555875216" name="Picture 555875216" descr="Figure 16: TB-2 – Change from baseline to Week 76 in iADRS: patients who achieved early amyloid clearance (&lt;24.1 CL) at Week 24 and switched to placebo compared with patients who did not achieve early amyloid clearance at Week 24 (N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75216" name="Picture 555875216" descr="Figure 16: TB-2 – Change from baseline to Week 76 in iADRS: patients who achieved early amyloid clearance (&lt;24.1 CL) at Week 24 and switched to placebo compared with patients who did not achieve early amyloid clearance at Week 24 (NCS2)"/>
                    <pic:cNvPicPr/>
                  </pic:nvPicPr>
                  <pic:blipFill>
                    <a:blip r:embed="rId28"/>
                    <a:stretch>
                      <a:fillRect/>
                    </a:stretch>
                  </pic:blipFill>
                  <pic:spPr>
                    <a:xfrm>
                      <a:off x="0" y="0"/>
                      <a:ext cx="5559243" cy="2504030"/>
                    </a:xfrm>
                    <a:prstGeom prst="rect">
                      <a:avLst/>
                    </a:prstGeom>
                  </pic:spPr>
                </pic:pic>
              </a:graphicData>
            </a:graphic>
          </wp:inline>
        </w:drawing>
      </w:r>
    </w:p>
    <w:p w14:paraId="1AFF6104" w14:textId="77777777" w:rsidR="0008002E" w:rsidRPr="00EE0EEB" w:rsidRDefault="0008002E" w:rsidP="0008002E">
      <w:pPr>
        <w:pStyle w:val="TableFooter"/>
      </w:pPr>
      <w:r w:rsidRPr="00EE0EEB">
        <w:t>Source: Figure 2-46, p233 of the submission</w:t>
      </w:r>
    </w:p>
    <w:p w14:paraId="523993BE" w14:textId="5B02BDD2" w:rsidR="0008002E" w:rsidRPr="00EE0EEB" w:rsidRDefault="0008002E" w:rsidP="0008002E">
      <w:pPr>
        <w:pStyle w:val="TableFooter"/>
      </w:pPr>
      <w:r w:rsidRPr="00EE0EEB">
        <w:t>CDR-SB=Clinical Dementia Rating Scale–Sum of Boxes; DON=donanemab; EC=amyloid early complete clearance (&lt;24.1CL at week 24); iADRS=Integrated Alzheimer</w:t>
      </w:r>
      <w:r w:rsidR="00F4444C">
        <w:t>’s</w:t>
      </w:r>
      <w:r w:rsidRPr="00EE0EEB">
        <w:t xml:space="preserve"> Disease Rating Scale; nEC=not amyloid early complete clearance (≥24.1CL at week 24); NCS2=Natural Cubic Spline Model with 2 Degrees of Freedom; PBO=placebo</w:t>
      </w:r>
    </w:p>
    <w:p w14:paraId="05E5D032" w14:textId="77777777" w:rsidR="0008002E" w:rsidRPr="00EE0EEB" w:rsidRDefault="0008002E" w:rsidP="0008002E">
      <w:pPr>
        <w:pStyle w:val="TableFooter"/>
      </w:pPr>
      <w:r w:rsidRPr="00EE0EEB">
        <w:t>Note: Nominal **p&lt;0.01; ***p&lt;0.001 vs placebo</w:t>
      </w:r>
    </w:p>
    <w:p w14:paraId="5C70BE6B" w14:textId="1E5F2299" w:rsidR="0008002E" w:rsidRPr="00EE0EEB" w:rsidRDefault="0008002E" w:rsidP="00DD02B1">
      <w:pPr>
        <w:pStyle w:val="3-BodyText"/>
        <w:numPr>
          <w:ilvl w:val="1"/>
          <w:numId w:val="23"/>
        </w:numPr>
        <w:spacing w:before="60" w:after="60"/>
        <w:ind w:left="709" w:hanging="709"/>
      </w:pPr>
      <w:r w:rsidRPr="00EE0EEB">
        <w:t>The median time prior to placebo switch was 47 weeks. There was separation favouring donanemab over placebo up to 76 weeks in donanemab-treated patients who switched to placebo at 24 or 52 weeks (</w:t>
      </w:r>
      <w:r w:rsidR="000C0464">
        <w:fldChar w:fldCharType="begin"/>
      </w:r>
      <w:r w:rsidR="000C0464">
        <w:instrText xml:space="preserve"> REF _Ref204780668 \h </w:instrText>
      </w:r>
      <w:r w:rsidR="000C0464">
        <w:fldChar w:fldCharType="separate"/>
      </w:r>
      <w:r w:rsidR="00392423">
        <w:t xml:space="preserve">Figure </w:t>
      </w:r>
      <w:r w:rsidR="00392423">
        <w:rPr>
          <w:noProof/>
        </w:rPr>
        <w:t>12</w:t>
      </w:r>
      <w:r w:rsidR="000C0464">
        <w:fldChar w:fldCharType="end"/>
      </w:r>
      <w:r w:rsidRPr="00EE0EEB">
        <w:t>).</w:t>
      </w:r>
    </w:p>
    <w:p w14:paraId="6C45E7CF" w14:textId="77777777" w:rsidR="0008002E" w:rsidRPr="00B82198" w:rsidRDefault="0008002E" w:rsidP="00DD02B1">
      <w:pPr>
        <w:pStyle w:val="3-BodyText"/>
        <w:numPr>
          <w:ilvl w:val="1"/>
          <w:numId w:val="23"/>
        </w:numPr>
        <w:spacing w:before="60" w:after="60"/>
        <w:ind w:left="709" w:hanging="709"/>
        <w:rPr>
          <w:i/>
          <w:iCs/>
        </w:rPr>
      </w:pPr>
      <w:r w:rsidRPr="00EE0EEB">
        <w:t xml:space="preserve">The submission noted that </w:t>
      </w:r>
      <w:r w:rsidRPr="00EE0EEB">
        <w:rPr>
          <w:bCs/>
        </w:rPr>
        <w:t>donanemab-treated patients who achieved early amyloid clearance at Week 24 and who switched to placebo experienced a slowing of disease progression, as measured by the iADRS, which was comparable to that observed in patients who did not achieve early clearance and continued treatment after 24 weeks. The submission concluded that collectively, ‘the data in early completers support the assertion that stopping donanemab treatment at Week 24, or whenever amyloid plaque clearance is achieved, could represent a viable clinical approach’.</w:t>
      </w:r>
    </w:p>
    <w:p w14:paraId="50DAE157" w14:textId="77777777" w:rsidR="0008002E" w:rsidRPr="00EE0EEB" w:rsidRDefault="0008002E" w:rsidP="0008002E">
      <w:pPr>
        <w:pStyle w:val="4-SubsectionHeading"/>
      </w:pPr>
      <w:r w:rsidRPr="00EE0EEB">
        <w:t>Comparative harms</w:t>
      </w:r>
    </w:p>
    <w:p w14:paraId="7803AB3B" w14:textId="77777777" w:rsidR="0008002E" w:rsidRPr="00FA2A19" w:rsidRDefault="0008002E" w:rsidP="00DD02B1">
      <w:pPr>
        <w:pStyle w:val="3-BodyText"/>
        <w:numPr>
          <w:ilvl w:val="1"/>
          <w:numId w:val="23"/>
        </w:numPr>
        <w:spacing w:before="60" w:after="60"/>
        <w:ind w:left="709" w:hanging="709"/>
      </w:pPr>
      <w:r w:rsidRPr="00FA2A19">
        <w:t>The safety data were derived primarily from the TB-2 trial (Safety Analysis Set) and the combined placebo-controlled (PC) trials which included TB-2 and the Phase II TB trial (herein referred to as ‘Dona-PC’ [integrated set]).</w:t>
      </w:r>
    </w:p>
    <w:p w14:paraId="3FCCF477" w14:textId="2E2CFBEB" w:rsidR="0008002E" w:rsidRPr="00FA2A19" w:rsidRDefault="00042B9E" w:rsidP="00DD02B1">
      <w:pPr>
        <w:pStyle w:val="3-BodyText"/>
        <w:numPr>
          <w:ilvl w:val="1"/>
          <w:numId w:val="23"/>
        </w:numPr>
        <w:spacing w:before="60" w:after="60"/>
        <w:ind w:left="709" w:hanging="709"/>
      </w:pPr>
      <w:r>
        <w:fldChar w:fldCharType="begin"/>
      </w:r>
      <w:r>
        <w:instrText xml:space="preserve"> REF _Ref204780044 \h </w:instrText>
      </w:r>
      <w:r>
        <w:fldChar w:fldCharType="separate"/>
      </w:r>
      <w:r w:rsidR="00392423">
        <w:t xml:space="preserve">Table </w:t>
      </w:r>
      <w:r w:rsidR="00392423">
        <w:rPr>
          <w:noProof/>
        </w:rPr>
        <w:t>14</w:t>
      </w:r>
      <w:r>
        <w:fldChar w:fldCharType="end"/>
      </w:r>
      <w:r w:rsidR="0008002E" w:rsidRPr="00FA2A19">
        <w:t xml:space="preserve"> presents an overview of adverse events (AEs) in the PC trials.</w:t>
      </w:r>
    </w:p>
    <w:p w14:paraId="34CB40CA" w14:textId="11944378" w:rsidR="0008002E" w:rsidRPr="00EE0EEB" w:rsidRDefault="008D38DA" w:rsidP="008D38DA">
      <w:pPr>
        <w:pStyle w:val="Caption"/>
      </w:pPr>
      <w:bookmarkStart w:id="39" w:name="_Ref204780044"/>
      <w:r>
        <w:lastRenderedPageBreak/>
        <w:t xml:space="preserve">Table </w:t>
      </w:r>
      <w:r>
        <w:fldChar w:fldCharType="begin"/>
      </w:r>
      <w:r>
        <w:instrText xml:space="preserve"> SEQ Table \* ARABIC </w:instrText>
      </w:r>
      <w:r>
        <w:fldChar w:fldCharType="separate"/>
      </w:r>
      <w:r w:rsidR="00392423">
        <w:rPr>
          <w:noProof/>
        </w:rPr>
        <w:t>14</w:t>
      </w:r>
      <w:r>
        <w:fldChar w:fldCharType="end"/>
      </w:r>
      <w:bookmarkEnd w:id="39"/>
      <w:r w:rsidR="00CC40F2">
        <w:t xml:space="preserve">: </w:t>
      </w:r>
      <w:r w:rsidR="0008002E" w:rsidRPr="00EE0EEB">
        <w:t>Summary of adverse events in TB-2 and DONA-PC integrated set</w:t>
      </w:r>
    </w:p>
    <w:tbl>
      <w:tblPr>
        <w:tblStyle w:val="HTATableshaded"/>
        <w:tblW w:w="0" w:type="auto"/>
        <w:tblLook w:val="04A0" w:firstRow="1" w:lastRow="0" w:firstColumn="1" w:lastColumn="0" w:noHBand="0" w:noVBand="1"/>
        <w:tblCaption w:val="Table 14: Summary of adverse events in TB-2 and DONA-PC integrated set"/>
      </w:tblPr>
      <w:tblGrid>
        <w:gridCol w:w="3475"/>
        <w:gridCol w:w="1440"/>
        <w:gridCol w:w="1320"/>
        <w:gridCol w:w="1440"/>
        <w:gridCol w:w="1341"/>
      </w:tblGrid>
      <w:tr w:rsidR="0008002E" w:rsidRPr="00EE0EEB" w14:paraId="52B4F83A" w14:textId="77777777" w:rsidTr="00E81465">
        <w:trPr>
          <w:cnfStyle w:val="100000000000" w:firstRow="1" w:lastRow="0" w:firstColumn="0" w:lastColumn="0" w:oddVBand="0" w:evenVBand="0" w:oddHBand="0" w:evenHBand="0" w:firstRowFirstColumn="0" w:firstRowLastColumn="0" w:lastRowFirstColumn="0" w:lastRowLastColumn="0"/>
          <w:cantSplit/>
          <w:trHeight w:val="283"/>
        </w:trPr>
        <w:tc>
          <w:tcPr>
            <w:tcW w:w="3475" w:type="dxa"/>
            <w:vMerge w:val="restart"/>
          </w:tcPr>
          <w:p w14:paraId="74814AC3" w14:textId="77777777" w:rsidR="0008002E" w:rsidRPr="00EE0EEB" w:rsidRDefault="0008002E" w:rsidP="00E81465">
            <w:pPr>
              <w:pStyle w:val="TableText"/>
              <w:keepNext/>
              <w:rPr>
                <w:b/>
                <w:bCs/>
                <w:vertAlign w:val="superscript"/>
              </w:rPr>
            </w:pPr>
            <w:r w:rsidRPr="00EE0EEB">
              <w:rPr>
                <w:b/>
              </w:rPr>
              <w:t>AE category</w:t>
            </w:r>
          </w:p>
        </w:tc>
        <w:tc>
          <w:tcPr>
            <w:tcW w:w="2760" w:type="dxa"/>
            <w:gridSpan w:val="2"/>
          </w:tcPr>
          <w:p w14:paraId="1F1E22B0" w14:textId="77777777" w:rsidR="0008002E" w:rsidRPr="00EE0EEB" w:rsidRDefault="0008002E" w:rsidP="00E81465">
            <w:pPr>
              <w:pStyle w:val="TableText"/>
              <w:keepNext/>
              <w:rPr>
                <w:b/>
                <w:bCs/>
              </w:rPr>
            </w:pPr>
            <w:r w:rsidRPr="00EE0EEB">
              <w:rPr>
                <w:b/>
              </w:rPr>
              <w:t>TB-2 (SAS)</w:t>
            </w:r>
          </w:p>
        </w:tc>
        <w:tc>
          <w:tcPr>
            <w:tcW w:w="2781" w:type="dxa"/>
            <w:gridSpan w:val="2"/>
          </w:tcPr>
          <w:p w14:paraId="6225798D" w14:textId="77777777" w:rsidR="0008002E" w:rsidRPr="00EE0EEB" w:rsidRDefault="0008002E" w:rsidP="00E81465">
            <w:pPr>
              <w:pStyle w:val="TableText"/>
              <w:keepNext/>
              <w:rPr>
                <w:b/>
                <w:bCs/>
              </w:rPr>
            </w:pPr>
            <w:r w:rsidRPr="00EE0EEB">
              <w:rPr>
                <w:b/>
              </w:rPr>
              <w:t>DONA-PC (integrated set)</w:t>
            </w:r>
          </w:p>
        </w:tc>
      </w:tr>
      <w:tr w:rsidR="0008002E" w:rsidRPr="00EE0EEB" w14:paraId="3315D712" w14:textId="77777777" w:rsidTr="00E81465">
        <w:trPr>
          <w:cantSplit/>
          <w:trHeight w:val="283"/>
        </w:trPr>
        <w:tc>
          <w:tcPr>
            <w:tcW w:w="3475" w:type="dxa"/>
            <w:vMerge/>
          </w:tcPr>
          <w:p w14:paraId="03A3B964" w14:textId="77777777" w:rsidR="0008002E" w:rsidRPr="00EE0EEB" w:rsidRDefault="0008002E" w:rsidP="00E81465">
            <w:pPr>
              <w:pStyle w:val="TableText"/>
              <w:keepNext/>
            </w:pPr>
          </w:p>
        </w:tc>
        <w:tc>
          <w:tcPr>
            <w:tcW w:w="1440" w:type="dxa"/>
          </w:tcPr>
          <w:p w14:paraId="3B0BEF85" w14:textId="77777777" w:rsidR="0008002E" w:rsidRPr="00EE0EEB" w:rsidRDefault="0008002E" w:rsidP="00E81465">
            <w:pPr>
              <w:pStyle w:val="TableText"/>
              <w:keepNext/>
              <w:rPr>
                <w:b/>
                <w:bCs/>
              </w:rPr>
            </w:pPr>
            <w:r w:rsidRPr="00EE0EEB">
              <w:rPr>
                <w:b/>
              </w:rPr>
              <w:t>Donanemab</w:t>
            </w:r>
          </w:p>
          <w:p w14:paraId="53F09203" w14:textId="77777777" w:rsidR="0008002E" w:rsidRPr="00EE0EEB" w:rsidRDefault="0008002E" w:rsidP="00E81465">
            <w:pPr>
              <w:pStyle w:val="TableText"/>
              <w:keepNext/>
              <w:rPr>
                <w:b/>
                <w:bCs/>
              </w:rPr>
            </w:pPr>
            <w:r w:rsidRPr="00EE0EEB">
              <w:rPr>
                <w:b/>
              </w:rPr>
              <w:t>N=853</w:t>
            </w:r>
          </w:p>
        </w:tc>
        <w:tc>
          <w:tcPr>
            <w:tcW w:w="1320" w:type="dxa"/>
          </w:tcPr>
          <w:p w14:paraId="4F1E6EFB" w14:textId="77777777" w:rsidR="0008002E" w:rsidRPr="00EE0EEB" w:rsidRDefault="0008002E" w:rsidP="00E81465">
            <w:pPr>
              <w:pStyle w:val="TableText"/>
              <w:keepNext/>
              <w:rPr>
                <w:b/>
                <w:bCs/>
              </w:rPr>
            </w:pPr>
            <w:r w:rsidRPr="00EE0EEB">
              <w:rPr>
                <w:b/>
              </w:rPr>
              <w:t>Placebo</w:t>
            </w:r>
          </w:p>
          <w:p w14:paraId="5D94709E" w14:textId="77777777" w:rsidR="0008002E" w:rsidRPr="00EE0EEB" w:rsidRDefault="0008002E" w:rsidP="00E81465">
            <w:pPr>
              <w:pStyle w:val="TableText"/>
              <w:keepNext/>
              <w:rPr>
                <w:b/>
                <w:bCs/>
              </w:rPr>
            </w:pPr>
            <w:r w:rsidRPr="00EE0EEB">
              <w:rPr>
                <w:b/>
              </w:rPr>
              <w:t>N=874</w:t>
            </w:r>
          </w:p>
        </w:tc>
        <w:tc>
          <w:tcPr>
            <w:tcW w:w="1440" w:type="dxa"/>
          </w:tcPr>
          <w:p w14:paraId="22B14AA5" w14:textId="77777777" w:rsidR="0008002E" w:rsidRPr="00EE0EEB" w:rsidRDefault="0008002E" w:rsidP="00E81465">
            <w:pPr>
              <w:pStyle w:val="TableText"/>
              <w:keepNext/>
              <w:rPr>
                <w:b/>
                <w:bCs/>
              </w:rPr>
            </w:pPr>
            <w:r w:rsidRPr="00EE0EEB">
              <w:rPr>
                <w:b/>
              </w:rPr>
              <w:t>Donanemab</w:t>
            </w:r>
          </w:p>
          <w:p w14:paraId="06896F57" w14:textId="77777777" w:rsidR="0008002E" w:rsidRPr="00EE0EEB" w:rsidRDefault="0008002E" w:rsidP="00E81465">
            <w:pPr>
              <w:pStyle w:val="TableText"/>
              <w:keepNext/>
              <w:rPr>
                <w:b/>
                <w:bCs/>
              </w:rPr>
            </w:pPr>
            <w:r w:rsidRPr="00EE0EEB">
              <w:rPr>
                <w:b/>
              </w:rPr>
              <w:t>N=984</w:t>
            </w:r>
          </w:p>
        </w:tc>
        <w:tc>
          <w:tcPr>
            <w:tcW w:w="1341" w:type="dxa"/>
          </w:tcPr>
          <w:p w14:paraId="61811673" w14:textId="77777777" w:rsidR="0008002E" w:rsidRPr="00EE0EEB" w:rsidRDefault="0008002E" w:rsidP="00E81465">
            <w:pPr>
              <w:pStyle w:val="TableText"/>
              <w:keepNext/>
              <w:rPr>
                <w:b/>
                <w:bCs/>
              </w:rPr>
            </w:pPr>
            <w:r w:rsidRPr="00EE0EEB">
              <w:rPr>
                <w:b/>
              </w:rPr>
              <w:t>Placebo</w:t>
            </w:r>
          </w:p>
          <w:p w14:paraId="30471C4F" w14:textId="77777777" w:rsidR="0008002E" w:rsidRPr="00EE0EEB" w:rsidRDefault="0008002E" w:rsidP="00E81465">
            <w:pPr>
              <w:pStyle w:val="TableText"/>
              <w:keepNext/>
              <w:rPr>
                <w:b/>
                <w:bCs/>
              </w:rPr>
            </w:pPr>
            <w:r w:rsidRPr="00EE0EEB">
              <w:rPr>
                <w:b/>
              </w:rPr>
              <w:t>N=999</w:t>
            </w:r>
          </w:p>
        </w:tc>
      </w:tr>
      <w:tr w:rsidR="0008002E" w:rsidRPr="00EE0EEB" w14:paraId="36E17B7F" w14:textId="77777777" w:rsidTr="00E81465">
        <w:trPr>
          <w:cantSplit/>
          <w:trHeight w:val="283"/>
        </w:trPr>
        <w:tc>
          <w:tcPr>
            <w:tcW w:w="3475" w:type="dxa"/>
            <w:vMerge/>
          </w:tcPr>
          <w:p w14:paraId="67E8953E" w14:textId="77777777" w:rsidR="0008002E" w:rsidRPr="00EE0EEB" w:rsidRDefault="0008002E" w:rsidP="00E81465">
            <w:pPr>
              <w:pStyle w:val="TableText"/>
              <w:keepNext/>
            </w:pPr>
          </w:p>
        </w:tc>
        <w:tc>
          <w:tcPr>
            <w:tcW w:w="5541" w:type="dxa"/>
            <w:gridSpan w:val="4"/>
          </w:tcPr>
          <w:p w14:paraId="60B26535" w14:textId="77777777" w:rsidR="0008002E" w:rsidRPr="00EE0EEB" w:rsidRDefault="0008002E" w:rsidP="00E81465">
            <w:pPr>
              <w:pStyle w:val="TableText"/>
              <w:keepNext/>
            </w:pPr>
            <w:r w:rsidRPr="00EE0EEB">
              <w:t>n, (%)</w:t>
            </w:r>
          </w:p>
        </w:tc>
      </w:tr>
      <w:tr w:rsidR="0008002E" w:rsidRPr="00EE0EEB" w14:paraId="3251E4FB" w14:textId="77777777" w:rsidTr="00E81465">
        <w:trPr>
          <w:cantSplit/>
          <w:trHeight w:val="283"/>
        </w:trPr>
        <w:tc>
          <w:tcPr>
            <w:tcW w:w="3475" w:type="dxa"/>
          </w:tcPr>
          <w:p w14:paraId="034B776E" w14:textId="77777777" w:rsidR="0008002E" w:rsidRPr="00EE0EEB" w:rsidRDefault="0008002E" w:rsidP="00E81465">
            <w:pPr>
              <w:pStyle w:val="TableText"/>
              <w:keepNext/>
            </w:pPr>
            <w:r w:rsidRPr="00EE0EEB">
              <w:t>TEAEs</w:t>
            </w:r>
          </w:p>
        </w:tc>
        <w:tc>
          <w:tcPr>
            <w:tcW w:w="1440" w:type="dxa"/>
            <w:vAlign w:val="center"/>
          </w:tcPr>
          <w:p w14:paraId="01316499" w14:textId="77777777" w:rsidR="0008002E" w:rsidRPr="00EE0EEB" w:rsidRDefault="0008002E" w:rsidP="00E81465">
            <w:pPr>
              <w:pStyle w:val="TableText"/>
              <w:keepNext/>
            </w:pPr>
            <w:r w:rsidRPr="00EE0EEB">
              <w:t>759 (89.0)</w:t>
            </w:r>
          </w:p>
        </w:tc>
        <w:tc>
          <w:tcPr>
            <w:tcW w:w="1320" w:type="dxa"/>
            <w:vAlign w:val="center"/>
          </w:tcPr>
          <w:p w14:paraId="5EECE673" w14:textId="77777777" w:rsidR="0008002E" w:rsidRPr="00EE0EEB" w:rsidRDefault="0008002E" w:rsidP="00E81465">
            <w:pPr>
              <w:pStyle w:val="TableText"/>
              <w:keepNext/>
            </w:pPr>
            <w:r w:rsidRPr="00EE0EEB">
              <w:t>718 (82.2)</w:t>
            </w:r>
          </w:p>
        </w:tc>
        <w:tc>
          <w:tcPr>
            <w:tcW w:w="1440" w:type="dxa"/>
            <w:vAlign w:val="center"/>
          </w:tcPr>
          <w:p w14:paraId="4151A256" w14:textId="77777777" w:rsidR="0008002E" w:rsidRPr="00EE0EEB" w:rsidRDefault="0008002E" w:rsidP="00E81465">
            <w:pPr>
              <w:pStyle w:val="TableText"/>
              <w:keepNext/>
            </w:pPr>
            <w:r w:rsidRPr="00EE0EEB">
              <w:t>878 (89.2)</w:t>
            </w:r>
          </w:p>
        </w:tc>
        <w:tc>
          <w:tcPr>
            <w:tcW w:w="1341" w:type="dxa"/>
            <w:vAlign w:val="center"/>
          </w:tcPr>
          <w:p w14:paraId="73CD9ECC" w14:textId="77777777" w:rsidR="0008002E" w:rsidRPr="00EE0EEB" w:rsidRDefault="0008002E" w:rsidP="00E81465">
            <w:pPr>
              <w:pStyle w:val="TableText"/>
              <w:keepNext/>
            </w:pPr>
            <w:r w:rsidRPr="00EE0EEB">
              <w:t>831 (83.2)</w:t>
            </w:r>
          </w:p>
        </w:tc>
      </w:tr>
      <w:tr w:rsidR="0008002E" w:rsidRPr="00EE0EEB" w14:paraId="2EA1E31E" w14:textId="77777777" w:rsidTr="00E81465">
        <w:trPr>
          <w:cantSplit/>
          <w:trHeight w:val="283"/>
        </w:trPr>
        <w:tc>
          <w:tcPr>
            <w:tcW w:w="3475" w:type="dxa"/>
          </w:tcPr>
          <w:p w14:paraId="0ACA482E" w14:textId="77777777" w:rsidR="0008002E" w:rsidRPr="00EE0EEB" w:rsidRDefault="0008002E" w:rsidP="00E81465">
            <w:pPr>
              <w:pStyle w:val="TableText"/>
              <w:keepNext/>
            </w:pPr>
            <w:r w:rsidRPr="00EE0EEB">
              <w:t>Treatment-related TEAEs</w:t>
            </w:r>
            <w:r w:rsidRPr="00EE0EEB">
              <w:rPr>
                <w:vertAlign w:val="superscript"/>
              </w:rPr>
              <w:t>c</w:t>
            </w:r>
          </w:p>
        </w:tc>
        <w:tc>
          <w:tcPr>
            <w:tcW w:w="1440" w:type="dxa"/>
            <w:vAlign w:val="center"/>
          </w:tcPr>
          <w:p w14:paraId="0D3FBBC5" w14:textId="77777777" w:rsidR="0008002E" w:rsidRPr="00EE0EEB" w:rsidRDefault="0008002E" w:rsidP="00E81465">
            <w:pPr>
              <w:pStyle w:val="TableText"/>
              <w:keepNext/>
            </w:pPr>
            <w:r w:rsidRPr="00EE0EEB">
              <w:t>410 (48.1)</w:t>
            </w:r>
          </w:p>
        </w:tc>
        <w:tc>
          <w:tcPr>
            <w:tcW w:w="1320" w:type="dxa"/>
            <w:vAlign w:val="center"/>
          </w:tcPr>
          <w:p w14:paraId="61132ABD" w14:textId="77777777" w:rsidR="0008002E" w:rsidRPr="00EE0EEB" w:rsidRDefault="0008002E" w:rsidP="00E81465">
            <w:pPr>
              <w:pStyle w:val="TableText"/>
              <w:keepNext/>
            </w:pPr>
            <w:r w:rsidRPr="00EE0EEB">
              <w:t>173 (19.8)</w:t>
            </w:r>
          </w:p>
        </w:tc>
        <w:tc>
          <w:tcPr>
            <w:tcW w:w="1440" w:type="dxa"/>
            <w:vAlign w:val="center"/>
          </w:tcPr>
          <w:p w14:paraId="375B7B03" w14:textId="77777777" w:rsidR="0008002E" w:rsidRPr="00EE0EEB" w:rsidRDefault="0008002E" w:rsidP="00E81465">
            <w:pPr>
              <w:pStyle w:val="TableText"/>
              <w:keepNext/>
            </w:pPr>
            <w:r w:rsidRPr="00EE0EEB">
              <w:t>472 (48.0)</w:t>
            </w:r>
          </w:p>
        </w:tc>
        <w:tc>
          <w:tcPr>
            <w:tcW w:w="1341" w:type="dxa"/>
            <w:vAlign w:val="center"/>
          </w:tcPr>
          <w:p w14:paraId="4B8B0093" w14:textId="77777777" w:rsidR="0008002E" w:rsidRPr="00EE0EEB" w:rsidRDefault="0008002E" w:rsidP="00E81465">
            <w:pPr>
              <w:pStyle w:val="TableText"/>
              <w:keepNext/>
            </w:pPr>
            <w:r w:rsidRPr="00EE0EEB">
              <w:t>198 (19.8)</w:t>
            </w:r>
          </w:p>
        </w:tc>
      </w:tr>
      <w:tr w:rsidR="0008002E" w:rsidRPr="00EE0EEB" w14:paraId="2127950E" w14:textId="77777777" w:rsidTr="00E81465">
        <w:trPr>
          <w:cantSplit/>
          <w:trHeight w:val="283"/>
        </w:trPr>
        <w:tc>
          <w:tcPr>
            <w:tcW w:w="3475" w:type="dxa"/>
          </w:tcPr>
          <w:p w14:paraId="1392B5F7" w14:textId="77777777" w:rsidR="0008002E" w:rsidRPr="00EE0EEB" w:rsidRDefault="0008002E" w:rsidP="00E81465">
            <w:pPr>
              <w:pStyle w:val="TableText"/>
              <w:keepNext/>
            </w:pPr>
            <w:r w:rsidRPr="00EE0EEB">
              <w:t>TEAEs leading to treatment discontinuation</w:t>
            </w:r>
          </w:p>
        </w:tc>
        <w:tc>
          <w:tcPr>
            <w:tcW w:w="1440" w:type="dxa"/>
            <w:vAlign w:val="center"/>
          </w:tcPr>
          <w:p w14:paraId="7E5B83D1" w14:textId="77777777" w:rsidR="0008002E" w:rsidRPr="00EE0EEB" w:rsidRDefault="0008002E" w:rsidP="00E81465">
            <w:pPr>
              <w:pStyle w:val="TableText"/>
              <w:keepNext/>
            </w:pPr>
            <w:r w:rsidRPr="00EE0EEB">
              <w:t>112 (13.1)</w:t>
            </w:r>
          </w:p>
        </w:tc>
        <w:tc>
          <w:tcPr>
            <w:tcW w:w="1320" w:type="dxa"/>
            <w:vAlign w:val="center"/>
          </w:tcPr>
          <w:p w14:paraId="17DCE6E2" w14:textId="77777777" w:rsidR="0008002E" w:rsidRPr="00EE0EEB" w:rsidRDefault="0008002E" w:rsidP="00E81465">
            <w:pPr>
              <w:pStyle w:val="TableText"/>
              <w:keepNext/>
            </w:pPr>
            <w:r w:rsidRPr="00EE0EEB">
              <w:t>38 (4.3)</w:t>
            </w:r>
          </w:p>
        </w:tc>
        <w:tc>
          <w:tcPr>
            <w:tcW w:w="1440" w:type="dxa"/>
            <w:vAlign w:val="center"/>
          </w:tcPr>
          <w:p w14:paraId="10922C9E" w14:textId="77777777" w:rsidR="0008002E" w:rsidRPr="00EE0EEB" w:rsidRDefault="0008002E" w:rsidP="00E81465">
            <w:pPr>
              <w:pStyle w:val="TableText"/>
              <w:keepNext/>
            </w:pPr>
            <w:r w:rsidRPr="00EE0EEB">
              <w:t>152 (15.4)</w:t>
            </w:r>
          </w:p>
        </w:tc>
        <w:tc>
          <w:tcPr>
            <w:tcW w:w="1341" w:type="dxa"/>
            <w:vAlign w:val="center"/>
          </w:tcPr>
          <w:p w14:paraId="52C66BEF" w14:textId="77777777" w:rsidR="0008002E" w:rsidRPr="00EE0EEB" w:rsidRDefault="0008002E" w:rsidP="00E81465">
            <w:pPr>
              <w:pStyle w:val="TableText"/>
              <w:keepNext/>
            </w:pPr>
            <w:r w:rsidRPr="00EE0EEB">
              <w:t>47 (4.7)</w:t>
            </w:r>
          </w:p>
        </w:tc>
      </w:tr>
      <w:tr w:rsidR="0008002E" w:rsidRPr="00EE0EEB" w14:paraId="1A2DB154" w14:textId="77777777" w:rsidTr="00E81465">
        <w:trPr>
          <w:cantSplit/>
          <w:trHeight w:val="283"/>
        </w:trPr>
        <w:tc>
          <w:tcPr>
            <w:tcW w:w="3475" w:type="dxa"/>
          </w:tcPr>
          <w:p w14:paraId="068DFCC7" w14:textId="77777777" w:rsidR="0008002E" w:rsidRPr="00EE0EEB" w:rsidRDefault="0008002E" w:rsidP="00E81465">
            <w:pPr>
              <w:pStyle w:val="TableText"/>
              <w:keepNext/>
            </w:pPr>
            <w:r w:rsidRPr="00EE0EEB">
              <w:t>TEAEs leading to study discontinuation</w:t>
            </w:r>
          </w:p>
        </w:tc>
        <w:tc>
          <w:tcPr>
            <w:tcW w:w="1440" w:type="dxa"/>
            <w:vAlign w:val="center"/>
          </w:tcPr>
          <w:p w14:paraId="102704BC" w14:textId="77777777" w:rsidR="0008002E" w:rsidRPr="00EE0EEB" w:rsidRDefault="0008002E" w:rsidP="00E81465">
            <w:pPr>
              <w:pStyle w:val="TableText"/>
              <w:keepNext/>
            </w:pPr>
            <w:r w:rsidRPr="00EE0EEB">
              <w:t>69 (8.1)</w:t>
            </w:r>
          </w:p>
        </w:tc>
        <w:tc>
          <w:tcPr>
            <w:tcW w:w="1320" w:type="dxa"/>
            <w:vAlign w:val="center"/>
          </w:tcPr>
          <w:p w14:paraId="43ED5ABE" w14:textId="77777777" w:rsidR="0008002E" w:rsidRPr="00EE0EEB" w:rsidRDefault="0008002E" w:rsidP="00E81465">
            <w:pPr>
              <w:pStyle w:val="TableText"/>
              <w:keepNext/>
            </w:pPr>
            <w:r w:rsidRPr="00EE0EEB">
              <w:t>32 (3.7)</w:t>
            </w:r>
          </w:p>
        </w:tc>
        <w:tc>
          <w:tcPr>
            <w:tcW w:w="1440" w:type="dxa"/>
            <w:vAlign w:val="center"/>
          </w:tcPr>
          <w:p w14:paraId="03BEF894" w14:textId="77777777" w:rsidR="0008002E" w:rsidRPr="00EE0EEB" w:rsidRDefault="0008002E" w:rsidP="00E81465">
            <w:pPr>
              <w:pStyle w:val="TableText"/>
              <w:keepNext/>
            </w:pPr>
            <w:r w:rsidRPr="00EE0EEB">
              <w:t>NR</w:t>
            </w:r>
          </w:p>
        </w:tc>
        <w:tc>
          <w:tcPr>
            <w:tcW w:w="1341" w:type="dxa"/>
            <w:vAlign w:val="center"/>
          </w:tcPr>
          <w:p w14:paraId="5052F92A" w14:textId="77777777" w:rsidR="0008002E" w:rsidRPr="00EE0EEB" w:rsidRDefault="0008002E" w:rsidP="00E81465">
            <w:pPr>
              <w:pStyle w:val="TableText"/>
              <w:keepNext/>
            </w:pPr>
            <w:r w:rsidRPr="00EE0EEB">
              <w:t>NR</w:t>
            </w:r>
          </w:p>
        </w:tc>
      </w:tr>
      <w:tr w:rsidR="0008002E" w:rsidRPr="00EE0EEB" w14:paraId="4D991491" w14:textId="77777777" w:rsidTr="00E81465">
        <w:trPr>
          <w:cantSplit/>
          <w:trHeight w:val="283"/>
        </w:trPr>
        <w:tc>
          <w:tcPr>
            <w:tcW w:w="3475" w:type="dxa"/>
          </w:tcPr>
          <w:p w14:paraId="65F89AA9" w14:textId="77777777" w:rsidR="0008002E" w:rsidRPr="00EE0EEB" w:rsidRDefault="0008002E" w:rsidP="00E81465">
            <w:pPr>
              <w:pStyle w:val="TableText"/>
              <w:keepNext/>
            </w:pPr>
            <w:r w:rsidRPr="00EE0EEB">
              <w:t>SAEs</w:t>
            </w:r>
          </w:p>
        </w:tc>
        <w:tc>
          <w:tcPr>
            <w:tcW w:w="1440" w:type="dxa"/>
            <w:vAlign w:val="center"/>
          </w:tcPr>
          <w:p w14:paraId="0D52399D" w14:textId="77777777" w:rsidR="0008002E" w:rsidRPr="00EE0EEB" w:rsidRDefault="0008002E" w:rsidP="00E81465">
            <w:pPr>
              <w:pStyle w:val="TableText"/>
              <w:keepNext/>
            </w:pPr>
            <w:r w:rsidRPr="00EE0EEB">
              <w:t>148 (17.4)</w:t>
            </w:r>
          </w:p>
        </w:tc>
        <w:tc>
          <w:tcPr>
            <w:tcW w:w="1320" w:type="dxa"/>
            <w:vAlign w:val="center"/>
          </w:tcPr>
          <w:p w14:paraId="2678E4F3" w14:textId="77777777" w:rsidR="0008002E" w:rsidRPr="00EE0EEB" w:rsidRDefault="0008002E" w:rsidP="00E81465">
            <w:pPr>
              <w:pStyle w:val="TableText"/>
              <w:keepNext/>
            </w:pPr>
            <w:r w:rsidRPr="00EE0EEB">
              <w:t>138 (15.8)</w:t>
            </w:r>
          </w:p>
        </w:tc>
        <w:tc>
          <w:tcPr>
            <w:tcW w:w="1440" w:type="dxa"/>
            <w:vAlign w:val="center"/>
          </w:tcPr>
          <w:p w14:paraId="06F3F880" w14:textId="77777777" w:rsidR="0008002E" w:rsidRPr="00EE0EEB" w:rsidRDefault="0008002E" w:rsidP="00E81465">
            <w:pPr>
              <w:pStyle w:val="TableText"/>
              <w:keepNext/>
            </w:pPr>
            <w:r w:rsidRPr="00EE0EEB">
              <w:t>168 (17.1)</w:t>
            </w:r>
          </w:p>
        </w:tc>
        <w:tc>
          <w:tcPr>
            <w:tcW w:w="1341" w:type="dxa"/>
            <w:vAlign w:val="center"/>
          </w:tcPr>
          <w:p w14:paraId="5890FF25" w14:textId="77777777" w:rsidR="0008002E" w:rsidRPr="00EE0EEB" w:rsidRDefault="0008002E" w:rsidP="00E81465">
            <w:pPr>
              <w:pStyle w:val="TableText"/>
              <w:keepNext/>
            </w:pPr>
            <w:r w:rsidRPr="00EE0EEB">
              <w:t>153 (15.3)</w:t>
            </w:r>
          </w:p>
        </w:tc>
      </w:tr>
      <w:tr w:rsidR="0008002E" w:rsidRPr="00EE0EEB" w14:paraId="1D32709C" w14:textId="77777777" w:rsidTr="00E81465">
        <w:trPr>
          <w:cantSplit/>
          <w:trHeight w:val="283"/>
        </w:trPr>
        <w:tc>
          <w:tcPr>
            <w:tcW w:w="3475" w:type="dxa"/>
          </w:tcPr>
          <w:p w14:paraId="04B6EE9F" w14:textId="77777777" w:rsidR="0008002E" w:rsidRPr="00EE0EEB" w:rsidRDefault="0008002E" w:rsidP="00E81465">
            <w:pPr>
              <w:pStyle w:val="TableText"/>
              <w:keepNext/>
              <w:rPr>
                <w:vertAlign w:val="superscript"/>
              </w:rPr>
            </w:pPr>
            <w:r w:rsidRPr="00EE0EEB">
              <w:t>Deaths</w:t>
            </w:r>
            <w:r w:rsidRPr="00EE0EEB">
              <w:rPr>
                <w:vertAlign w:val="superscript"/>
              </w:rPr>
              <w:t>a,b</w:t>
            </w:r>
          </w:p>
        </w:tc>
        <w:tc>
          <w:tcPr>
            <w:tcW w:w="1440" w:type="dxa"/>
            <w:vAlign w:val="center"/>
          </w:tcPr>
          <w:p w14:paraId="78ED0B78" w14:textId="77777777" w:rsidR="0008002E" w:rsidRPr="00EE0EEB" w:rsidRDefault="0008002E" w:rsidP="00E81465">
            <w:pPr>
              <w:pStyle w:val="TableText"/>
              <w:keepNext/>
            </w:pPr>
            <w:r w:rsidRPr="00EE0EEB">
              <w:t>16 (1.9)</w:t>
            </w:r>
          </w:p>
        </w:tc>
        <w:tc>
          <w:tcPr>
            <w:tcW w:w="1320" w:type="dxa"/>
            <w:vAlign w:val="center"/>
          </w:tcPr>
          <w:p w14:paraId="38DE0643" w14:textId="77777777" w:rsidR="0008002E" w:rsidRPr="00EE0EEB" w:rsidRDefault="0008002E" w:rsidP="00E81465">
            <w:pPr>
              <w:pStyle w:val="TableText"/>
              <w:keepNext/>
            </w:pPr>
            <w:r w:rsidRPr="00EE0EEB">
              <w:t>10 (1.1)</w:t>
            </w:r>
          </w:p>
        </w:tc>
        <w:tc>
          <w:tcPr>
            <w:tcW w:w="1440" w:type="dxa"/>
            <w:vAlign w:val="center"/>
          </w:tcPr>
          <w:p w14:paraId="38A301FF" w14:textId="77777777" w:rsidR="0008002E" w:rsidRPr="00EE0EEB" w:rsidRDefault="0008002E" w:rsidP="00E81465">
            <w:pPr>
              <w:pStyle w:val="TableText"/>
              <w:keepNext/>
            </w:pPr>
            <w:r w:rsidRPr="00EE0EEB">
              <w:t>17 (1.7)</w:t>
            </w:r>
            <w:r w:rsidRPr="00EE0EEB">
              <w:rPr>
                <w:vertAlign w:val="superscript"/>
              </w:rPr>
              <w:t>b</w:t>
            </w:r>
          </w:p>
        </w:tc>
        <w:tc>
          <w:tcPr>
            <w:tcW w:w="1341" w:type="dxa"/>
            <w:vAlign w:val="center"/>
          </w:tcPr>
          <w:p w14:paraId="60905C51" w14:textId="77777777" w:rsidR="0008002E" w:rsidRPr="00EE0EEB" w:rsidRDefault="0008002E" w:rsidP="00E81465">
            <w:pPr>
              <w:pStyle w:val="TableText"/>
              <w:keepNext/>
            </w:pPr>
            <w:r w:rsidRPr="00EE0EEB">
              <w:t>12 (1.2)</w:t>
            </w:r>
            <w:r w:rsidRPr="00EE0EEB">
              <w:rPr>
                <w:rStyle w:val="FootnoteReference"/>
              </w:rPr>
              <w:t>a</w:t>
            </w:r>
          </w:p>
        </w:tc>
      </w:tr>
    </w:tbl>
    <w:p w14:paraId="3316DAB4" w14:textId="77777777" w:rsidR="0008002E" w:rsidRPr="00EE0EEB" w:rsidRDefault="0008002E" w:rsidP="0008002E">
      <w:pPr>
        <w:pStyle w:val="TableFooter"/>
      </w:pPr>
      <w:r w:rsidRPr="00EE0EEB">
        <w:t xml:space="preserve">Source: Modified from Table 2-60, p208 of the submission and Table AACI.5.23, p188 of the TB-2 Clinical Study Report. </w:t>
      </w:r>
    </w:p>
    <w:p w14:paraId="0ED0F08E" w14:textId="77777777" w:rsidR="0008002E" w:rsidRPr="00EE0EEB" w:rsidRDefault="0008002E" w:rsidP="0008002E">
      <w:pPr>
        <w:pStyle w:val="TableFooter"/>
      </w:pPr>
      <w:r w:rsidRPr="00EE0EEB">
        <w:t>AE=adverse event; NR=not reported; SAE=serious adverse event; SAS=safety analysis set; TEAE=treatment emergent adverse event (defined as events that first occurred or worsened after the treatment initiation date).</w:t>
      </w:r>
    </w:p>
    <w:p w14:paraId="00A91DCE" w14:textId="77777777" w:rsidR="0008002E" w:rsidRPr="00EE0EEB" w:rsidRDefault="0008002E" w:rsidP="0008002E">
      <w:pPr>
        <w:pStyle w:val="TableFooter"/>
      </w:pPr>
      <w:r w:rsidRPr="00EE0EEB">
        <w:t>Notes</w:t>
      </w:r>
    </w:p>
    <w:p w14:paraId="72E90D5F" w14:textId="77777777" w:rsidR="0008002E" w:rsidRPr="00EE0EEB" w:rsidRDefault="0008002E" w:rsidP="0008002E">
      <w:pPr>
        <w:pStyle w:val="TableFooter"/>
      </w:pPr>
      <w:r w:rsidRPr="00EE0EEB">
        <w:t>A</w:t>
      </w:r>
      <w:r>
        <w:t>E</w:t>
      </w:r>
      <w:r w:rsidRPr="00EE0EEB">
        <w:t>s reported for placebo-controlled periods.</w:t>
      </w:r>
    </w:p>
    <w:p w14:paraId="71B2F5CA" w14:textId="77777777" w:rsidR="0008002E" w:rsidRPr="00EE0EEB" w:rsidRDefault="0008002E" w:rsidP="0008002E">
      <w:pPr>
        <w:pStyle w:val="TableFooter"/>
      </w:pPr>
      <w:r w:rsidRPr="00EE0EEB">
        <w:rPr>
          <w:vertAlign w:val="superscript"/>
        </w:rPr>
        <w:t xml:space="preserve">a </w:t>
      </w:r>
      <w:r w:rsidRPr="00EE0EEB">
        <w:t>Deaths are also included as serious adverse events (SAE) and discontinuations due to A</w:t>
      </w:r>
      <w:r>
        <w:t>E</w:t>
      </w:r>
      <w:r w:rsidRPr="00EE0EEB">
        <w:t>s.</w:t>
      </w:r>
    </w:p>
    <w:p w14:paraId="798C2A8F" w14:textId="77777777" w:rsidR="0008002E" w:rsidRPr="00EE0EEB" w:rsidRDefault="0008002E" w:rsidP="0008002E">
      <w:pPr>
        <w:pStyle w:val="TableFooter"/>
      </w:pPr>
      <w:r w:rsidRPr="00EE0EEB">
        <w:rPr>
          <w:vertAlign w:val="superscript"/>
        </w:rPr>
        <w:t>b</w:t>
      </w:r>
      <w:r>
        <w:rPr>
          <w:vertAlign w:val="superscript"/>
        </w:rPr>
        <w:t xml:space="preserve"> </w:t>
      </w:r>
      <w:r w:rsidRPr="00EE0EEB">
        <w:t>One death occurred in the Dona-PC analysis set after the database lock and is not included in this safety summary</w:t>
      </w:r>
    </w:p>
    <w:p w14:paraId="1149AA9C" w14:textId="77777777" w:rsidR="0008002E" w:rsidRPr="00FA2A19" w:rsidRDefault="0008002E" w:rsidP="00DD02B1">
      <w:pPr>
        <w:pStyle w:val="3-BodyText"/>
        <w:numPr>
          <w:ilvl w:val="1"/>
          <w:numId w:val="23"/>
        </w:numPr>
        <w:spacing w:before="60" w:after="60"/>
        <w:ind w:left="709" w:hanging="709"/>
      </w:pPr>
      <w:r w:rsidRPr="00FA2A19">
        <w:t>Overall safety data were similar across the TB-2 and Dona-PC datasets. In TB-2, the frequency of treatment emergent adverse events (TEAEs) was increased in the donanemab arm versus the placebo arm for overall TEAEs (89.0% vs. 82.2%), treatment-related TEAEs (48.1% vs. 19.8%), TEAEs leading to study drug discontinuation (13.1% vs. 4.3%), TEAEs leading to study discontinuation (8.1% vs. 3.7%), serious TEAEs (SAE: 17.4% vs. 15.8%), and deaths (1.9% vs. 1.1%).</w:t>
      </w:r>
    </w:p>
    <w:p w14:paraId="5222E37C" w14:textId="77777777" w:rsidR="0008002E" w:rsidRPr="006F6126" w:rsidRDefault="0008002E" w:rsidP="00DD02B1">
      <w:pPr>
        <w:pStyle w:val="3-BodyText"/>
        <w:numPr>
          <w:ilvl w:val="1"/>
          <w:numId w:val="23"/>
        </w:numPr>
        <w:spacing w:before="60" w:after="60"/>
        <w:ind w:left="709" w:hanging="709"/>
      </w:pPr>
      <w:r w:rsidRPr="006F6126">
        <w:t>The TGA Delegate’s Overview provided a description of deaths in the DONA-PC dataset. There were 17 (1.7%) deaths in the donanemab arm and 12 (1.2%) deaths in the placebo arm. Causes of death in two or more patients in either treatment arm were:</w:t>
      </w:r>
    </w:p>
    <w:p w14:paraId="1F7DEA75" w14:textId="77777777" w:rsidR="0008002E" w:rsidRPr="006F6126" w:rsidRDefault="0008002E" w:rsidP="0039343F">
      <w:pPr>
        <w:pStyle w:val="PBACESParagraphBulletPoint"/>
        <w:ind w:left="1080"/>
      </w:pPr>
      <w:r w:rsidRPr="006F6126">
        <w:t>Placebo arm: pneumonia (two patients).</w:t>
      </w:r>
    </w:p>
    <w:p w14:paraId="3C985F40" w14:textId="77777777" w:rsidR="0008002E" w:rsidRPr="006F6126" w:rsidRDefault="0008002E" w:rsidP="0039343F">
      <w:pPr>
        <w:pStyle w:val="PBACESParagraphBulletPoint"/>
        <w:ind w:left="1080"/>
      </w:pPr>
      <w:r w:rsidRPr="006F6126">
        <w:t>Donanemab arm: ARIA (three patients), completed suicide (two patients), COVID-19 (two patients), and pulmonary embolism (two patients). Of the three patients in the donanemab arm who reported a serious ARIA and subsequently died, one (0.1%) death was attributed to ARIA-E, one (0.1%) death to ARIA-H, and the third death (0.1%) was attributed to both ARIA-E and ARIA-H.</w:t>
      </w:r>
    </w:p>
    <w:p w14:paraId="3C8ADE6F" w14:textId="77777777" w:rsidR="0008002E" w:rsidRPr="00FA2A19" w:rsidRDefault="0008002E" w:rsidP="00DD02B1">
      <w:pPr>
        <w:pStyle w:val="3-BodyText"/>
        <w:numPr>
          <w:ilvl w:val="1"/>
          <w:numId w:val="23"/>
        </w:numPr>
        <w:spacing w:before="60" w:after="60"/>
        <w:ind w:left="709" w:hanging="709"/>
      </w:pPr>
      <w:r w:rsidRPr="00FA2A19">
        <w:t>The Delegate noted that among all the reports, five deaths (four in the donanemab-treated and one in the placebo-treated participants) were considered related to study treatment.</w:t>
      </w:r>
    </w:p>
    <w:p w14:paraId="36842D67" w14:textId="77777777" w:rsidR="0008002E" w:rsidRPr="00FA2A19" w:rsidRDefault="0008002E" w:rsidP="00DD02B1">
      <w:pPr>
        <w:pStyle w:val="3-BodyText"/>
        <w:numPr>
          <w:ilvl w:val="1"/>
          <w:numId w:val="23"/>
        </w:numPr>
        <w:spacing w:before="60" w:after="60"/>
        <w:ind w:left="709" w:hanging="709"/>
      </w:pPr>
      <w:r w:rsidRPr="00FA2A19">
        <w:t>AEs of special interest (AESI) included ARIA-E, ARIA-H, infusion-related reactions, and other hypersensitivity reactions.</w:t>
      </w:r>
    </w:p>
    <w:p w14:paraId="07CEA389" w14:textId="77777777" w:rsidR="0008002E" w:rsidRPr="00FA2A19" w:rsidRDefault="0008002E" w:rsidP="00DD02B1">
      <w:pPr>
        <w:pStyle w:val="3-BodyText"/>
        <w:numPr>
          <w:ilvl w:val="1"/>
          <w:numId w:val="23"/>
        </w:numPr>
        <w:spacing w:before="60" w:after="60"/>
        <w:ind w:left="709" w:hanging="709"/>
      </w:pPr>
      <w:r w:rsidRPr="00FA2A19">
        <w:t>A higher frequency of treatment-emergent Immediate Hypersensitivity, Anaphylactic, and Infusion-Related Reactions in the donanemab arm (n = 89; 10.4%) compared to the placebo arm (n = 8; 0.9%).</w:t>
      </w:r>
    </w:p>
    <w:p w14:paraId="1D646D74" w14:textId="68163F03" w:rsidR="0008002E" w:rsidRPr="00FA2A19" w:rsidRDefault="00042B9E" w:rsidP="00DD02B1">
      <w:pPr>
        <w:pStyle w:val="3-BodyText"/>
        <w:numPr>
          <w:ilvl w:val="1"/>
          <w:numId w:val="23"/>
        </w:numPr>
        <w:spacing w:before="60" w:after="60"/>
        <w:ind w:left="709" w:hanging="709"/>
      </w:pPr>
      <w:r>
        <w:fldChar w:fldCharType="begin"/>
      </w:r>
      <w:r>
        <w:instrText xml:space="preserve"> REF _Ref204780065 \h </w:instrText>
      </w:r>
      <w:r>
        <w:fldChar w:fldCharType="separate"/>
      </w:r>
      <w:r w:rsidR="00392423">
        <w:t xml:space="preserve">Table </w:t>
      </w:r>
      <w:r w:rsidR="00392423">
        <w:rPr>
          <w:noProof/>
        </w:rPr>
        <w:t>15</w:t>
      </w:r>
      <w:r>
        <w:fldChar w:fldCharType="end"/>
      </w:r>
      <w:r w:rsidR="0008002E" w:rsidRPr="00FA2A19">
        <w:t xml:space="preserve"> summarises ARIA and macrohaemorrhage events in the TB-2 and DONA-PC safety datasets.</w:t>
      </w:r>
    </w:p>
    <w:p w14:paraId="30C7B4D6" w14:textId="0D7376A9" w:rsidR="0008002E" w:rsidRPr="00EE0EEB" w:rsidRDefault="00042B9E" w:rsidP="00042B9E">
      <w:pPr>
        <w:pStyle w:val="Caption"/>
      </w:pPr>
      <w:bookmarkStart w:id="40" w:name="_Ref204780065"/>
      <w:r>
        <w:lastRenderedPageBreak/>
        <w:t xml:space="preserve">Table </w:t>
      </w:r>
      <w:r>
        <w:fldChar w:fldCharType="begin"/>
      </w:r>
      <w:r>
        <w:instrText xml:space="preserve"> SEQ Table \* ARABIC </w:instrText>
      </w:r>
      <w:r>
        <w:fldChar w:fldCharType="separate"/>
      </w:r>
      <w:r w:rsidR="00392423">
        <w:rPr>
          <w:noProof/>
        </w:rPr>
        <w:t>15</w:t>
      </w:r>
      <w:r>
        <w:fldChar w:fldCharType="end"/>
      </w:r>
      <w:bookmarkEnd w:id="40"/>
      <w:r w:rsidR="00CC40F2">
        <w:t xml:space="preserve">: </w:t>
      </w:r>
      <w:r w:rsidR="0008002E" w:rsidRPr="5EEE9212">
        <w:t>Summary of ARIA and macrohaemorrhage events in in TB-2 and Dona-PC</w:t>
      </w:r>
    </w:p>
    <w:tbl>
      <w:tblPr>
        <w:tblStyle w:val="HTATableshaded"/>
        <w:tblW w:w="0" w:type="auto"/>
        <w:tblLook w:val="04A0" w:firstRow="1" w:lastRow="0" w:firstColumn="1" w:lastColumn="0" w:noHBand="0" w:noVBand="1"/>
        <w:tblCaption w:val="Table 15: Summary of ARIA and macrohaemorrhage events in in TB-2 and Dona-PC"/>
      </w:tblPr>
      <w:tblGrid>
        <w:gridCol w:w="2689"/>
        <w:gridCol w:w="1445"/>
        <w:gridCol w:w="1542"/>
        <w:gridCol w:w="1776"/>
        <w:gridCol w:w="1564"/>
      </w:tblGrid>
      <w:tr w:rsidR="0008002E" w:rsidRPr="00EE0EEB" w14:paraId="63814351" w14:textId="77777777" w:rsidTr="00E81465">
        <w:trPr>
          <w:cnfStyle w:val="100000000000" w:firstRow="1" w:lastRow="0" w:firstColumn="0" w:lastColumn="0" w:oddVBand="0" w:evenVBand="0" w:oddHBand="0" w:evenHBand="0" w:firstRowFirstColumn="0" w:firstRowLastColumn="0" w:lastRowFirstColumn="0" w:lastRowLastColumn="0"/>
          <w:cantSplit/>
          <w:trHeight w:val="283"/>
        </w:trPr>
        <w:tc>
          <w:tcPr>
            <w:tcW w:w="2689" w:type="dxa"/>
            <w:vMerge w:val="restart"/>
          </w:tcPr>
          <w:p w14:paraId="78714A55" w14:textId="77777777" w:rsidR="0008002E" w:rsidRPr="00EE0EEB" w:rsidRDefault="0008002E" w:rsidP="00E81465">
            <w:pPr>
              <w:pStyle w:val="TableText"/>
              <w:keepNext/>
              <w:rPr>
                <w:b/>
                <w:bCs/>
              </w:rPr>
            </w:pPr>
            <w:r w:rsidRPr="00EE0EEB">
              <w:rPr>
                <w:b/>
              </w:rPr>
              <w:t>ARIA events</w:t>
            </w:r>
          </w:p>
        </w:tc>
        <w:tc>
          <w:tcPr>
            <w:tcW w:w="2987" w:type="dxa"/>
            <w:gridSpan w:val="2"/>
          </w:tcPr>
          <w:p w14:paraId="2D3DA1DB" w14:textId="77777777" w:rsidR="0008002E" w:rsidRPr="00EE0EEB" w:rsidRDefault="0008002E" w:rsidP="00E81465">
            <w:pPr>
              <w:pStyle w:val="TableText"/>
              <w:keepNext/>
              <w:rPr>
                <w:b/>
                <w:bCs/>
              </w:rPr>
            </w:pPr>
            <w:r w:rsidRPr="00EE0EEB">
              <w:rPr>
                <w:b/>
              </w:rPr>
              <w:t>TB-2 (SAS)</w:t>
            </w:r>
          </w:p>
        </w:tc>
        <w:tc>
          <w:tcPr>
            <w:tcW w:w="3340" w:type="dxa"/>
            <w:gridSpan w:val="2"/>
          </w:tcPr>
          <w:p w14:paraId="30771584" w14:textId="77777777" w:rsidR="0008002E" w:rsidRPr="00EE0EEB" w:rsidRDefault="0008002E" w:rsidP="00E81465">
            <w:pPr>
              <w:pStyle w:val="TableText"/>
              <w:keepNext/>
              <w:rPr>
                <w:b/>
                <w:bCs/>
              </w:rPr>
            </w:pPr>
            <w:r w:rsidRPr="00EE0EEB">
              <w:rPr>
                <w:b/>
              </w:rPr>
              <w:t>DONA-PC (Integrated set)</w:t>
            </w:r>
          </w:p>
        </w:tc>
      </w:tr>
      <w:tr w:rsidR="0008002E" w:rsidRPr="00EE0EEB" w14:paraId="51D88770" w14:textId="77777777" w:rsidTr="00E81465">
        <w:trPr>
          <w:cantSplit/>
          <w:trHeight w:val="283"/>
        </w:trPr>
        <w:tc>
          <w:tcPr>
            <w:tcW w:w="2689" w:type="dxa"/>
            <w:vMerge/>
          </w:tcPr>
          <w:p w14:paraId="71005683" w14:textId="77777777" w:rsidR="0008002E" w:rsidRPr="00EE0EEB" w:rsidRDefault="0008002E" w:rsidP="00E81465">
            <w:pPr>
              <w:pStyle w:val="TableText"/>
              <w:keepNext/>
              <w:rPr>
                <w:b/>
                <w:bCs/>
              </w:rPr>
            </w:pPr>
          </w:p>
        </w:tc>
        <w:tc>
          <w:tcPr>
            <w:tcW w:w="1445" w:type="dxa"/>
          </w:tcPr>
          <w:p w14:paraId="3503C27F" w14:textId="77777777" w:rsidR="0008002E" w:rsidRPr="00EE0EEB" w:rsidRDefault="0008002E" w:rsidP="00E81465">
            <w:pPr>
              <w:pStyle w:val="TableText"/>
              <w:keepNext/>
              <w:rPr>
                <w:b/>
                <w:bCs/>
              </w:rPr>
            </w:pPr>
            <w:r w:rsidRPr="00EE0EEB">
              <w:rPr>
                <w:b/>
              </w:rPr>
              <w:t>Donanemab</w:t>
            </w:r>
          </w:p>
          <w:p w14:paraId="6C4952FB" w14:textId="77777777" w:rsidR="0008002E" w:rsidRPr="00EE0EEB" w:rsidRDefault="0008002E" w:rsidP="00E81465">
            <w:pPr>
              <w:pStyle w:val="TableText"/>
              <w:keepNext/>
              <w:rPr>
                <w:b/>
                <w:bCs/>
              </w:rPr>
            </w:pPr>
            <w:r w:rsidRPr="00EE0EEB">
              <w:rPr>
                <w:b/>
              </w:rPr>
              <w:t>N=853</w:t>
            </w:r>
          </w:p>
          <w:p w14:paraId="54016703" w14:textId="77777777" w:rsidR="0008002E" w:rsidRPr="00EE0EEB" w:rsidRDefault="0008002E" w:rsidP="00E81465">
            <w:pPr>
              <w:pStyle w:val="TableText"/>
              <w:keepNext/>
              <w:rPr>
                <w:b/>
                <w:bCs/>
              </w:rPr>
            </w:pPr>
            <w:r w:rsidRPr="00EE0EEB">
              <w:rPr>
                <w:b/>
              </w:rPr>
              <w:t>(n, %)</w:t>
            </w:r>
          </w:p>
        </w:tc>
        <w:tc>
          <w:tcPr>
            <w:tcW w:w="1542" w:type="dxa"/>
          </w:tcPr>
          <w:p w14:paraId="54D9B36F" w14:textId="77777777" w:rsidR="0008002E" w:rsidRPr="00EE0EEB" w:rsidRDefault="0008002E" w:rsidP="00E81465">
            <w:pPr>
              <w:pStyle w:val="TableText"/>
              <w:keepNext/>
              <w:rPr>
                <w:b/>
                <w:bCs/>
              </w:rPr>
            </w:pPr>
            <w:r w:rsidRPr="00EE0EEB">
              <w:rPr>
                <w:b/>
              </w:rPr>
              <w:t>Placebo</w:t>
            </w:r>
          </w:p>
          <w:p w14:paraId="3EC57EE5" w14:textId="77777777" w:rsidR="0008002E" w:rsidRPr="00EE0EEB" w:rsidRDefault="0008002E" w:rsidP="00E81465">
            <w:pPr>
              <w:pStyle w:val="TableText"/>
              <w:keepNext/>
              <w:rPr>
                <w:b/>
                <w:bCs/>
              </w:rPr>
            </w:pPr>
            <w:r w:rsidRPr="00EE0EEB">
              <w:rPr>
                <w:b/>
              </w:rPr>
              <w:t>N=874</w:t>
            </w:r>
          </w:p>
          <w:p w14:paraId="39A1DB4D" w14:textId="77777777" w:rsidR="0008002E" w:rsidRPr="00EE0EEB" w:rsidRDefault="0008002E" w:rsidP="00E81465">
            <w:pPr>
              <w:pStyle w:val="TableText"/>
              <w:keepNext/>
              <w:rPr>
                <w:b/>
                <w:bCs/>
              </w:rPr>
            </w:pPr>
            <w:r w:rsidRPr="00EE0EEB">
              <w:rPr>
                <w:b/>
              </w:rPr>
              <w:t>(n, %)</w:t>
            </w:r>
          </w:p>
        </w:tc>
        <w:tc>
          <w:tcPr>
            <w:tcW w:w="1776" w:type="dxa"/>
          </w:tcPr>
          <w:p w14:paraId="1166F716" w14:textId="77777777" w:rsidR="0008002E" w:rsidRPr="00EE0EEB" w:rsidRDefault="0008002E" w:rsidP="00E81465">
            <w:pPr>
              <w:pStyle w:val="TableText"/>
              <w:keepNext/>
              <w:rPr>
                <w:b/>
                <w:bCs/>
              </w:rPr>
            </w:pPr>
            <w:r w:rsidRPr="00EE0EEB">
              <w:rPr>
                <w:b/>
              </w:rPr>
              <w:t>Donanemab</w:t>
            </w:r>
          </w:p>
          <w:p w14:paraId="3621BFDD" w14:textId="77777777" w:rsidR="0008002E" w:rsidRPr="00EE0EEB" w:rsidRDefault="0008002E" w:rsidP="00E81465">
            <w:pPr>
              <w:pStyle w:val="TableText"/>
              <w:keepNext/>
              <w:rPr>
                <w:b/>
                <w:bCs/>
              </w:rPr>
            </w:pPr>
            <w:r w:rsidRPr="00EE0EEB">
              <w:rPr>
                <w:b/>
              </w:rPr>
              <w:t>N=984</w:t>
            </w:r>
          </w:p>
          <w:p w14:paraId="47CA55F4" w14:textId="77777777" w:rsidR="0008002E" w:rsidRPr="00EE0EEB" w:rsidRDefault="0008002E" w:rsidP="00E81465">
            <w:pPr>
              <w:pStyle w:val="TableText"/>
              <w:keepNext/>
              <w:rPr>
                <w:b/>
                <w:bCs/>
              </w:rPr>
            </w:pPr>
            <w:r w:rsidRPr="00EE0EEB">
              <w:rPr>
                <w:b/>
              </w:rPr>
              <w:t>(n, %)</w:t>
            </w:r>
          </w:p>
        </w:tc>
        <w:tc>
          <w:tcPr>
            <w:tcW w:w="1564" w:type="dxa"/>
          </w:tcPr>
          <w:p w14:paraId="38505539" w14:textId="77777777" w:rsidR="0008002E" w:rsidRPr="00EE0EEB" w:rsidRDefault="0008002E" w:rsidP="00E81465">
            <w:pPr>
              <w:pStyle w:val="TableText"/>
              <w:keepNext/>
              <w:rPr>
                <w:b/>
                <w:bCs/>
              </w:rPr>
            </w:pPr>
            <w:r w:rsidRPr="00EE0EEB">
              <w:rPr>
                <w:b/>
              </w:rPr>
              <w:t>Placebo</w:t>
            </w:r>
          </w:p>
          <w:p w14:paraId="7CE22E8A" w14:textId="77777777" w:rsidR="0008002E" w:rsidRPr="00EE0EEB" w:rsidRDefault="0008002E" w:rsidP="00E81465">
            <w:pPr>
              <w:pStyle w:val="TableText"/>
              <w:keepNext/>
              <w:rPr>
                <w:b/>
                <w:bCs/>
              </w:rPr>
            </w:pPr>
            <w:r w:rsidRPr="00EE0EEB">
              <w:rPr>
                <w:b/>
              </w:rPr>
              <w:t>N=999</w:t>
            </w:r>
          </w:p>
          <w:p w14:paraId="0C20653D" w14:textId="77777777" w:rsidR="0008002E" w:rsidRPr="00EE0EEB" w:rsidRDefault="0008002E" w:rsidP="00E81465">
            <w:pPr>
              <w:pStyle w:val="TableText"/>
              <w:keepNext/>
              <w:rPr>
                <w:b/>
                <w:bCs/>
              </w:rPr>
            </w:pPr>
            <w:r w:rsidRPr="00EE0EEB">
              <w:rPr>
                <w:b/>
              </w:rPr>
              <w:t>(n, %)</w:t>
            </w:r>
          </w:p>
        </w:tc>
      </w:tr>
      <w:tr w:rsidR="0008002E" w:rsidRPr="00EE0EEB" w14:paraId="4BAC1DE5" w14:textId="77777777" w:rsidTr="00E81465">
        <w:trPr>
          <w:cantSplit/>
          <w:trHeight w:val="283"/>
        </w:trPr>
        <w:tc>
          <w:tcPr>
            <w:tcW w:w="2689" w:type="dxa"/>
          </w:tcPr>
          <w:p w14:paraId="7AD0A8F4" w14:textId="77777777" w:rsidR="0008002E" w:rsidRPr="00EE0EEB" w:rsidRDefault="0008002E" w:rsidP="00E81465">
            <w:pPr>
              <w:pStyle w:val="TableText"/>
              <w:keepNext/>
            </w:pPr>
            <w:r w:rsidRPr="00EE0EEB">
              <w:t>Any ARIA (-E or -H)</w:t>
            </w:r>
          </w:p>
        </w:tc>
        <w:tc>
          <w:tcPr>
            <w:tcW w:w="1445" w:type="dxa"/>
          </w:tcPr>
          <w:p w14:paraId="31EE8D9B" w14:textId="77777777" w:rsidR="0008002E" w:rsidRPr="00EE0EEB" w:rsidRDefault="0008002E" w:rsidP="00E81465">
            <w:pPr>
              <w:pStyle w:val="TableText"/>
              <w:keepNext/>
            </w:pPr>
            <w:r w:rsidRPr="00EE0EEB">
              <w:t>314 (36.8)</w:t>
            </w:r>
          </w:p>
        </w:tc>
        <w:tc>
          <w:tcPr>
            <w:tcW w:w="1542" w:type="dxa"/>
          </w:tcPr>
          <w:p w14:paraId="27BB3B9E" w14:textId="77777777" w:rsidR="0008002E" w:rsidRPr="00EE0EEB" w:rsidRDefault="0008002E" w:rsidP="00E81465">
            <w:pPr>
              <w:pStyle w:val="TableText"/>
              <w:keepNext/>
            </w:pPr>
            <w:r w:rsidRPr="00EE0EEB">
              <w:t>130 (14.9)</w:t>
            </w:r>
          </w:p>
        </w:tc>
        <w:tc>
          <w:tcPr>
            <w:tcW w:w="1776" w:type="dxa"/>
          </w:tcPr>
          <w:p w14:paraId="54EADABD" w14:textId="77777777" w:rsidR="0008002E" w:rsidRPr="00EE0EEB" w:rsidRDefault="0008002E" w:rsidP="00E81465">
            <w:pPr>
              <w:pStyle w:val="TableText"/>
              <w:keepNext/>
            </w:pPr>
            <w:r w:rsidRPr="00EE0EEB">
              <w:t>364 (37.0)</w:t>
            </w:r>
          </w:p>
        </w:tc>
        <w:tc>
          <w:tcPr>
            <w:tcW w:w="1564" w:type="dxa"/>
          </w:tcPr>
          <w:p w14:paraId="50D6634B" w14:textId="77777777" w:rsidR="0008002E" w:rsidRPr="00EE0EEB" w:rsidRDefault="0008002E" w:rsidP="00E81465">
            <w:pPr>
              <w:pStyle w:val="TableText"/>
              <w:keepNext/>
            </w:pPr>
            <w:r w:rsidRPr="00EE0EEB">
              <w:t>142 (14.2)</w:t>
            </w:r>
          </w:p>
        </w:tc>
      </w:tr>
      <w:tr w:rsidR="0008002E" w:rsidRPr="00EE0EEB" w14:paraId="269AA910" w14:textId="77777777" w:rsidTr="00E81465">
        <w:trPr>
          <w:cantSplit/>
          <w:trHeight w:val="283"/>
        </w:trPr>
        <w:tc>
          <w:tcPr>
            <w:tcW w:w="2689" w:type="dxa"/>
          </w:tcPr>
          <w:p w14:paraId="2503B861" w14:textId="77777777" w:rsidR="0008002E" w:rsidRPr="00EE0EEB" w:rsidRDefault="0008002E" w:rsidP="00E81465">
            <w:pPr>
              <w:pStyle w:val="TableText"/>
              <w:keepNext/>
            </w:pPr>
            <w:r w:rsidRPr="00EE0EEB">
              <w:t>Serious ARIA (-E, or -H)</w:t>
            </w:r>
          </w:p>
        </w:tc>
        <w:tc>
          <w:tcPr>
            <w:tcW w:w="1445" w:type="dxa"/>
          </w:tcPr>
          <w:p w14:paraId="1AC52114" w14:textId="77777777" w:rsidR="0008002E" w:rsidRPr="00EE0EEB" w:rsidRDefault="0008002E" w:rsidP="00E81465">
            <w:pPr>
              <w:pStyle w:val="TableText"/>
              <w:keepNext/>
            </w:pPr>
            <w:r w:rsidRPr="00EE0EEB">
              <w:t>14 (1.6)</w:t>
            </w:r>
          </w:p>
        </w:tc>
        <w:tc>
          <w:tcPr>
            <w:tcW w:w="1542" w:type="dxa"/>
          </w:tcPr>
          <w:p w14:paraId="1792CCD1" w14:textId="77777777" w:rsidR="0008002E" w:rsidRPr="00EE0EEB" w:rsidRDefault="0008002E" w:rsidP="00E81465">
            <w:pPr>
              <w:pStyle w:val="TableText"/>
              <w:keepNext/>
            </w:pPr>
            <w:r w:rsidRPr="00EE0EEB">
              <w:t>0 (0.0)</w:t>
            </w:r>
          </w:p>
        </w:tc>
        <w:tc>
          <w:tcPr>
            <w:tcW w:w="1776" w:type="dxa"/>
          </w:tcPr>
          <w:p w14:paraId="75C82B84" w14:textId="77777777" w:rsidR="0008002E" w:rsidRPr="00EE0EEB" w:rsidRDefault="0008002E" w:rsidP="00E81465">
            <w:pPr>
              <w:pStyle w:val="TableText"/>
              <w:keepNext/>
            </w:pPr>
            <w:r w:rsidRPr="00EE0EEB">
              <w:t>16 (1.6)</w:t>
            </w:r>
          </w:p>
        </w:tc>
        <w:tc>
          <w:tcPr>
            <w:tcW w:w="1564" w:type="dxa"/>
          </w:tcPr>
          <w:p w14:paraId="1B3A4CA2" w14:textId="77777777" w:rsidR="0008002E" w:rsidRPr="00EE0EEB" w:rsidRDefault="0008002E" w:rsidP="00E81465">
            <w:pPr>
              <w:pStyle w:val="TableText"/>
              <w:keepNext/>
            </w:pPr>
            <w:r w:rsidRPr="00EE0EEB">
              <w:t>0 (0.0)</w:t>
            </w:r>
          </w:p>
        </w:tc>
      </w:tr>
      <w:tr w:rsidR="0008002E" w:rsidRPr="00EE0EEB" w14:paraId="46FA7CEF" w14:textId="77777777" w:rsidTr="00E81465">
        <w:trPr>
          <w:cantSplit/>
          <w:trHeight w:val="283"/>
        </w:trPr>
        <w:tc>
          <w:tcPr>
            <w:tcW w:w="2689" w:type="dxa"/>
          </w:tcPr>
          <w:p w14:paraId="165485DC" w14:textId="77777777" w:rsidR="0008002E" w:rsidRPr="00EE0EEB" w:rsidRDefault="0008002E" w:rsidP="00E81465">
            <w:pPr>
              <w:pStyle w:val="TableText"/>
              <w:keepNext/>
              <w:rPr>
                <w:vertAlign w:val="superscript"/>
              </w:rPr>
            </w:pPr>
            <w:r w:rsidRPr="00EE0EEB">
              <w:t>ARIA-E</w:t>
            </w:r>
            <w:r w:rsidRPr="00EE0EEB">
              <w:rPr>
                <w:vertAlign w:val="superscript"/>
              </w:rPr>
              <w:t>a</w:t>
            </w:r>
          </w:p>
        </w:tc>
        <w:tc>
          <w:tcPr>
            <w:tcW w:w="1445" w:type="dxa"/>
          </w:tcPr>
          <w:p w14:paraId="43A0017E" w14:textId="77777777" w:rsidR="0008002E" w:rsidRPr="00EE0EEB" w:rsidRDefault="0008002E" w:rsidP="00E81465">
            <w:pPr>
              <w:pStyle w:val="TableText"/>
              <w:keepNext/>
            </w:pPr>
            <w:r w:rsidRPr="00EE0EEB">
              <w:t>205 (24.0)</w:t>
            </w:r>
          </w:p>
        </w:tc>
        <w:tc>
          <w:tcPr>
            <w:tcW w:w="1542" w:type="dxa"/>
          </w:tcPr>
          <w:p w14:paraId="6C661DEE" w14:textId="77777777" w:rsidR="0008002E" w:rsidRPr="00EE0EEB" w:rsidRDefault="0008002E" w:rsidP="00E81465">
            <w:pPr>
              <w:pStyle w:val="TableText"/>
              <w:keepNext/>
            </w:pPr>
            <w:r w:rsidRPr="00EE0EEB">
              <w:t>18 (2.1)</w:t>
            </w:r>
          </w:p>
        </w:tc>
        <w:tc>
          <w:tcPr>
            <w:tcW w:w="1776" w:type="dxa"/>
          </w:tcPr>
          <w:p w14:paraId="24972787" w14:textId="77777777" w:rsidR="0008002E" w:rsidRPr="00EE0EEB" w:rsidRDefault="0008002E" w:rsidP="00E81465">
            <w:pPr>
              <w:pStyle w:val="TableText"/>
              <w:keepNext/>
            </w:pPr>
            <w:r w:rsidRPr="00EE0EEB">
              <w:t>240 (24.4)</w:t>
            </w:r>
          </w:p>
        </w:tc>
        <w:tc>
          <w:tcPr>
            <w:tcW w:w="1564" w:type="dxa"/>
          </w:tcPr>
          <w:p w14:paraId="55D42774" w14:textId="77777777" w:rsidR="0008002E" w:rsidRPr="00EE0EEB" w:rsidRDefault="0008002E" w:rsidP="00E81465">
            <w:pPr>
              <w:pStyle w:val="TableText"/>
              <w:keepNext/>
            </w:pPr>
            <w:r w:rsidRPr="00EE0EEB">
              <w:t>19 (1.9)</w:t>
            </w:r>
          </w:p>
        </w:tc>
      </w:tr>
      <w:tr w:rsidR="0008002E" w:rsidRPr="00EE0EEB" w14:paraId="7119F403" w14:textId="77777777" w:rsidTr="00E81465">
        <w:trPr>
          <w:cantSplit/>
          <w:trHeight w:val="283"/>
        </w:trPr>
        <w:tc>
          <w:tcPr>
            <w:tcW w:w="2689" w:type="dxa"/>
          </w:tcPr>
          <w:p w14:paraId="1297B6F7" w14:textId="77777777" w:rsidR="0008002E" w:rsidRPr="00EE0EEB" w:rsidRDefault="0008002E" w:rsidP="00E81465">
            <w:pPr>
              <w:pStyle w:val="TableText"/>
              <w:keepNext/>
            </w:pPr>
            <w:r w:rsidRPr="00EE0EEB">
              <w:t>ARIA-E (MRI)</w:t>
            </w:r>
          </w:p>
        </w:tc>
        <w:tc>
          <w:tcPr>
            <w:tcW w:w="1445" w:type="dxa"/>
          </w:tcPr>
          <w:p w14:paraId="6152E8E9" w14:textId="77777777" w:rsidR="0008002E" w:rsidRPr="00EE0EEB" w:rsidRDefault="0008002E" w:rsidP="00E81465">
            <w:pPr>
              <w:pStyle w:val="TableText"/>
              <w:keepNext/>
            </w:pPr>
            <w:r w:rsidRPr="00EE0EEB">
              <w:t>202 (23.7)</w:t>
            </w:r>
          </w:p>
        </w:tc>
        <w:tc>
          <w:tcPr>
            <w:tcW w:w="1542" w:type="dxa"/>
          </w:tcPr>
          <w:p w14:paraId="44BE21EA" w14:textId="77777777" w:rsidR="0008002E" w:rsidRPr="00EE0EEB" w:rsidRDefault="0008002E" w:rsidP="00E81465">
            <w:pPr>
              <w:pStyle w:val="TableText"/>
              <w:keepNext/>
            </w:pPr>
            <w:r w:rsidRPr="00EE0EEB">
              <w:t>17 (1.9)</w:t>
            </w:r>
          </w:p>
        </w:tc>
        <w:tc>
          <w:tcPr>
            <w:tcW w:w="1776" w:type="dxa"/>
          </w:tcPr>
          <w:p w14:paraId="4D27DDBB" w14:textId="77777777" w:rsidR="0008002E" w:rsidRPr="00EE0EEB" w:rsidRDefault="0008002E" w:rsidP="00E81465">
            <w:pPr>
              <w:pStyle w:val="TableText"/>
              <w:keepNext/>
            </w:pPr>
            <w:r w:rsidRPr="00EE0EEB">
              <w:t>237 (24.1)</w:t>
            </w:r>
          </w:p>
        </w:tc>
        <w:tc>
          <w:tcPr>
            <w:tcW w:w="1564" w:type="dxa"/>
          </w:tcPr>
          <w:p w14:paraId="0D7232F7" w14:textId="77777777" w:rsidR="0008002E" w:rsidRPr="00EE0EEB" w:rsidRDefault="0008002E" w:rsidP="00E81465">
            <w:pPr>
              <w:pStyle w:val="TableText"/>
              <w:keepNext/>
            </w:pPr>
            <w:r w:rsidRPr="00EE0EEB">
              <w:t>18 (1.8)</w:t>
            </w:r>
          </w:p>
        </w:tc>
      </w:tr>
      <w:tr w:rsidR="0008002E" w:rsidRPr="00EE0EEB" w14:paraId="2ED7548F" w14:textId="77777777" w:rsidTr="00E81465">
        <w:trPr>
          <w:cantSplit/>
          <w:trHeight w:val="283"/>
        </w:trPr>
        <w:tc>
          <w:tcPr>
            <w:tcW w:w="2689" w:type="dxa"/>
          </w:tcPr>
          <w:p w14:paraId="0BB2FF78" w14:textId="77777777" w:rsidR="0008002E" w:rsidRPr="00EE0EEB" w:rsidRDefault="0008002E" w:rsidP="00E81465">
            <w:pPr>
              <w:pStyle w:val="TableText"/>
              <w:keepNext/>
              <w:ind w:left="720" w:hanging="578"/>
              <w:rPr>
                <w:vertAlign w:val="superscript"/>
              </w:rPr>
            </w:pPr>
            <w:r w:rsidRPr="00EE0EEB">
              <w:t>Deaths</w:t>
            </w:r>
            <w:r w:rsidRPr="00EE0EEB">
              <w:rPr>
                <w:vertAlign w:val="superscript"/>
              </w:rPr>
              <w:t>b</w:t>
            </w:r>
          </w:p>
        </w:tc>
        <w:tc>
          <w:tcPr>
            <w:tcW w:w="1445" w:type="dxa"/>
          </w:tcPr>
          <w:p w14:paraId="6CFF531E" w14:textId="77777777" w:rsidR="0008002E" w:rsidRPr="00EE0EEB" w:rsidRDefault="0008002E" w:rsidP="00E81465">
            <w:pPr>
              <w:pStyle w:val="TableText"/>
              <w:keepNext/>
            </w:pPr>
            <w:r w:rsidRPr="00EE0EEB">
              <w:t>1 (0.1)</w:t>
            </w:r>
          </w:p>
        </w:tc>
        <w:tc>
          <w:tcPr>
            <w:tcW w:w="1542" w:type="dxa"/>
          </w:tcPr>
          <w:p w14:paraId="1A248C67" w14:textId="77777777" w:rsidR="0008002E" w:rsidRPr="00EE0EEB" w:rsidRDefault="0008002E" w:rsidP="00E81465">
            <w:pPr>
              <w:pStyle w:val="TableText"/>
              <w:keepNext/>
            </w:pPr>
            <w:r w:rsidRPr="00EE0EEB">
              <w:t>0 (0.0)</w:t>
            </w:r>
          </w:p>
        </w:tc>
        <w:tc>
          <w:tcPr>
            <w:tcW w:w="1776" w:type="dxa"/>
          </w:tcPr>
          <w:p w14:paraId="072B117B" w14:textId="77777777" w:rsidR="0008002E" w:rsidRPr="00EE0EEB" w:rsidRDefault="0008002E" w:rsidP="00E81465">
            <w:pPr>
              <w:pStyle w:val="TableText"/>
              <w:keepNext/>
            </w:pPr>
            <w:r w:rsidRPr="00EE0EEB">
              <w:t>1 (0.1)</w:t>
            </w:r>
          </w:p>
        </w:tc>
        <w:tc>
          <w:tcPr>
            <w:tcW w:w="1564" w:type="dxa"/>
          </w:tcPr>
          <w:p w14:paraId="1A4A48CB" w14:textId="77777777" w:rsidR="0008002E" w:rsidRPr="00EE0EEB" w:rsidRDefault="0008002E" w:rsidP="00E81465">
            <w:pPr>
              <w:pStyle w:val="TableText"/>
              <w:keepNext/>
            </w:pPr>
            <w:r w:rsidRPr="00EE0EEB">
              <w:t>0 (0.0)</w:t>
            </w:r>
          </w:p>
        </w:tc>
      </w:tr>
      <w:tr w:rsidR="0008002E" w:rsidRPr="00EE0EEB" w14:paraId="064EBC3E" w14:textId="77777777" w:rsidTr="00E81465">
        <w:trPr>
          <w:cantSplit/>
          <w:trHeight w:val="283"/>
        </w:trPr>
        <w:tc>
          <w:tcPr>
            <w:tcW w:w="2689" w:type="dxa"/>
          </w:tcPr>
          <w:p w14:paraId="15D3D05D" w14:textId="77777777" w:rsidR="0008002E" w:rsidRPr="00EE0EEB" w:rsidRDefault="0008002E" w:rsidP="00E81465">
            <w:pPr>
              <w:pStyle w:val="TableText"/>
              <w:keepNext/>
              <w:ind w:left="720" w:hanging="578"/>
            </w:pPr>
            <w:r w:rsidRPr="00EE0EEB">
              <w:t>Symptomatic</w:t>
            </w:r>
          </w:p>
        </w:tc>
        <w:tc>
          <w:tcPr>
            <w:tcW w:w="1445" w:type="dxa"/>
          </w:tcPr>
          <w:p w14:paraId="79ED2E2A" w14:textId="77777777" w:rsidR="0008002E" w:rsidRPr="00EE0EEB" w:rsidRDefault="0008002E" w:rsidP="00E81465">
            <w:pPr>
              <w:pStyle w:val="TableText"/>
              <w:keepNext/>
            </w:pPr>
            <w:r w:rsidRPr="00EE0EEB">
              <w:t>52 (6.1)</w:t>
            </w:r>
          </w:p>
        </w:tc>
        <w:tc>
          <w:tcPr>
            <w:tcW w:w="1542" w:type="dxa"/>
          </w:tcPr>
          <w:p w14:paraId="1B10EBCF" w14:textId="77777777" w:rsidR="0008002E" w:rsidRPr="00EE0EEB" w:rsidRDefault="0008002E" w:rsidP="00E81465">
            <w:pPr>
              <w:pStyle w:val="TableText"/>
              <w:keepNext/>
            </w:pPr>
            <w:r w:rsidRPr="00EE0EEB">
              <w:t>1 (0.1)</w:t>
            </w:r>
            <w:r w:rsidRPr="00EE0EEB">
              <w:rPr>
                <w:rStyle w:val="FootnoteReference"/>
              </w:rPr>
              <w:t>c</w:t>
            </w:r>
          </w:p>
        </w:tc>
        <w:tc>
          <w:tcPr>
            <w:tcW w:w="1776" w:type="dxa"/>
          </w:tcPr>
          <w:p w14:paraId="73332310" w14:textId="77777777" w:rsidR="0008002E" w:rsidRPr="00EE0EEB" w:rsidRDefault="0008002E" w:rsidP="00E81465">
            <w:pPr>
              <w:pStyle w:val="TableText"/>
              <w:keepNext/>
            </w:pPr>
            <w:r w:rsidRPr="00EE0EEB">
              <w:t>54 (5.5)</w:t>
            </w:r>
          </w:p>
        </w:tc>
        <w:tc>
          <w:tcPr>
            <w:tcW w:w="1564" w:type="dxa"/>
          </w:tcPr>
          <w:p w14:paraId="0BD505DE" w14:textId="77777777" w:rsidR="0008002E" w:rsidRPr="00EE0EEB" w:rsidRDefault="0008002E" w:rsidP="00E81465">
            <w:pPr>
              <w:pStyle w:val="TableText"/>
              <w:keepNext/>
              <w:rPr>
                <w:vertAlign w:val="superscript"/>
              </w:rPr>
            </w:pPr>
            <w:r w:rsidRPr="00EE0EEB">
              <w:t>1 (0.1)</w:t>
            </w:r>
            <w:r w:rsidRPr="00EE0EEB">
              <w:rPr>
                <w:vertAlign w:val="superscript"/>
              </w:rPr>
              <w:t>c</w:t>
            </w:r>
          </w:p>
        </w:tc>
      </w:tr>
      <w:tr w:rsidR="0008002E" w:rsidRPr="00EE0EEB" w14:paraId="189D91CF" w14:textId="77777777" w:rsidTr="00E81465">
        <w:trPr>
          <w:cantSplit/>
          <w:trHeight w:val="283"/>
        </w:trPr>
        <w:tc>
          <w:tcPr>
            <w:tcW w:w="2689" w:type="dxa"/>
          </w:tcPr>
          <w:p w14:paraId="1598388B" w14:textId="77777777" w:rsidR="0008002E" w:rsidRPr="00EE0EEB" w:rsidRDefault="0008002E" w:rsidP="00E81465">
            <w:pPr>
              <w:pStyle w:val="TableText"/>
              <w:keepNext/>
              <w:ind w:left="720" w:hanging="578"/>
            </w:pPr>
            <w:r w:rsidRPr="00EE0EEB">
              <w:t>Serious ARIA-E</w:t>
            </w:r>
          </w:p>
        </w:tc>
        <w:tc>
          <w:tcPr>
            <w:tcW w:w="1445" w:type="dxa"/>
          </w:tcPr>
          <w:p w14:paraId="0BBDF1CF" w14:textId="77777777" w:rsidR="0008002E" w:rsidRPr="00EE0EEB" w:rsidRDefault="0008002E" w:rsidP="00E81465">
            <w:pPr>
              <w:pStyle w:val="TableText"/>
              <w:keepNext/>
            </w:pPr>
            <w:r w:rsidRPr="00EE0EEB">
              <w:t>13 (1.5)</w:t>
            </w:r>
          </w:p>
        </w:tc>
        <w:tc>
          <w:tcPr>
            <w:tcW w:w="1542" w:type="dxa"/>
          </w:tcPr>
          <w:p w14:paraId="10F2465A" w14:textId="77777777" w:rsidR="0008002E" w:rsidRPr="00EE0EEB" w:rsidRDefault="0008002E" w:rsidP="00E81465">
            <w:pPr>
              <w:pStyle w:val="TableText"/>
              <w:keepNext/>
            </w:pPr>
            <w:r w:rsidRPr="00EE0EEB">
              <w:t>0 (0.0)</w:t>
            </w:r>
          </w:p>
        </w:tc>
        <w:tc>
          <w:tcPr>
            <w:tcW w:w="1776" w:type="dxa"/>
          </w:tcPr>
          <w:p w14:paraId="3981AE5B" w14:textId="77777777" w:rsidR="0008002E" w:rsidRPr="00EE0EEB" w:rsidRDefault="0008002E" w:rsidP="00E81465">
            <w:pPr>
              <w:pStyle w:val="TableText"/>
              <w:keepNext/>
            </w:pPr>
            <w:r w:rsidRPr="00EE0EEB">
              <w:t>15 (1.5)</w:t>
            </w:r>
          </w:p>
        </w:tc>
        <w:tc>
          <w:tcPr>
            <w:tcW w:w="1564" w:type="dxa"/>
          </w:tcPr>
          <w:p w14:paraId="3F0AB3B9" w14:textId="77777777" w:rsidR="0008002E" w:rsidRPr="00EE0EEB" w:rsidRDefault="0008002E" w:rsidP="00E81465">
            <w:pPr>
              <w:pStyle w:val="TableText"/>
              <w:keepNext/>
            </w:pPr>
            <w:r w:rsidRPr="00EE0EEB">
              <w:t>0 (0.0)</w:t>
            </w:r>
          </w:p>
        </w:tc>
      </w:tr>
      <w:tr w:rsidR="0008002E" w:rsidRPr="00EE0EEB" w14:paraId="58FE92A1" w14:textId="77777777" w:rsidTr="00E81465">
        <w:trPr>
          <w:cantSplit/>
          <w:trHeight w:val="283"/>
        </w:trPr>
        <w:tc>
          <w:tcPr>
            <w:tcW w:w="2689" w:type="dxa"/>
          </w:tcPr>
          <w:p w14:paraId="6FEF5E41" w14:textId="77777777" w:rsidR="0008002E" w:rsidRPr="00EE0EEB" w:rsidRDefault="0008002E" w:rsidP="00E81465">
            <w:pPr>
              <w:pStyle w:val="TableText"/>
              <w:keepNext/>
              <w:ind w:left="720" w:hanging="578"/>
            </w:pPr>
            <w:r w:rsidRPr="00EE0EEB">
              <w:t>Treatment discontinuations</w:t>
            </w:r>
          </w:p>
        </w:tc>
        <w:tc>
          <w:tcPr>
            <w:tcW w:w="1445" w:type="dxa"/>
          </w:tcPr>
          <w:p w14:paraId="4CFFDC53" w14:textId="77777777" w:rsidR="0008002E" w:rsidRPr="00EE0EEB" w:rsidRDefault="0008002E" w:rsidP="00E81465">
            <w:pPr>
              <w:pStyle w:val="TableText"/>
              <w:keepNext/>
            </w:pPr>
            <w:r w:rsidRPr="00EE0EEB">
              <w:t>21 (2.5)</w:t>
            </w:r>
          </w:p>
        </w:tc>
        <w:tc>
          <w:tcPr>
            <w:tcW w:w="1542" w:type="dxa"/>
          </w:tcPr>
          <w:p w14:paraId="0EB4279C" w14:textId="77777777" w:rsidR="0008002E" w:rsidRPr="00EE0EEB" w:rsidRDefault="0008002E" w:rsidP="00E81465">
            <w:pPr>
              <w:pStyle w:val="TableText"/>
              <w:keepNext/>
            </w:pPr>
            <w:r w:rsidRPr="00EE0EEB">
              <w:t>3 (0.3)</w:t>
            </w:r>
          </w:p>
        </w:tc>
        <w:tc>
          <w:tcPr>
            <w:tcW w:w="1776" w:type="dxa"/>
          </w:tcPr>
          <w:p w14:paraId="30603BC7" w14:textId="77777777" w:rsidR="0008002E" w:rsidRPr="00EE0EEB" w:rsidRDefault="0008002E" w:rsidP="00E81465">
            <w:pPr>
              <w:pStyle w:val="TableText"/>
              <w:keepNext/>
            </w:pPr>
            <w:r w:rsidRPr="00EE0EEB">
              <w:t>28 (2.8)</w:t>
            </w:r>
          </w:p>
        </w:tc>
        <w:tc>
          <w:tcPr>
            <w:tcW w:w="1564" w:type="dxa"/>
          </w:tcPr>
          <w:p w14:paraId="76E20C4B" w14:textId="77777777" w:rsidR="0008002E" w:rsidRPr="00EE0EEB" w:rsidRDefault="0008002E" w:rsidP="00E81465">
            <w:pPr>
              <w:pStyle w:val="TableText"/>
              <w:keepNext/>
            </w:pPr>
            <w:r w:rsidRPr="00EE0EEB">
              <w:t>4 (0.4)</w:t>
            </w:r>
          </w:p>
        </w:tc>
      </w:tr>
      <w:tr w:rsidR="0008002E" w:rsidRPr="00EE0EEB" w14:paraId="55BC266B" w14:textId="77777777" w:rsidTr="00E81465">
        <w:trPr>
          <w:cantSplit/>
          <w:trHeight w:val="283"/>
        </w:trPr>
        <w:tc>
          <w:tcPr>
            <w:tcW w:w="2689" w:type="dxa"/>
          </w:tcPr>
          <w:p w14:paraId="394C0E38" w14:textId="77777777" w:rsidR="0008002E" w:rsidRPr="00EE0EEB" w:rsidRDefault="0008002E" w:rsidP="00E81465">
            <w:pPr>
              <w:pStyle w:val="TableText"/>
              <w:keepNext/>
              <w:rPr>
                <w:vertAlign w:val="superscript"/>
              </w:rPr>
            </w:pPr>
            <w:r w:rsidRPr="00EE0EEB">
              <w:t>ARIA-H</w:t>
            </w:r>
            <w:r w:rsidRPr="00EE0EEB">
              <w:rPr>
                <w:vertAlign w:val="superscript"/>
              </w:rPr>
              <w:t>a</w:t>
            </w:r>
          </w:p>
        </w:tc>
        <w:tc>
          <w:tcPr>
            <w:tcW w:w="1445" w:type="dxa"/>
          </w:tcPr>
          <w:p w14:paraId="35CA4B1E" w14:textId="77777777" w:rsidR="0008002E" w:rsidRPr="00EE0EEB" w:rsidRDefault="0008002E" w:rsidP="00E81465">
            <w:pPr>
              <w:pStyle w:val="TableText"/>
              <w:keepNext/>
            </w:pPr>
            <w:r w:rsidRPr="00EE0EEB">
              <w:t>268 (31.4)</w:t>
            </w:r>
          </w:p>
        </w:tc>
        <w:tc>
          <w:tcPr>
            <w:tcW w:w="1542" w:type="dxa"/>
          </w:tcPr>
          <w:p w14:paraId="2CB09065" w14:textId="77777777" w:rsidR="0008002E" w:rsidRPr="00EE0EEB" w:rsidRDefault="0008002E" w:rsidP="00E81465">
            <w:pPr>
              <w:pStyle w:val="TableText"/>
              <w:keepNext/>
            </w:pPr>
            <w:r w:rsidRPr="00EE0EEB">
              <w:t>119 (13.6)</w:t>
            </w:r>
          </w:p>
        </w:tc>
        <w:tc>
          <w:tcPr>
            <w:tcW w:w="1776" w:type="dxa"/>
          </w:tcPr>
          <w:p w14:paraId="0CA04C02" w14:textId="77777777" w:rsidR="0008002E" w:rsidRPr="00EE0EEB" w:rsidRDefault="0008002E" w:rsidP="00E81465">
            <w:pPr>
              <w:pStyle w:val="TableText"/>
              <w:keepNext/>
            </w:pPr>
            <w:r w:rsidRPr="00EE0EEB">
              <w:t>308 (31.3)</w:t>
            </w:r>
          </w:p>
        </w:tc>
        <w:tc>
          <w:tcPr>
            <w:tcW w:w="1564" w:type="dxa"/>
          </w:tcPr>
          <w:p w14:paraId="7C90AFFB" w14:textId="77777777" w:rsidR="0008002E" w:rsidRPr="00EE0EEB" w:rsidRDefault="0008002E" w:rsidP="00E81465">
            <w:pPr>
              <w:pStyle w:val="TableText"/>
              <w:keepNext/>
            </w:pPr>
            <w:r w:rsidRPr="00EE0EEB">
              <w:t>130 (13.0)</w:t>
            </w:r>
          </w:p>
        </w:tc>
      </w:tr>
      <w:tr w:rsidR="0008002E" w:rsidRPr="00EE0EEB" w14:paraId="18F7E343" w14:textId="77777777" w:rsidTr="00E81465">
        <w:trPr>
          <w:cantSplit/>
          <w:trHeight w:val="283"/>
        </w:trPr>
        <w:tc>
          <w:tcPr>
            <w:tcW w:w="2689" w:type="dxa"/>
          </w:tcPr>
          <w:p w14:paraId="2E1AC8FD" w14:textId="77777777" w:rsidR="0008002E" w:rsidRPr="00EE0EEB" w:rsidRDefault="0008002E" w:rsidP="00E81465">
            <w:pPr>
              <w:pStyle w:val="TableText"/>
              <w:keepNext/>
              <w:ind w:left="720" w:hanging="578"/>
            </w:pPr>
            <w:r w:rsidRPr="00EE0EEB">
              <w:t>ARIA-H (MRI)</w:t>
            </w:r>
          </w:p>
        </w:tc>
        <w:tc>
          <w:tcPr>
            <w:tcW w:w="1445" w:type="dxa"/>
          </w:tcPr>
          <w:p w14:paraId="549D5DE3" w14:textId="77777777" w:rsidR="0008002E" w:rsidRPr="00EE0EEB" w:rsidRDefault="0008002E" w:rsidP="00E81465">
            <w:pPr>
              <w:pStyle w:val="TableText"/>
              <w:keepNext/>
            </w:pPr>
            <w:r w:rsidRPr="00EE0EEB">
              <w:t>267 (31.3)</w:t>
            </w:r>
          </w:p>
        </w:tc>
        <w:tc>
          <w:tcPr>
            <w:tcW w:w="1542" w:type="dxa"/>
          </w:tcPr>
          <w:p w14:paraId="3427AE59" w14:textId="77777777" w:rsidR="0008002E" w:rsidRPr="00EE0EEB" w:rsidRDefault="0008002E" w:rsidP="00E81465">
            <w:pPr>
              <w:pStyle w:val="TableText"/>
              <w:keepNext/>
            </w:pPr>
            <w:r w:rsidRPr="00EE0EEB">
              <w:t>115 (13.2)</w:t>
            </w:r>
          </w:p>
        </w:tc>
        <w:tc>
          <w:tcPr>
            <w:tcW w:w="1776" w:type="dxa"/>
          </w:tcPr>
          <w:p w14:paraId="715860D9" w14:textId="77777777" w:rsidR="0008002E" w:rsidRPr="00EE0EEB" w:rsidRDefault="0008002E" w:rsidP="00E81465">
            <w:pPr>
              <w:pStyle w:val="TableText"/>
              <w:keepNext/>
            </w:pPr>
            <w:r w:rsidRPr="00EE0EEB">
              <w:t>307 (31.2)</w:t>
            </w:r>
          </w:p>
        </w:tc>
        <w:tc>
          <w:tcPr>
            <w:tcW w:w="1564" w:type="dxa"/>
          </w:tcPr>
          <w:p w14:paraId="668860D6" w14:textId="77777777" w:rsidR="0008002E" w:rsidRPr="00EE0EEB" w:rsidRDefault="0008002E" w:rsidP="00E81465">
            <w:pPr>
              <w:pStyle w:val="TableText"/>
              <w:keepNext/>
            </w:pPr>
            <w:r w:rsidRPr="00EE0EEB">
              <w:t>124 (12.4)</w:t>
            </w:r>
          </w:p>
        </w:tc>
      </w:tr>
      <w:tr w:rsidR="0008002E" w:rsidRPr="00EE0EEB" w14:paraId="62C17ACE" w14:textId="77777777" w:rsidTr="00E81465">
        <w:trPr>
          <w:cantSplit/>
          <w:trHeight w:val="283"/>
        </w:trPr>
        <w:tc>
          <w:tcPr>
            <w:tcW w:w="2689" w:type="dxa"/>
          </w:tcPr>
          <w:p w14:paraId="78D63BEE" w14:textId="77777777" w:rsidR="0008002E" w:rsidRPr="00EE0EEB" w:rsidRDefault="0008002E" w:rsidP="00E81465">
            <w:pPr>
              <w:pStyle w:val="TableText"/>
              <w:keepNext/>
              <w:ind w:left="720" w:hanging="578"/>
              <w:rPr>
                <w:vertAlign w:val="superscript"/>
              </w:rPr>
            </w:pPr>
            <w:r w:rsidRPr="00EE0EEB">
              <w:t>Deaths</w:t>
            </w:r>
            <w:r w:rsidRPr="00EE0EEB">
              <w:rPr>
                <w:vertAlign w:val="superscript"/>
              </w:rPr>
              <w:t>b</w:t>
            </w:r>
          </w:p>
        </w:tc>
        <w:tc>
          <w:tcPr>
            <w:tcW w:w="1445" w:type="dxa"/>
          </w:tcPr>
          <w:p w14:paraId="4DC61B50" w14:textId="77777777" w:rsidR="0008002E" w:rsidRPr="00EE0EEB" w:rsidRDefault="0008002E" w:rsidP="00E81465">
            <w:pPr>
              <w:pStyle w:val="TableText"/>
              <w:keepNext/>
            </w:pPr>
            <w:r w:rsidRPr="00EE0EEB">
              <w:t>1 (0.1)</w:t>
            </w:r>
          </w:p>
        </w:tc>
        <w:tc>
          <w:tcPr>
            <w:tcW w:w="1542" w:type="dxa"/>
          </w:tcPr>
          <w:p w14:paraId="44129DA9" w14:textId="77777777" w:rsidR="0008002E" w:rsidRPr="00EE0EEB" w:rsidRDefault="0008002E" w:rsidP="00E81465">
            <w:pPr>
              <w:pStyle w:val="TableText"/>
              <w:keepNext/>
            </w:pPr>
            <w:r w:rsidRPr="00EE0EEB">
              <w:t>0 (0.0)</w:t>
            </w:r>
          </w:p>
        </w:tc>
        <w:tc>
          <w:tcPr>
            <w:tcW w:w="1776" w:type="dxa"/>
          </w:tcPr>
          <w:p w14:paraId="19372ED1" w14:textId="77777777" w:rsidR="0008002E" w:rsidRPr="00EE0EEB" w:rsidRDefault="0008002E" w:rsidP="00E81465">
            <w:pPr>
              <w:pStyle w:val="TableText"/>
              <w:keepNext/>
            </w:pPr>
            <w:r w:rsidRPr="00EE0EEB">
              <w:t>1 (0.1)</w:t>
            </w:r>
          </w:p>
        </w:tc>
        <w:tc>
          <w:tcPr>
            <w:tcW w:w="1564" w:type="dxa"/>
          </w:tcPr>
          <w:p w14:paraId="750BDA45" w14:textId="77777777" w:rsidR="0008002E" w:rsidRPr="00EE0EEB" w:rsidRDefault="0008002E" w:rsidP="00E81465">
            <w:pPr>
              <w:pStyle w:val="TableText"/>
              <w:keepNext/>
            </w:pPr>
            <w:r w:rsidRPr="00EE0EEB">
              <w:t>0 (0.0)</w:t>
            </w:r>
          </w:p>
        </w:tc>
      </w:tr>
      <w:tr w:rsidR="0008002E" w:rsidRPr="00EE0EEB" w14:paraId="234227FD" w14:textId="77777777" w:rsidTr="00E81465">
        <w:trPr>
          <w:cantSplit/>
          <w:trHeight w:val="283"/>
        </w:trPr>
        <w:tc>
          <w:tcPr>
            <w:tcW w:w="2689" w:type="dxa"/>
          </w:tcPr>
          <w:p w14:paraId="339126D9" w14:textId="77777777" w:rsidR="0008002E" w:rsidRPr="00EE0EEB" w:rsidRDefault="0008002E" w:rsidP="00E81465">
            <w:pPr>
              <w:pStyle w:val="TableText"/>
              <w:keepNext/>
              <w:ind w:left="720" w:hanging="578"/>
            </w:pPr>
            <w:r w:rsidRPr="00EE0EEB">
              <w:t>Serious ARIA-H</w:t>
            </w:r>
          </w:p>
        </w:tc>
        <w:tc>
          <w:tcPr>
            <w:tcW w:w="1445" w:type="dxa"/>
          </w:tcPr>
          <w:p w14:paraId="628C2FE4" w14:textId="77777777" w:rsidR="0008002E" w:rsidRPr="00EE0EEB" w:rsidRDefault="0008002E" w:rsidP="00E81465">
            <w:pPr>
              <w:pStyle w:val="TableText"/>
              <w:keepNext/>
            </w:pPr>
            <w:r w:rsidRPr="00EE0EEB">
              <w:t>4 (0.5)</w:t>
            </w:r>
          </w:p>
        </w:tc>
        <w:tc>
          <w:tcPr>
            <w:tcW w:w="1542" w:type="dxa"/>
          </w:tcPr>
          <w:p w14:paraId="37162E99" w14:textId="77777777" w:rsidR="0008002E" w:rsidRPr="00EE0EEB" w:rsidRDefault="0008002E" w:rsidP="00E81465">
            <w:pPr>
              <w:pStyle w:val="TableText"/>
              <w:keepNext/>
            </w:pPr>
            <w:r w:rsidRPr="00EE0EEB">
              <w:t>0 (0.0)</w:t>
            </w:r>
          </w:p>
        </w:tc>
        <w:tc>
          <w:tcPr>
            <w:tcW w:w="1776" w:type="dxa"/>
          </w:tcPr>
          <w:p w14:paraId="69066538" w14:textId="77777777" w:rsidR="0008002E" w:rsidRPr="00EE0EEB" w:rsidRDefault="0008002E" w:rsidP="00E81465">
            <w:pPr>
              <w:pStyle w:val="TableText"/>
              <w:keepNext/>
            </w:pPr>
            <w:r w:rsidRPr="00EE0EEB">
              <w:t>4 (0.4)</w:t>
            </w:r>
          </w:p>
        </w:tc>
        <w:tc>
          <w:tcPr>
            <w:tcW w:w="1564" w:type="dxa"/>
          </w:tcPr>
          <w:p w14:paraId="3565F3AE" w14:textId="77777777" w:rsidR="0008002E" w:rsidRPr="00EE0EEB" w:rsidRDefault="0008002E" w:rsidP="00E81465">
            <w:pPr>
              <w:pStyle w:val="TableText"/>
              <w:keepNext/>
            </w:pPr>
            <w:r w:rsidRPr="00EE0EEB">
              <w:t>0 (0.0)</w:t>
            </w:r>
          </w:p>
        </w:tc>
      </w:tr>
      <w:tr w:rsidR="0008002E" w:rsidRPr="00EE0EEB" w14:paraId="6648D4A5" w14:textId="77777777" w:rsidTr="00E81465">
        <w:trPr>
          <w:cantSplit/>
          <w:trHeight w:val="283"/>
        </w:trPr>
        <w:tc>
          <w:tcPr>
            <w:tcW w:w="2689" w:type="dxa"/>
          </w:tcPr>
          <w:p w14:paraId="3C04DD37" w14:textId="77777777" w:rsidR="0008002E" w:rsidRPr="00EE0EEB" w:rsidRDefault="0008002E" w:rsidP="00E81465">
            <w:pPr>
              <w:pStyle w:val="TableText"/>
              <w:keepNext/>
              <w:ind w:left="720" w:hanging="578"/>
            </w:pPr>
            <w:r w:rsidRPr="00EE0EEB">
              <w:t>Treatment discontinuations</w:t>
            </w:r>
          </w:p>
        </w:tc>
        <w:tc>
          <w:tcPr>
            <w:tcW w:w="1445" w:type="dxa"/>
          </w:tcPr>
          <w:p w14:paraId="21A76BB0" w14:textId="77777777" w:rsidR="0008002E" w:rsidRPr="00EE0EEB" w:rsidRDefault="0008002E" w:rsidP="00E81465">
            <w:pPr>
              <w:pStyle w:val="TableText"/>
              <w:keepNext/>
            </w:pPr>
            <w:r w:rsidRPr="00EE0EEB">
              <w:t>20 (2.3)</w:t>
            </w:r>
          </w:p>
        </w:tc>
        <w:tc>
          <w:tcPr>
            <w:tcW w:w="1542" w:type="dxa"/>
          </w:tcPr>
          <w:p w14:paraId="2EDAF736" w14:textId="77777777" w:rsidR="0008002E" w:rsidRPr="00EE0EEB" w:rsidRDefault="0008002E" w:rsidP="00E81465">
            <w:pPr>
              <w:pStyle w:val="TableText"/>
              <w:keepNext/>
            </w:pPr>
            <w:r w:rsidRPr="00EE0EEB">
              <w:t>6 (0.7)</w:t>
            </w:r>
          </w:p>
        </w:tc>
        <w:tc>
          <w:tcPr>
            <w:tcW w:w="1776" w:type="dxa"/>
          </w:tcPr>
          <w:p w14:paraId="214A95E8" w14:textId="77777777" w:rsidR="0008002E" w:rsidRPr="00EE0EEB" w:rsidRDefault="0008002E" w:rsidP="00E81465">
            <w:pPr>
              <w:pStyle w:val="TableText"/>
              <w:keepNext/>
            </w:pPr>
            <w:r w:rsidRPr="00EE0EEB">
              <w:t>22 (2.2)</w:t>
            </w:r>
          </w:p>
        </w:tc>
        <w:tc>
          <w:tcPr>
            <w:tcW w:w="1564" w:type="dxa"/>
          </w:tcPr>
          <w:p w14:paraId="45659D1A" w14:textId="77777777" w:rsidR="0008002E" w:rsidRPr="00EE0EEB" w:rsidRDefault="0008002E" w:rsidP="00E81465">
            <w:pPr>
              <w:pStyle w:val="TableText"/>
              <w:keepNext/>
            </w:pPr>
            <w:r w:rsidRPr="00EE0EEB">
              <w:t>4 (0.4)</w:t>
            </w:r>
          </w:p>
        </w:tc>
      </w:tr>
      <w:tr w:rsidR="0008002E" w:rsidRPr="00EE0EEB" w14:paraId="59F6C0DC" w14:textId="77777777" w:rsidTr="00E81465">
        <w:trPr>
          <w:cantSplit/>
          <w:trHeight w:val="283"/>
        </w:trPr>
        <w:tc>
          <w:tcPr>
            <w:tcW w:w="2689" w:type="dxa"/>
          </w:tcPr>
          <w:p w14:paraId="1312B4DB" w14:textId="77777777" w:rsidR="0008002E" w:rsidRPr="00EE0EEB" w:rsidRDefault="0008002E" w:rsidP="00E81465">
            <w:pPr>
              <w:pStyle w:val="TableText"/>
              <w:keepNext/>
            </w:pPr>
            <w:r w:rsidRPr="00EE0EEB">
              <w:t>Concurrent ARIA-E and ARIA-H</w:t>
            </w:r>
            <w:r w:rsidRPr="00EE0EEB">
              <w:rPr>
                <w:vertAlign w:val="superscript"/>
              </w:rPr>
              <w:t>d</w:t>
            </w:r>
          </w:p>
        </w:tc>
        <w:tc>
          <w:tcPr>
            <w:tcW w:w="1445" w:type="dxa"/>
          </w:tcPr>
          <w:p w14:paraId="4FB0F326" w14:textId="77777777" w:rsidR="0008002E" w:rsidRPr="00EE0EEB" w:rsidRDefault="0008002E" w:rsidP="00E81465">
            <w:pPr>
              <w:pStyle w:val="TableText"/>
              <w:keepNext/>
            </w:pPr>
            <w:r w:rsidRPr="00EE0EEB">
              <w:t>47 (17.5)</w:t>
            </w:r>
          </w:p>
        </w:tc>
        <w:tc>
          <w:tcPr>
            <w:tcW w:w="1542" w:type="dxa"/>
          </w:tcPr>
          <w:p w14:paraId="526CDE7B" w14:textId="77777777" w:rsidR="0008002E" w:rsidRPr="00EE0EEB" w:rsidRDefault="0008002E" w:rsidP="00E81465">
            <w:pPr>
              <w:pStyle w:val="TableText"/>
              <w:keepNext/>
            </w:pPr>
            <w:r w:rsidRPr="00EE0EEB">
              <w:t>2 (0.7)</w:t>
            </w:r>
          </w:p>
        </w:tc>
        <w:tc>
          <w:tcPr>
            <w:tcW w:w="1776" w:type="dxa"/>
          </w:tcPr>
          <w:p w14:paraId="35A0012E" w14:textId="77777777" w:rsidR="0008002E" w:rsidRPr="00EE0EEB" w:rsidRDefault="0008002E" w:rsidP="00E81465">
            <w:pPr>
              <w:pStyle w:val="TableText"/>
              <w:keepNext/>
            </w:pPr>
            <w:r w:rsidRPr="00EE0EEB">
              <w:t>161 (16.4)</w:t>
            </w:r>
          </w:p>
        </w:tc>
        <w:tc>
          <w:tcPr>
            <w:tcW w:w="1564" w:type="dxa"/>
          </w:tcPr>
          <w:p w14:paraId="565A1C26" w14:textId="77777777" w:rsidR="0008002E" w:rsidRPr="00EE0EEB" w:rsidRDefault="0008002E" w:rsidP="00E81465">
            <w:pPr>
              <w:pStyle w:val="TableText"/>
              <w:keepNext/>
            </w:pPr>
            <w:r w:rsidRPr="00EE0EEB">
              <w:t>6 (0.6)</w:t>
            </w:r>
          </w:p>
        </w:tc>
      </w:tr>
      <w:tr w:rsidR="0008002E" w:rsidRPr="00EE0EEB" w14:paraId="71D25A5B" w14:textId="77777777" w:rsidTr="00E81465">
        <w:trPr>
          <w:cantSplit/>
          <w:trHeight w:val="283"/>
        </w:trPr>
        <w:tc>
          <w:tcPr>
            <w:tcW w:w="2689" w:type="dxa"/>
          </w:tcPr>
          <w:p w14:paraId="6A5196B4" w14:textId="77777777" w:rsidR="0008002E" w:rsidRPr="00EE0EEB" w:rsidRDefault="0008002E" w:rsidP="00E81465">
            <w:pPr>
              <w:pStyle w:val="TableText"/>
              <w:keepNext/>
            </w:pPr>
            <w:r w:rsidRPr="00EE0EEB">
              <w:t>Macrohaemorrhage</w:t>
            </w:r>
            <w:r w:rsidRPr="00EE0EEB">
              <w:rPr>
                <w:vertAlign w:val="superscript"/>
              </w:rPr>
              <w:t>e</w:t>
            </w:r>
            <w:r w:rsidRPr="00EE0EEB">
              <w:t xml:space="preserve"> </w:t>
            </w:r>
          </w:p>
        </w:tc>
        <w:tc>
          <w:tcPr>
            <w:tcW w:w="1445" w:type="dxa"/>
          </w:tcPr>
          <w:p w14:paraId="570F6EFA" w14:textId="77777777" w:rsidR="0008002E" w:rsidRPr="00EE0EEB" w:rsidRDefault="0008002E" w:rsidP="00E81465">
            <w:pPr>
              <w:pStyle w:val="TableText"/>
              <w:keepNext/>
            </w:pPr>
            <w:r w:rsidRPr="00EE0EEB">
              <w:t>3 (0.4)</w:t>
            </w:r>
          </w:p>
        </w:tc>
        <w:tc>
          <w:tcPr>
            <w:tcW w:w="1542" w:type="dxa"/>
          </w:tcPr>
          <w:p w14:paraId="062142C4" w14:textId="77777777" w:rsidR="0008002E" w:rsidRPr="00EE0EEB" w:rsidRDefault="0008002E" w:rsidP="00E81465">
            <w:pPr>
              <w:pStyle w:val="TableText"/>
              <w:keepNext/>
            </w:pPr>
            <w:r w:rsidRPr="00EE0EEB">
              <w:t>2 (0.2)</w:t>
            </w:r>
          </w:p>
        </w:tc>
        <w:tc>
          <w:tcPr>
            <w:tcW w:w="1776" w:type="dxa"/>
          </w:tcPr>
          <w:p w14:paraId="450B19CB" w14:textId="77777777" w:rsidR="0008002E" w:rsidRPr="00EE0EEB" w:rsidRDefault="0008002E" w:rsidP="00E81465">
            <w:pPr>
              <w:pStyle w:val="TableText"/>
              <w:keepNext/>
            </w:pPr>
            <w:r w:rsidRPr="00EE0EEB">
              <w:t>3 (0.3)</w:t>
            </w:r>
          </w:p>
        </w:tc>
        <w:tc>
          <w:tcPr>
            <w:tcW w:w="1564" w:type="dxa"/>
          </w:tcPr>
          <w:p w14:paraId="55E94A40" w14:textId="77777777" w:rsidR="0008002E" w:rsidRPr="00EE0EEB" w:rsidRDefault="0008002E" w:rsidP="00E81465">
            <w:pPr>
              <w:pStyle w:val="TableText"/>
              <w:keepNext/>
            </w:pPr>
            <w:r w:rsidRPr="00EE0EEB">
              <w:t>2 (0.2)</w:t>
            </w:r>
          </w:p>
        </w:tc>
      </w:tr>
    </w:tbl>
    <w:p w14:paraId="2DE13E7C" w14:textId="77777777" w:rsidR="0008002E" w:rsidRPr="00EE0EEB" w:rsidRDefault="0008002E" w:rsidP="0008002E">
      <w:pPr>
        <w:pStyle w:val="TableFooter"/>
      </w:pPr>
      <w:r w:rsidRPr="00EE0EEB">
        <w:t>Source: Table 2-65, p211 of the submission.</w:t>
      </w:r>
    </w:p>
    <w:p w14:paraId="3526E467" w14:textId="77777777" w:rsidR="0008002E" w:rsidRPr="00EE0EEB" w:rsidRDefault="0008002E" w:rsidP="0008002E">
      <w:pPr>
        <w:pStyle w:val="TableFooter"/>
      </w:pPr>
      <w:r w:rsidRPr="00EE0EEB">
        <w:t xml:space="preserve">ARIA (-E or -H)=amyloid-related imaging abnormalities (oedema or haemorrhage);MRI=magnetic resonance imaging; SAS=safety analysis set </w:t>
      </w:r>
    </w:p>
    <w:p w14:paraId="30151697" w14:textId="77777777" w:rsidR="0008002E" w:rsidRPr="00EE0EEB" w:rsidRDefault="0008002E" w:rsidP="0008002E">
      <w:pPr>
        <w:pStyle w:val="TableFooter"/>
      </w:pPr>
      <w:r w:rsidRPr="00EE0EEB">
        <w:t>Notes</w:t>
      </w:r>
    </w:p>
    <w:p w14:paraId="34106A29" w14:textId="77777777" w:rsidR="0008002E" w:rsidRPr="00EE0EEB" w:rsidRDefault="0008002E" w:rsidP="0008002E">
      <w:pPr>
        <w:pStyle w:val="TableFooter"/>
      </w:pPr>
      <w:r w:rsidRPr="00EE0EEB">
        <w:t>ARIA was based on MRI and TEAE clusters.</w:t>
      </w:r>
    </w:p>
    <w:p w14:paraId="74C56F6C" w14:textId="77777777" w:rsidR="0008002E" w:rsidRPr="00EE0EEB" w:rsidRDefault="0008002E" w:rsidP="0008002E">
      <w:pPr>
        <w:pStyle w:val="TableFooter"/>
      </w:pPr>
      <w:r w:rsidRPr="00EE0EEB">
        <w:rPr>
          <w:vertAlign w:val="superscript"/>
        </w:rPr>
        <w:t>a</w:t>
      </w:r>
      <w:r>
        <w:rPr>
          <w:vertAlign w:val="superscript"/>
        </w:rPr>
        <w:t xml:space="preserve"> </w:t>
      </w:r>
      <w:r w:rsidRPr="00EE0EEB">
        <w:t xml:space="preserve">ARIA-H includes brain microhemorrhage and superficial siderosis (ARIA-H SS). ARIA-H SS occurred more frequently in donanemab-treated patients (16.0%) compared with placebo-treated patients (3%) across both datasets. ARIA-H microhaemorrhage also occurred more frequently in donanemab-treated patients (28%) compared with placebo-treated patients (13%). </w:t>
      </w:r>
    </w:p>
    <w:p w14:paraId="55507BD8" w14:textId="77777777" w:rsidR="0008002E" w:rsidRPr="00EE0EEB" w:rsidRDefault="0008002E" w:rsidP="0008002E">
      <w:pPr>
        <w:pStyle w:val="TableFooter"/>
      </w:pPr>
      <w:r w:rsidRPr="00EE0EEB">
        <w:rPr>
          <w:vertAlign w:val="superscript"/>
        </w:rPr>
        <w:t>b</w:t>
      </w:r>
      <w:r>
        <w:rPr>
          <w:vertAlign w:val="superscript"/>
        </w:rPr>
        <w:t xml:space="preserve"> </w:t>
      </w:r>
      <w:r w:rsidRPr="00EE0EEB">
        <w:t>Deaths are also included in serious ARIA and discontinuations due to an AE.</w:t>
      </w:r>
    </w:p>
    <w:p w14:paraId="0BABDFD2" w14:textId="77777777" w:rsidR="0008002E" w:rsidRPr="00EE0EEB" w:rsidRDefault="0008002E" w:rsidP="0008002E">
      <w:pPr>
        <w:pStyle w:val="TableFooter"/>
      </w:pPr>
      <w:r w:rsidRPr="00EE0EEB">
        <w:rPr>
          <w:vertAlign w:val="superscript"/>
        </w:rPr>
        <w:t>c</w:t>
      </w:r>
      <w:r>
        <w:rPr>
          <w:vertAlign w:val="superscript"/>
        </w:rPr>
        <w:t xml:space="preserve"> </w:t>
      </w:r>
      <w:r w:rsidRPr="00EE0EEB">
        <w:t>One placebo-treated patient had ARIA-E during the placebo-controlled period; however, the participant developed symptoms during the long-term extension (LTE) period.</w:t>
      </w:r>
    </w:p>
    <w:p w14:paraId="5BB6204D" w14:textId="77777777" w:rsidR="0008002E" w:rsidRPr="00EE0EEB" w:rsidRDefault="0008002E" w:rsidP="0008002E">
      <w:pPr>
        <w:pStyle w:val="TableFooter"/>
      </w:pPr>
      <w:r>
        <w:rPr>
          <w:vertAlign w:val="superscript"/>
        </w:rPr>
        <w:t xml:space="preserve"> </w:t>
      </w:r>
      <w:r w:rsidRPr="00EE0EEB">
        <w:rPr>
          <w:vertAlign w:val="superscript"/>
        </w:rPr>
        <w:t>d</w:t>
      </w:r>
      <w:r w:rsidRPr="00EE0EEB">
        <w:t>Concurrent ARIA-E and ARIA-H were observed on the same MRI</w:t>
      </w:r>
    </w:p>
    <w:p w14:paraId="75021FD5" w14:textId="77777777" w:rsidR="0008002E" w:rsidRPr="00EE0EEB" w:rsidRDefault="0008002E" w:rsidP="0008002E">
      <w:pPr>
        <w:pStyle w:val="TableFooter"/>
      </w:pPr>
      <w:r w:rsidRPr="00EE0EEB">
        <w:rPr>
          <w:vertAlign w:val="superscript"/>
        </w:rPr>
        <w:t>e</w:t>
      </w:r>
      <w:r>
        <w:rPr>
          <w:vertAlign w:val="superscript"/>
        </w:rPr>
        <w:t xml:space="preserve"> </w:t>
      </w:r>
      <w:r w:rsidRPr="00EE0EEB">
        <w:t>Intracerebral haemorrhage greater than 1 cm</w:t>
      </w:r>
    </w:p>
    <w:p w14:paraId="6D8C23DD" w14:textId="77777777" w:rsidR="0008002E" w:rsidRPr="00FA2A19" w:rsidRDefault="0008002E" w:rsidP="00DD02B1">
      <w:pPr>
        <w:pStyle w:val="3-BodyText"/>
        <w:numPr>
          <w:ilvl w:val="1"/>
          <w:numId w:val="23"/>
        </w:numPr>
        <w:spacing w:before="60" w:after="60"/>
        <w:ind w:left="709" w:hanging="709"/>
      </w:pPr>
      <w:r w:rsidRPr="00FA2A19">
        <w:t>ARIA is an important marker of blood–brain barrier alteration and reflects adverse drug reaction to anti-amyloid therapies. When left undetected or unmanaged, ARIA may result in serious clinical consequences. Rare serious or severe neurological symptoms may require hospitalisation and specific monitoring and management</w:t>
      </w:r>
      <w:r w:rsidRPr="00314EED">
        <w:rPr>
          <w:vertAlign w:val="superscript"/>
        </w:rPr>
        <w:footnoteReference w:id="44"/>
      </w:r>
      <w:r w:rsidRPr="00FA2A19">
        <w:rPr>
          <w:vertAlign w:val="superscript"/>
        </w:rPr>
        <w:t>,</w:t>
      </w:r>
      <w:r w:rsidRPr="00FA2A19">
        <w:t xml:space="preserve"> </w:t>
      </w:r>
      <w:r w:rsidRPr="00314EED">
        <w:rPr>
          <w:vertAlign w:val="superscript"/>
        </w:rPr>
        <w:footnoteReference w:id="45"/>
      </w:r>
      <w:r w:rsidRPr="00FA2A19">
        <w:t xml:space="preserve">. </w:t>
      </w:r>
    </w:p>
    <w:p w14:paraId="3448CE4C" w14:textId="77777777" w:rsidR="0008002E" w:rsidRPr="00FA2A19" w:rsidRDefault="0008002E" w:rsidP="00DD02B1">
      <w:pPr>
        <w:pStyle w:val="3-BodyText"/>
        <w:numPr>
          <w:ilvl w:val="1"/>
          <w:numId w:val="23"/>
        </w:numPr>
        <w:spacing w:before="60" w:after="60"/>
        <w:ind w:left="709" w:hanging="709"/>
      </w:pPr>
      <w:r w:rsidRPr="00FA2A19">
        <w:t>The frequency of ARIA events was similar across the TB-2 and DONA-PC datasets. Most ARIA events were asymptomatic and therefore only detected on scheduled MRI.</w:t>
      </w:r>
    </w:p>
    <w:p w14:paraId="681EFA92" w14:textId="77777777" w:rsidR="0008002E" w:rsidRPr="00FA2A19" w:rsidRDefault="0008002E" w:rsidP="00DD02B1">
      <w:pPr>
        <w:pStyle w:val="3-BodyText"/>
        <w:numPr>
          <w:ilvl w:val="1"/>
          <w:numId w:val="23"/>
        </w:numPr>
        <w:spacing w:before="60" w:after="60"/>
        <w:ind w:left="709" w:hanging="709"/>
      </w:pPr>
      <w:r w:rsidRPr="00FA2A19">
        <w:t>In the TB-2 trial, 36.8% of patients receiving donanemab and 14.9% of patients receiving placebo experienced one or more ARIA events, as assessed by MRI and/or AE reports/ARIA case report forms.</w:t>
      </w:r>
    </w:p>
    <w:p w14:paraId="077F9F64" w14:textId="77777777" w:rsidR="0008002E" w:rsidRPr="00FA2A19" w:rsidRDefault="0008002E" w:rsidP="00DD02B1">
      <w:pPr>
        <w:pStyle w:val="3-BodyText"/>
        <w:numPr>
          <w:ilvl w:val="1"/>
          <w:numId w:val="23"/>
        </w:numPr>
        <w:spacing w:before="60" w:after="60"/>
        <w:ind w:left="709" w:hanging="709"/>
      </w:pPr>
      <w:r w:rsidRPr="00FA2A19">
        <w:t xml:space="preserve">ARIA-E events occurred more often in the donanemab arm compared with the placebo arm (24.0% vs 2.1%), and 6.1% of patients in the donanemab arm versus 0.1% in the </w:t>
      </w:r>
      <w:r w:rsidRPr="00FA2A19">
        <w:lastRenderedPageBreak/>
        <w:t>placebo arm experienced symptomatic ARIA-E (e.g., headache, confusional state, dizziness, nausea, and seizure). Of the 52 donanemab-treated patients who experienced symptomatic ARIA-E, approximately 85% had resolution of symptoms associated with ARIA-E. Serious ARIA-E occurred in 13 patients (1.5%) in the donanemab arm and none occurred in the placebo arm. One death in the donanemab arm and none in the placebo arm was due to ARIA-E.</w:t>
      </w:r>
    </w:p>
    <w:p w14:paraId="46126577" w14:textId="77777777" w:rsidR="0008002E" w:rsidRPr="00FA2A19" w:rsidRDefault="0008002E" w:rsidP="00DD02B1">
      <w:pPr>
        <w:pStyle w:val="3-BodyText"/>
        <w:numPr>
          <w:ilvl w:val="1"/>
          <w:numId w:val="23"/>
        </w:numPr>
        <w:spacing w:before="60" w:after="60"/>
        <w:ind w:left="709" w:hanging="709"/>
      </w:pPr>
      <w:r w:rsidRPr="00A51AAE">
        <w:t>Study</w:t>
      </w:r>
      <w:r w:rsidRPr="00FA2A19">
        <w:t xml:space="preserve"> drug infusion was temporarily withheld in 62.9% and permanently discontinued in 8.0% of donanemab-treated participants experiencing a first ARIA-E episode. Based on MRI, a total of 198 of 202 (98.0%) first ARIA-E episodes had complete resolution, with a mean time to resolution of 72.4 days.</w:t>
      </w:r>
    </w:p>
    <w:p w14:paraId="4ACB7187" w14:textId="77777777" w:rsidR="0008002E" w:rsidRPr="00314EED" w:rsidRDefault="0008002E" w:rsidP="00DD02B1">
      <w:pPr>
        <w:pStyle w:val="3-BodyText"/>
        <w:numPr>
          <w:ilvl w:val="1"/>
          <w:numId w:val="23"/>
        </w:numPr>
        <w:spacing w:before="60" w:after="60"/>
        <w:ind w:left="709" w:hanging="709"/>
      </w:pPr>
      <w:r w:rsidRPr="00314EED">
        <w:t>ARIA-H events occurred more often in the donanemab arm compared with the placebo arm (31.4% vs 13.6%). Four patients (0.5%) in the donanemab arm and none in the placebo arm experienced a serious ARIA-H event. The TB-2 CSR (p214) noted that two patients with a serious ARIA-H event subsequently died. The frequency of ARIA-H was higher in the donanemab arm versus the placebo arm for superficial siderosis (16.0% vs. 2.8%) and for microhaemorrhage (25.0% vs. 10.9%). S</w:t>
      </w:r>
      <w:r w:rsidRPr="00314EED">
        <w:rPr>
          <w:bCs/>
        </w:rPr>
        <w:t>tudy drug was temporarily withheld in 33.6% of patients and permanently discontinued in 6.5% of donanemab-treated patients.</w:t>
      </w:r>
    </w:p>
    <w:p w14:paraId="79CF2613" w14:textId="21416050" w:rsidR="0008002E" w:rsidRPr="00FA2A19" w:rsidRDefault="0008002E" w:rsidP="00DD02B1">
      <w:pPr>
        <w:pStyle w:val="3-BodyText"/>
        <w:numPr>
          <w:ilvl w:val="1"/>
          <w:numId w:val="23"/>
        </w:numPr>
        <w:spacing w:before="60" w:after="60"/>
        <w:ind w:left="709" w:hanging="709"/>
      </w:pPr>
      <w:r w:rsidRPr="00FA2A19">
        <w:t xml:space="preserve">The proposed TGA and PBS target population excludes patients who are </w:t>
      </w:r>
      <w:r w:rsidRPr="00FA2A19">
        <w:rPr>
          <w:i/>
        </w:rPr>
        <w:t xml:space="preserve">APOE4 </w:t>
      </w:r>
      <w:r w:rsidRPr="00FA2A19">
        <w:t xml:space="preserve">homozygotes. ARIA safety data by </w:t>
      </w:r>
      <w:r w:rsidRPr="00FA2A19">
        <w:rPr>
          <w:i/>
        </w:rPr>
        <w:t xml:space="preserve">APOE4 </w:t>
      </w:r>
      <w:r w:rsidRPr="00FA2A19">
        <w:t xml:space="preserve">carrier status was therefore considered informative in assessing the impact of excluding these patients who are at a higher risk of ARIA. The safety data have been sourced from the TB-2 CSR and are summarised in </w:t>
      </w:r>
      <w:r w:rsidR="00042B9E">
        <w:fldChar w:fldCharType="begin"/>
      </w:r>
      <w:r w:rsidR="00042B9E">
        <w:instrText xml:space="preserve"> REF _Ref204780083 \h </w:instrText>
      </w:r>
      <w:r w:rsidR="00042B9E">
        <w:fldChar w:fldCharType="separate"/>
      </w:r>
      <w:r w:rsidR="00392423">
        <w:t xml:space="preserve">Table </w:t>
      </w:r>
      <w:r w:rsidR="00392423">
        <w:rPr>
          <w:noProof/>
        </w:rPr>
        <w:t>16</w:t>
      </w:r>
      <w:r w:rsidR="00042B9E">
        <w:fldChar w:fldCharType="end"/>
      </w:r>
      <w:r w:rsidRPr="00FA2A19">
        <w:t>.</w:t>
      </w:r>
    </w:p>
    <w:p w14:paraId="1AF4A589" w14:textId="75141DDF" w:rsidR="0008002E" w:rsidRPr="00EE0EEB" w:rsidRDefault="00042B9E" w:rsidP="006C66C7">
      <w:pPr>
        <w:pStyle w:val="Caption"/>
        <w:keepLines/>
        <w:rPr>
          <w:bCs/>
        </w:rPr>
      </w:pPr>
      <w:bookmarkStart w:id="41" w:name="_Ref204780083"/>
      <w:r>
        <w:lastRenderedPageBreak/>
        <w:t xml:space="preserve">Table </w:t>
      </w:r>
      <w:r>
        <w:fldChar w:fldCharType="begin"/>
      </w:r>
      <w:r>
        <w:instrText xml:space="preserve"> SEQ Table \* ARABIC </w:instrText>
      </w:r>
      <w:r>
        <w:fldChar w:fldCharType="separate"/>
      </w:r>
      <w:r w:rsidR="00392423">
        <w:rPr>
          <w:noProof/>
        </w:rPr>
        <w:t>16</w:t>
      </w:r>
      <w:r>
        <w:fldChar w:fldCharType="end"/>
      </w:r>
      <w:bookmarkEnd w:id="41"/>
      <w:r w:rsidR="00CC40F2">
        <w:t xml:space="preserve">: </w:t>
      </w:r>
      <w:r w:rsidR="0008002E" w:rsidRPr="00EE0EEB">
        <w:t>TB-2: Frequency of ARIA by APOE4 carrier status (based on MRI) – placebo-controlled period</w:t>
      </w:r>
    </w:p>
    <w:tbl>
      <w:tblPr>
        <w:tblStyle w:val="HTATableshaded"/>
        <w:tblW w:w="5000" w:type="pct"/>
        <w:tblLook w:val="04A0" w:firstRow="1" w:lastRow="0" w:firstColumn="1" w:lastColumn="0" w:noHBand="0" w:noVBand="1"/>
        <w:tblCaption w:val="Table 16: TB-2: Frequency of ARIA by APOE4 carrier status (based on MRI) – placebo-controlled period"/>
      </w:tblPr>
      <w:tblGrid>
        <w:gridCol w:w="1555"/>
        <w:gridCol w:w="1372"/>
        <w:gridCol w:w="1242"/>
        <w:gridCol w:w="1154"/>
        <w:gridCol w:w="1297"/>
        <w:gridCol w:w="1242"/>
        <w:gridCol w:w="1154"/>
      </w:tblGrid>
      <w:tr w:rsidR="0008002E" w:rsidRPr="00314EED" w14:paraId="3DF3888B" w14:textId="77777777" w:rsidTr="00E81465">
        <w:trPr>
          <w:cnfStyle w:val="100000000000" w:firstRow="1" w:lastRow="0" w:firstColumn="0" w:lastColumn="0" w:oddVBand="0" w:evenVBand="0" w:oddHBand="0" w:evenHBand="0" w:firstRowFirstColumn="0" w:firstRowLastColumn="0" w:lastRowFirstColumn="0" w:lastRowLastColumn="0"/>
          <w:cantSplit/>
        </w:trPr>
        <w:tc>
          <w:tcPr>
            <w:tcW w:w="862" w:type="pct"/>
            <w:vMerge w:val="restart"/>
            <w:tcMar>
              <w:left w:w="20" w:type="dxa"/>
              <w:right w:w="20" w:type="dxa"/>
            </w:tcMar>
          </w:tcPr>
          <w:p w14:paraId="367F2B59" w14:textId="77777777" w:rsidR="0008002E" w:rsidRPr="00314EED" w:rsidRDefault="0008002E" w:rsidP="006C66C7">
            <w:pPr>
              <w:pStyle w:val="TableText"/>
              <w:keepNext/>
              <w:keepLines/>
              <w:rPr>
                <w:b/>
                <w:bCs/>
                <w:iCs/>
              </w:rPr>
            </w:pPr>
            <w:r w:rsidRPr="00314EED">
              <w:rPr>
                <w:b/>
                <w:iCs/>
              </w:rPr>
              <w:t>ARIA Category.</w:t>
            </w:r>
          </w:p>
          <w:p w14:paraId="47AEC01C" w14:textId="77777777" w:rsidR="0008002E" w:rsidRPr="00314EED" w:rsidRDefault="0008002E" w:rsidP="006C66C7">
            <w:pPr>
              <w:pStyle w:val="TableText"/>
              <w:keepNext/>
              <w:keepLines/>
              <w:rPr>
                <w:b/>
                <w:bCs/>
                <w:iCs/>
              </w:rPr>
            </w:pPr>
            <w:r w:rsidRPr="00314EED">
              <w:rPr>
                <w:b/>
                <w:iCs/>
              </w:rPr>
              <w:t>Patients having:</w:t>
            </w:r>
          </w:p>
        </w:tc>
        <w:tc>
          <w:tcPr>
            <w:tcW w:w="2090" w:type="pct"/>
            <w:gridSpan w:val="3"/>
            <w:tcMar>
              <w:left w:w="20" w:type="dxa"/>
              <w:right w:w="20" w:type="dxa"/>
            </w:tcMar>
          </w:tcPr>
          <w:p w14:paraId="160CD6A7" w14:textId="77777777" w:rsidR="0008002E" w:rsidRPr="00314EED" w:rsidRDefault="0008002E" w:rsidP="006C66C7">
            <w:pPr>
              <w:pStyle w:val="TableText"/>
              <w:keepNext/>
              <w:keepLines/>
              <w:rPr>
                <w:b/>
                <w:bCs/>
                <w:iCs/>
              </w:rPr>
            </w:pPr>
            <w:r w:rsidRPr="00314EED">
              <w:rPr>
                <w:b/>
                <w:iCs/>
              </w:rPr>
              <w:t>Donanemab</w:t>
            </w:r>
          </w:p>
          <w:p w14:paraId="05938E67" w14:textId="77777777" w:rsidR="0008002E" w:rsidRPr="00314EED" w:rsidRDefault="0008002E" w:rsidP="006C66C7">
            <w:pPr>
              <w:pStyle w:val="TableText"/>
              <w:keepNext/>
              <w:keepLines/>
              <w:rPr>
                <w:b/>
                <w:bCs/>
                <w:iCs/>
                <w:vertAlign w:val="superscript"/>
              </w:rPr>
            </w:pPr>
            <w:r w:rsidRPr="007E6B1D">
              <w:rPr>
                <w:b/>
                <w:i/>
              </w:rPr>
              <w:t xml:space="preserve">APOE4 </w:t>
            </w:r>
            <w:r w:rsidRPr="00314EED">
              <w:rPr>
                <w:b/>
                <w:iCs/>
              </w:rPr>
              <w:t>carrier status</w:t>
            </w:r>
            <w:r w:rsidRPr="00314EED">
              <w:rPr>
                <w:b/>
                <w:iCs/>
                <w:vertAlign w:val="superscript"/>
              </w:rPr>
              <w:t>a</w:t>
            </w:r>
          </w:p>
        </w:tc>
        <w:tc>
          <w:tcPr>
            <w:tcW w:w="2048" w:type="pct"/>
            <w:gridSpan w:val="3"/>
            <w:tcMar>
              <w:left w:w="20" w:type="dxa"/>
              <w:right w:w="20" w:type="dxa"/>
            </w:tcMar>
          </w:tcPr>
          <w:p w14:paraId="08CAAEB5" w14:textId="77777777" w:rsidR="0008002E" w:rsidRPr="00314EED" w:rsidRDefault="0008002E" w:rsidP="006C66C7">
            <w:pPr>
              <w:pStyle w:val="TableText"/>
              <w:keepNext/>
              <w:keepLines/>
              <w:rPr>
                <w:b/>
                <w:bCs/>
                <w:iCs/>
              </w:rPr>
            </w:pPr>
            <w:r w:rsidRPr="00314EED">
              <w:rPr>
                <w:b/>
                <w:iCs/>
              </w:rPr>
              <w:t>Placebo</w:t>
            </w:r>
          </w:p>
          <w:p w14:paraId="629D0C73" w14:textId="77777777" w:rsidR="0008002E" w:rsidRPr="00314EED" w:rsidRDefault="0008002E" w:rsidP="006C66C7">
            <w:pPr>
              <w:pStyle w:val="TableText"/>
              <w:keepNext/>
              <w:keepLines/>
              <w:rPr>
                <w:b/>
                <w:bCs/>
                <w:iCs/>
                <w:vertAlign w:val="superscript"/>
              </w:rPr>
            </w:pPr>
            <w:r w:rsidRPr="007E6B1D">
              <w:rPr>
                <w:b/>
                <w:i/>
              </w:rPr>
              <w:t xml:space="preserve">APOE4 </w:t>
            </w:r>
            <w:r w:rsidRPr="00314EED">
              <w:rPr>
                <w:b/>
                <w:iCs/>
              </w:rPr>
              <w:t>carrier status</w:t>
            </w:r>
            <w:r w:rsidRPr="00314EED">
              <w:rPr>
                <w:b/>
                <w:iCs/>
                <w:vertAlign w:val="superscript"/>
              </w:rPr>
              <w:t>a</w:t>
            </w:r>
          </w:p>
        </w:tc>
      </w:tr>
      <w:tr w:rsidR="0008002E" w:rsidRPr="00314EED" w14:paraId="6901B3F1" w14:textId="77777777" w:rsidTr="00E81465">
        <w:trPr>
          <w:cantSplit/>
        </w:trPr>
        <w:tc>
          <w:tcPr>
            <w:tcW w:w="862" w:type="pct"/>
            <w:vMerge/>
            <w:tcMar>
              <w:left w:w="20" w:type="dxa"/>
              <w:right w:w="20" w:type="dxa"/>
            </w:tcMar>
          </w:tcPr>
          <w:p w14:paraId="42CA247F" w14:textId="77777777" w:rsidR="0008002E" w:rsidRPr="00314EED" w:rsidRDefault="0008002E" w:rsidP="006C66C7">
            <w:pPr>
              <w:pStyle w:val="TableText"/>
              <w:keepNext/>
              <w:keepLines/>
              <w:rPr>
                <w:b/>
                <w:bCs/>
                <w:iCs/>
              </w:rPr>
            </w:pPr>
          </w:p>
        </w:tc>
        <w:tc>
          <w:tcPr>
            <w:tcW w:w="761" w:type="pct"/>
            <w:tcMar>
              <w:left w:w="20" w:type="dxa"/>
              <w:right w:w="20" w:type="dxa"/>
            </w:tcMar>
          </w:tcPr>
          <w:p w14:paraId="5FE6FA78" w14:textId="77777777" w:rsidR="0008002E" w:rsidRPr="00314EED" w:rsidRDefault="0008002E" w:rsidP="006C66C7">
            <w:pPr>
              <w:pStyle w:val="TableText"/>
              <w:keepNext/>
              <w:keepLines/>
              <w:rPr>
                <w:b/>
                <w:bCs/>
                <w:iCs/>
              </w:rPr>
            </w:pPr>
            <w:r w:rsidRPr="00314EED">
              <w:rPr>
                <w:b/>
                <w:iCs/>
              </w:rPr>
              <w:t>Hetero</w:t>
            </w:r>
          </w:p>
          <w:p w14:paraId="3B23C1BC" w14:textId="77777777" w:rsidR="0008002E" w:rsidRPr="00314EED" w:rsidRDefault="0008002E" w:rsidP="006C66C7">
            <w:pPr>
              <w:pStyle w:val="TableText"/>
              <w:keepNext/>
              <w:keepLines/>
              <w:rPr>
                <w:b/>
                <w:bCs/>
                <w:iCs/>
              </w:rPr>
            </w:pPr>
            <w:r w:rsidRPr="00314EED">
              <w:rPr>
                <w:b/>
                <w:iCs/>
              </w:rPr>
              <w:t>N=452</w:t>
            </w:r>
          </w:p>
          <w:p w14:paraId="65CC119A" w14:textId="77777777" w:rsidR="0008002E" w:rsidRPr="00314EED" w:rsidRDefault="0008002E" w:rsidP="006C66C7">
            <w:pPr>
              <w:pStyle w:val="TableText"/>
              <w:keepNext/>
              <w:keepLines/>
              <w:rPr>
                <w:b/>
                <w:bCs/>
                <w:iCs/>
              </w:rPr>
            </w:pPr>
            <w:r w:rsidRPr="00314EED">
              <w:rPr>
                <w:b/>
                <w:iCs/>
              </w:rPr>
              <w:t>n, (%)</w:t>
            </w:r>
          </w:p>
          <w:p w14:paraId="60CC25A6" w14:textId="77777777" w:rsidR="0008002E" w:rsidRPr="00314EED" w:rsidRDefault="0008002E" w:rsidP="006C66C7">
            <w:pPr>
              <w:pStyle w:val="TableText"/>
              <w:keepNext/>
              <w:keepLines/>
              <w:rPr>
                <w:b/>
                <w:bCs/>
                <w:iCs/>
              </w:rPr>
            </w:pPr>
            <w:r w:rsidRPr="00314EED">
              <w:rPr>
                <w:b/>
                <w:iCs/>
              </w:rPr>
              <w:t>(included in the PBS target population)</w:t>
            </w:r>
          </w:p>
        </w:tc>
        <w:tc>
          <w:tcPr>
            <w:tcW w:w="689" w:type="pct"/>
            <w:tcMar>
              <w:left w:w="20" w:type="dxa"/>
              <w:right w:w="20" w:type="dxa"/>
            </w:tcMar>
          </w:tcPr>
          <w:p w14:paraId="12CD2FF1" w14:textId="77777777" w:rsidR="0008002E" w:rsidRPr="00314EED" w:rsidRDefault="0008002E" w:rsidP="006C66C7">
            <w:pPr>
              <w:pStyle w:val="TableText"/>
              <w:keepNext/>
              <w:keepLines/>
              <w:rPr>
                <w:b/>
                <w:bCs/>
                <w:iCs/>
              </w:rPr>
            </w:pPr>
            <w:r w:rsidRPr="00314EED">
              <w:rPr>
                <w:b/>
                <w:iCs/>
              </w:rPr>
              <w:t>Homo</w:t>
            </w:r>
          </w:p>
          <w:p w14:paraId="64B4F3D6" w14:textId="77777777" w:rsidR="0008002E" w:rsidRPr="00314EED" w:rsidRDefault="0008002E" w:rsidP="006C66C7">
            <w:pPr>
              <w:pStyle w:val="TableText"/>
              <w:keepNext/>
              <w:keepLines/>
              <w:rPr>
                <w:b/>
                <w:bCs/>
                <w:iCs/>
              </w:rPr>
            </w:pPr>
            <w:r w:rsidRPr="00314EED">
              <w:rPr>
                <w:b/>
                <w:iCs/>
              </w:rPr>
              <w:t>N=143</w:t>
            </w:r>
          </w:p>
          <w:p w14:paraId="0CFB36EE" w14:textId="77777777" w:rsidR="0008002E" w:rsidRPr="00314EED" w:rsidRDefault="0008002E" w:rsidP="006C66C7">
            <w:pPr>
              <w:pStyle w:val="TableText"/>
              <w:keepNext/>
              <w:keepLines/>
              <w:rPr>
                <w:b/>
                <w:bCs/>
                <w:iCs/>
              </w:rPr>
            </w:pPr>
            <w:r w:rsidRPr="00314EED">
              <w:rPr>
                <w:b/>
                <w:iCs/>
              </w:rPr>
              <w:t>n, (%)</w:t>
            </w:r>
          </w:p>
          <w:p w14:paraId="1C77084D" w14:textId="77777777" w:rsidR="0008002E" w:rsidRPr="00314EED" w:rsidRDefault="0008002E" w:rsidP="006C66C7">
            <w:pPr>
              <w:pStyle w:val="TableText"/>
              <w:keepNext/>
              <w:keepLines/>
              <w:rPr>
                <w:b/>
                <w:bCs/>
                <w:iCs/>
              </w:rPr>
            </w:pPr>
            <w:r w:rsidRPr="00314EED">
              <w:rPr>
                <w:b/>
                <w:iCs/>
              </w:rPr>
              <w:t>(excluded from the PBS target population)</w:t>
            </w:r>
          </w:p>
        </w:tc>
        <w:tc>
          <w:tcPr>
            <w:tcW w:w="639" w:type="pct"/>
            <w:tcMar>
              <w:left w:w="20" w:type="dxa"/>
              <w:right w:w="20" w:type="dxa"/>
            </w:tcMar>
          </w:tcPr>
          <w:p w14:paraId="1D864286" w14:textId="77777777" w:rsidR="0008002E" w:rsidRPr="00314EED" w:rsidRDefault="0008002E" w:rsidP="006C66C7">
            <w:pPr>
              <w:pStyle w:val="TableText"/>
              <w:keepNext/>
              <w:keepLines/>
              <w:rPr>
                <w:b/>
                <w:bCs/>
                <w:iCs/>
              </w:rPr>
            </w:pPr>
            <w:r w:rsidRPr="00314EED">
              <w:rPr>
                <w:b/>
                <w:iCs/>
              </w:rPr>
              <w:t>Non-carrier</w:t>
            </w:r>
          </w:p>
          <w:p w14:paraId="42B2CC45" w14:textId="77777777" w:rsidR="0008002E" w:rsidRPr="00314EED" w:rsidRDefault="0008002E" w:rsidP="006C66C7">
            <w:pPr>
              <w:pStyle w:val="TableText"/>
              <w:keepNext/>
              <w:keepLines/>
              <w:rPr>
                <w:b/>
                <w:bCs/>
                <w:iCs/>
              </w:rPr>
            </w:pPr>
            <w:r w:rsidRPr="00314EED">
              <w:rPr>
                <w:b/>
                <w:iCs/>
              </w:rPr>
              <w:t>N=255</w:t>
            </w:r>
          </w:p>
          <w:p w14:paraId="605358BE" w14:textId="77777777" w:rsidR="0008002E" w:rsidRPr="00314EED" w:rsidRDefault="0008002E" w:rsidP="006C66C7">
            <w:pPr>
              <w:pStyle w:val="TableText"/>
              <w:keepNext/>
              <w:keepLines/>
              <w:rPr>
                <w:b/>
                <w:bCs/>
                <w:iCs/>
              </w:rPr>
            </w:pPr>
            <w:r w:rsidRPr="00314EED">
              <w:rPr>
                <w:b/>
                <w:iCs/>
              </w:rPr>
              <w:t>n, (%)</w:t>
            </w:r>
          </w:p>
          <w:p w14:paraId="78805D84" w14:textId="77777777" w:rsidR="0008002E" w:rsidRPr="00314EED" w:rsidRDefault="0008002E" w:rsidP="006C66C7">
            <w:pPr>
              <w:pStyle w:val="TableText"/>
              <w:keepNext/>
              <w:keepLines/>
              <w:rPr>
                <w:b/>
                <w:bCs/>
                <w:iCs/>
              </w:rPr>
            </w:pPr>
            <w:r w:rsidRPr="00314EED">
              <w:rPr>
                <w:b/>
                <w:iCs/>
              </w:rPr>
              <w:t>(included in the PBS target population)</w:t>
            </w:r>
          </w:p>
        </w:tc>
        <w:tc>
          <w:tcPr>
            <w:tcW w:w="719" w:type="pct"/>
            <w:tcMar>
              <w:left w:w="20" w:type="dxa"/>
              <w:right w:w="20" w:type="dxa"/>
            </w:tcMar>
          </w:tcPr>
          <w:p w14:paraId="6F9091C1" w14:textId="77777777" w:rsidR="0008002E" w:rsidRPr="00314EED" w:rsidRDefault="0008002E" w:rsidP="006C66C7">
            <w:pPr>
              <w:pStyle w:val="TableText"/>
              <w:keepNext/>
              <w:keepLines/>
              <w:rPr>
                <w:b/>
                <w:bCs/>
                <w:iCs/>
              </w:rPr>
            </w:pPr>
            <w:r w:rsidRPr="00314EED">
              <w:rPr>
                <w:b/>
                <w:iCs/>
              </w:rPr>
              <w:t>Hetero</w:t>
            </w:r>
          </w:p>
          <w:p w14:paraId="18347C3F" w14:textId="77777777" w:rsidR="0008002E" w:rsidRPr="00314EED" w:rsidRDefault="0008002E" w:rsidP="006C66C7">
            <w:pPr>
              <w:pStyle w:val="TableText"/>
              <w:keepNext/>
              <w:keepLines/>
              <w:rPr>
                <w:b/>
                <w:bCs/>
                <w:iCs/>
              </w:rPr>
            </w:pPr>
            <w:r w:rsidRPr="00314EED">
              <w:rPr>
                <w:b/>
                <w:iCs/>
              </w:rPr>
              <w:t>N=474</w:t>
            </w:r>
          </w:p>
          <w:p w14:paraId="308F3C5A" w14:textId="77777777" w:rsidR="0008002E" w:rsidRPr="00314EED" w:rsidRDefault="0008002E" w:rsidP="006C66C7">
            <w:pPr>
              <w:pStyle w:val="TableText"/>
              <w:keepNext/>
              <w:keepLines/>
              <w:rPr>
                <w:b/>
                <w:bCs/>
                <w:iCs/>
              </w:rPr>
            </w:pPr>
            <w:r w:rsidRPr="00314EED">
              <w:rPr>
                <w:b/>
                <w:iCs/>
              </w:rPr>
              <w:t>n, (%)</w:t>
            </w:r>
          </w:p>
        </w:tc>
        <w:tc>
          <w:tcPr>
            <w:tcW w:w="689" w:type="pct"/>
            <w:tcMar>
              <w:left w:w="20" w:type="dxa"/>
              <w:right w:w="20" w:type="dxa"/>
            </w:tcMar>
          </w:tcPr>
          <w:p w14:paraId="020B1CC5" w14:textId="77777777" w:rsidR="0008002E" w:rsidRPr="00314EED" w:rsidRDefault="0008002E" w:rsidP="006C66C7">
            <w:pPr>
              <w:pStyle w:val="TableText"/>
              <w:keepNext/>
              <w:keepLines/>
              <w:rPr>
                <w:b/>
                <w:bCs/>
                <w:iCs/>
              </w:rPr>
            </w:pPr>
            <w:r w:rsidRPr="00314EED">
              <w:rPr>
                <w:b/>
                <w:iCs/>
              </w:rPr>
              <w:t>Homo</w:t>
            </w:r>
          </w:p>
          <w:p w14:paraId="7F5B5D65" w14:textId="77777777" w:rsidR="0008002E" w:rsidRPr="00314EED" w:rsidRDefault="0008002E" w:rsidP="006C66C7">
            <w:pPr>
              <w:pStyle w:val="TableText"/>
              <w:keepNext/>
              <w:keepLines/>
              <w:rPr>
                <w:b/>
                <w:bCs/>
                <w:iCs/>
              </w:rPr>
            </w:pPr>
            <w:r w:rsidRPr="00314EED">
              <w:rPr>
                <w:b/>
                <w:iCs/>
              </w:rPr>
              <w:t>N=146</w:t>
            </w:r>
          </w:p>
          <w:p w14:paraId="6F1AF5DC" w14:textId="77777777" w:rsidR="0008002E" w:rsidRPr="00314EED" w:rsidRDefault="0008002E" w:rsidP="006C66C7">
            <w:pPr>
              <w:pStyle w:val="TableText"/>
              <w:keepNext/>
              <w:keepLines/>
              <w:rPr>
                <w:b/>
                <w:bCs/>
                <w:iCs/>
              </w:rPr>
            </w:pPr>
            <w:r w:rsidRPr="00314EED">
              <w:rPr>
                <w:b/>
                <w:iCs/>
              </w:rPr>
              <w:t>n, (%)</w:t>
            </w:r>
          </w:p>
        </w:tc>
        <w:tc>
          <w:tcPr>
            <w:tcW w:w="639" w:type="pct"/>
            <w:tcMar>
              <w:left w:w="20" w:type="dxa"/>
              <w:right w:w="20" w:type="dxa"/>
            </w:tcMar>
          </w:tcPr>
          <w:p w14:paraId="7856E7BD" w14:textId="77777777" w:rsidR="0008002E" w:rsidRPr="00314EED" w:rsidRDefault="0008002E" w:rsidP="006C66C7">
            <w:pPr>
              <w:pStyle w:val="TableText"/>
              <w:keepNext/>
              <w:keepLines/>
              <w:rPr>
                <w:b/>
                <w:bCs/>
                <w:iCs/>
              </w:rPr>
            </w:pPr>
            <w:r w:rsidRPr="00314EED">
              <w:rPr>
                <w:b/>
                <w:iCs/>
              </w:rPr>
              <w:t>Non-carrier</w:t>
            </w:r>
          </w:p>
          <w:p w14:paraId="39053060" w14:textId="77777777" w:rsidR="0008002E" w:rsidRPr="00314EED" w:rsidRDefault="0008002E" w:rsidP="006C66C7">
            <w:pPr>
              <w:pStyle w:val="TableText"/>
              <w:keepNext/>
              <w:keepLines/>
              <w:rPr>
                <w:b/>
                <w:bCs/>
                <w:iCs/>
              </w:rPr>
            </w:pPr>
            <w:r w:rsidRPr="00314EED">
              <w:rPr>
                <w:b/>
                <w:iCs/>
              </w:rPr>
              <w:t>N=250</w:t>
            </w:r>
          </w:p>
          <w:p w14:paraId="171DB050" w14:textId="77777777" w:rsidR="0008002E" w:rsidRPr="00314EED" w:rsidRDefault="0008002E" w:rsidP="006C66C7">
            <w:pPr>
              <w:pStyle w:val="TableText"/>
              <w:keepNext/>
              <w:keepLines/>
              <w:rPr>
                <w:b/>
                <w:bCs/>
                <w:iCs/>
              </w:rPr>
            </w:pPr>
            <w:r w:rsidRPr="00314EED">
              <w:rPr>
                <w:b/>
                <w:iCs/>
              </w:rPr>
              <w:t>n, (%)</w:t>
            </w:r>
          </w:p>
        </w:tc>
      </w:tr>
      <w:tr w:rsidR="0008002E" w:rsidRPr="00314EED" w14:paraId="43D1017C" w14:textId="77777777" w:rsidTr="00E81465">
        <w:trPr>
          <w:cantSplit/>
        </w:trPr>
        <w:tc>
          <w:tcPr>
            <w:tcW w:w="862" w:type="pct"/>
            <w:tcMar>
              <w:left w:w="20" w:type="dxa"/>
              <w:right w:w="20" w:type="dxa"/>
            </w:tcMar>
          </w:tcPr>
          <w:p w14:paraId="01611E50" w14:textId="77777777" w:rsidR="0008002E" w:rsidRPr="00314EED" w:rsidRDefault="0008002E" w:rsidP="006C66C7">
            <w:pPr>
              <w:pStyle w:val="TableText"/>
              <w:keepNext/>
              <w:keepLines/>
              <w:rPr>
                <w:b/>
                <w:bCs/>
                <w:iCs/>
              </w:rPr>
            </w:pPr>
            <w:r w:rsidRPr="00314EED">
              <w:rPr>
                <w:b/>
                <w:iCs/>
              </w:rPr>
              <w:t>≥ one ARIA-E event</w:t>
            </w:r>
          </w:p>
        </w:tc>
        <w:tc>
          <w:tcPr>
            <w:tcW w:w="761" w:type="pct"/>
            <w:tcMar>
              <w:left w:w="20" w:type="dxa"/>
              <w:right w:w="20" w:type="dxa"/>
            </w:tcMar>
          </w:tcPr>
          <w:p w14:paraId="05D49CE9" w14:textId="77777777" w:rsidR="0008002E" w:rsidRPr="00314EED" w:rsidRDefault="0008002E" w:rsidP="006C66C7">
            <w:pPr>
              <w:pStyle w:val="TableText"/>
              <w:keepNext/>
              <w:keepLines/>
              <w:rPr>
                <w:iCs/>
              </w:rPr>
            </w:pPr>
            <w:r w:rsidRPr="00314EED">
              <w:rPr>
                <w:iCs/>
              </w:rPr>
              <w:t>103 (22.8)</w:t>
            </w:r>
          </w:p>
        </w:tc>
        <w:tc>
          <w:tcPr>
            <w:tcW w:w="689" w:type="pct"/>
            <w:tcMar>
              <w:left w:w="20" w:type="dxa"/>
              <w:right w:w="20" w:type="dxa"/>
            </w:tcMar>
          </w:tcPr>
          <w:p w14:paraId="489452D0" w14:textId="77777777" w:rsidR="0008002E" w:rsidRPr="00314EED" w:rsidRDefault="0008002E" w:rsidP="006C66C7">
            <w:pPr>
              <w:pStyle w:val="TableText"/>
              <w:keepNext/>
              <w:keepLines/>
              <w:rPr>
                <w:iCs/>
              </w:rPr>
            </w:pPr>
            <w:r w:rsidRPr="00314EED">
              <w:rPr>
                <w:iCs/>
              </w:rPr>
              <w:t>58 (40.6)</w:t>
            </w:r>
          </w:p>
        </w:tc>
        <w:tc>
          <w:tcPr>
            <w:tcW w:w="639" w:type="pct"/>
            <w:tcMar>
              <w:left w:w="20" w:type="dxa"/>
              <w:right w:w="20" w:type="dxa"/>
            </w:tcMar>
          </w:tcPr>
          <w:p w14:paraId="7D39D56D" w14:textId="77777777" w:rsidR="0008002E" w:rsidRPr="00314EED" w:rsidRDefault="0008002E" w:rsidP="006C66C7">
            <w:pPr>
              <w:pStyle w:val="TableText"/>
              <w:keepNext/>
              <w:keepLines/>
              <w:rPr>
                <w:iCs/>
              </w:rPr>
            </w:pPr>
            <w:r w:rsidRPr="00314EED">
              <w:rPr>
                <w:iCs/>
              </w:rPr>
              <w:t>40 (15.7)</w:t>
            </w:r>
          </w:p>
        </w:tc>
        <w:tc>
          <w:tcPr>
            <w:tcW w:w="719" w:type="pct"/>
            <w:tcMar>
              <w:left w:w="20" w:type="dxa"/>
              <w:right w:w="20" w:type="dxa"/>
            </w:tcMar>
          </w:tcPr>
          <w:p w14:paraId="2EBDABB6" w14:textId="77777777" w:rsidR="0008002E" w:rsidRPr="00314EED" w:rsidRDefault="0008002E" w:rsidP="006C66C7">
            <w:pPr>
              <w:pStyle w:val="TableText"/>
              <w:keepNext/>
              <w:keepLines/>
              <w:rPr>
                <w:iCs/>
              </w:rPr>
            </w:pPr>
            <w:r w:rsidRPr="00314EED">
              <w:rPr>
                <w:iCs/>
              </w:rPr>
              <w:t>9 (1.9)</w:t>
            </w:r>
          </w:p>
        </w:tc>
        <w:tc>
          <w:tcPr>
            <w:tcW w:w="689" w:type="pct"/>
            <w:tcMar>
              <w:left w:w="20" w:type="dxa"/>
              <w:right w:w="20" w:type="dxa"/>
            </w:tcMar>
          </w:tcPr>
          <w:p w14:paraId="3D713B5C" w14:textId="77777777" w:rsidR="0008002E" w:rsidRPr="00314EED" w:rsidRDefault="0008002E" w:rsidP="006C66C7">
            <w:pPr>
              <w:pStyle w:val="TableText"/>
              <w:keepNext/>
              <w:keepLines/>
              <w:rPr>
                <w:iCs/>
              </w:rPr>
            </w:pPr>
            <w:r w:rsidRPr="00314EED">
              <w:rPr>
                <w:iCs/>
              </w:rPr>
              <w:t>5 (3.4)</w:t>
            </w:r>
          </w:p>
        </w:tc>
        <w:tc>
          <w:tcPr>
            <w:tcW w:w="639" w:type="pct"/>
            <w:tcMar>
              <w:left w:w="20" w:type="dxa"/>
              <w:right w:w="20" w:type="dxa"/>
            </w:tcMar>
          </w:tcPr>
          <w:p w14:paraId="3BFF14E2" w14:textId="77777777" w:rsidR="0008002E" w:rsidRPr="00314EED" w:rsidRDefault="0008002E" w:rsidP="006C66C7">
            <w:pPr>
              <w:pStyle w:val="TableText"/>
              <w:keepNext/>
              <w:keepLines/>
              <w:rPr>
                <w:iCs/>
              </w:rPr>
            </w:pPr>
            <w:r w:rsidRPr="00314EED">
              <w:rPr>
                <w:iCs/>
              </w:rPr>
              <w:t>2 (0.8)</w:t>
            </w:r>
          </w:p>
        </w:tc>
      </w:tr>
      <w:tr w:rsidR="0008002E" w:rsidRPr="00314EED" w14:paraId="46F48AB7" w14:textId="77777777" w:rsidTr="00E81465">
        <w:trPr>
          <w:cantSplit/>
        </w:trPr>
        <w:tc>
          <w:tcPr>
            <w:tcW w:w="862" w:type="pct"/>
            <w:tcMar>
              <w:left w:w="20" w:type="dxa"/>
              <w:right w:w="20" w:type="dxa"/>
            </w:tcMar>
          </w:tcPr>
          <w:p w14:paraId="4432D4A7" w14:textId="77777777" w:rsidR="0008002E" w:rsidRPr="00314EED" w:rsidRDefault="0008002E" w:rsidP="006C66C7">
            <w:pPr>
              <w:pStyle w:val="TableText"/>
              <w:keepNext/>
              <w:keepLines/>
              <w:rPr>
                <w:iCs/>
              </w:rPr>
            </w:pPr>
            <w:r w:rsidRPr="00314EED">
              <w:rPr>
                <w:iCs/>
              </w:rPr>
              <w:t>≥ one serious ARIA-E event</w:t>
            </w:r>
          </w:p>
        </w:tc>
        <w:tc>
          <w:tcPr>
            <w:tcW w:w="761" w:type="pct"/>
            <w:tcMar>
              <w:left w:w="20" w:type="dxa"/>
              <w:right w:w="20" w:type="dxa"/>
            </w:tcMar>
          </w:tcPr>
          <w:p w14:paraId="6D14E601" w14:textId="77777777" w:rsidR="0008002E" w:rsidRPr="00314EED" w:rsidRDefault="0008002E" w:rsidP="006C66C7">
            <w:pPr>
              <w:pStyle w:val="TableText"/>
              <w:keepNext/>
              <w:keepLines/>
              <w:rPr>
                <w:iCs/>
              </w:rPr>
            </w:pPr>
            <w:r w:rsidRPr="00314EED">
              <w:rPr>
                <w:iCs/>
              </w:rPr>
              <w:t>4 (0.9)</w:t>
            </w:r>
          </w:p>
        </w:tc>
        <w:tc>
          <w:tcPr>
            <w:tcW w:w="689" w:type="pct"/>
            <w:tcMar>
              <w:left w:w="20" w:type="dxa"/>
              <w:right w:w="20" w:type="dxa"/>
            </w:tcMar>
          </w:tcPr>
          <w:p w14:paraId="55C89E50" w14:textId="77777777" w:rsidR="0008002E" w:rsidRPr="00314EED" w:rsidRDefault="0008002E" w:rsidP="006C66C7">
            <w:pPr>
              <w:pStyle w:val="TableText"/>
              <w:keepNext/>
              <w:keepLines/>
              <w:rPr>
                <w:iCs/>
              </w:rPr>
            </w:pPr>
            <w:r w:rsidRPr="00314EED">
              <w:rPr>
                <w:iCs/>
              </w:rPr>
              <w:t>3 (2.1)</w:t>
            </w:r>
          </w:p>
        </w:tc>
        <w:tc>
          <w:tcPr>
            <w:tcW w:w="639" w:type="pct"/>
            <w:tcMar>
              <w:left w:w="20" w:type="dxa"/>
              <w:right w:w="20" w:type="dxa"/>
            </w:tcMar>
          </w:tcPr>
          <w:p w14:paraId="0C6E36E9" w14:textId="77777777" w:rsidR="0008002E" w:rsidRPr="00314EED" w:rsidRDefault="0008002E" w:rsidP="006C66C7">
            <w:pPr>
              <w:pStyle w:val="TableText"/>
              <w:keepNext/>
              <w:keepLines/>
              <w:rPr>
                <w:iCs/>
              </w:rPr>
            </w:pPr>
            <w:r w:rsidRPr="00314EED">
              <w:rPr>
                <w:iCs/>
              </w:rPr>
              <w:t>1 (0.4)</w:t>
            </w:r>
          </w:p>
        </w:tc>
        <w:tc>
          <w:tcPr>
            <w:tcW w:w="719" w:type="pct"/>
            <w:tcMar>
              <w:left w:w="20" w:type="dxa"/>
              <w:right w:w="20" w:type="dxa"/>
            </w:tcMar>
          </w:tcPr>
          <w:p w14:paraId="7B3D45EF" w14:textId="77777777" w:rsidR="0008002E" w:rsidRPr="00314EED" w:rsidRDefault="0008002E" w:rsidP="006C66C7">
            <w:pPr>
              <w:pStyle w:val="TableText"/>
              <w:keepNext/>
              <w:keepLines/>
              <w:rPr>
                <w:iCs/>
              </w:rPr>
            </w:pPr>
            <w:r w:rsidRPr="00314EED">
              <w:rPr>
                <w:iCs/>
              </w:rPr>
              <w:t>0 (0.0)</w:t>
            </w:r>
          </w:p>
        </w:tc>
        <w:tc>
          <w:tcPr>
            <w:tcW w:w="689" w:type="pct"/>
            <w:tcMar>
              <w:left w:w="20" w:type="dxa"/>
              <w:right w:w="20" w:type="dxa"/>
            </w:tcMar>
          </w:tcPr>
          <w:p w14:paraId="78B0D1FD" w14:textId="77777777" w:rsidR="0008002E" w:rsidRPr="00314EED" w:rsidRDefault="0008002E" w:rsidP="006C66C7">
            <w:pPr>
              <w:pStyle w:val="TableText"/>
              <w:keepNext/>
              <w:keepLines/>
              <w:rPr>
                <w:iCs/>
              </w:rPr>
            </w:pPr>
            <w:r w:rsidRPr="00314EED">
              <w:rPr>
                <w:iCs/>
              </w:rPr>
              <w:t>0 (0.0)</w:t>
            </w:r>
          </w:p>
        </w:tc>
        <w:tc>
          <w:tcPr>
            <w:tcW w:w="639" w:type="pct"/>
            <w:tcMar>
              <w:left w:w="20" w:type="dxa"/>
              <w:right w:w="20" w:type="dxa"/>
            </w:tcMar>
          </w:tcPr>
          <w:p w14:paraId="3274D3F7" w14:textId="77777777" w:rsidR="0008002E" w:rsidRPr="00314EED" w:rsidRDefault="0008002E" w:rsidP="006C66C7">
            <w:pPr>
              <w:pStyle w:val="TableText"/>
              <w:keepNext/>
              <w:keepLines/>
              <w:rPr>
                <w:iCs/>
              </w:rPr>
            </w:pPr>
            <w:r w:rsidRPr="00314EED">
              <w:rPr>
                <w:iCs/>
              </w:rPr>
              <w:t>0 (0.0)</w:t>
            </w:r>
          </w:p>
        </w:tc>
      </w:tr>
      <w:tr w:rsidR="0008002E" w:rsidRPr="00314EED" w14:paraId="737D3FDE" w14:textId="77777777" w:rsidTr="00E81465">
        <w:trPr>
          <w:cantSplit/>
        </w:trPr>
        <w:tc>
          <w:tcPr>
            <w:tcW w:w="862" w:type="pct"/>
            <w:tcMar>
              <w:left w:w="20" w:type="dxa"/>
              <w:right w:w="20" w:type="dxa"/>
            </w:tcMar>
          </w:tcPr>
          <w:p w14:paraId="2E7A5C1C" w14:textId="77777777" w:rsidR="0008002E" w:rsidRPr="00314EED" w:rsidRDefault="0008002E" w:rsidP="006C66C7">
            <w:pPr>
              <w:pStyle w:val="TableText"/>
              <w:keepNext/>
              <w:keepLines/>
              <w:rPr>
                <w:b/>
                <w:bCs/>
                <w:iCs/>
              </w:rPr>
            </w:pPr>
            <w:r w:rsidRPr="00314EED">
              <w:rPr>
                <w:b/>
                <w:iCs/>
              </w:rPr>
              <w:t>≥ one ARIA-H event</w:t>
            </w:r>
          </w:p>
        </w:tc>
        <w:tc>
          <w:tcPr>
            <w:tcW w:w="761" w:type="pct"/>
            <w:tcMar>
              <w:left w:w="20" w:type="dxa"/>
              <w:right w:w="20" w:type="dxa"/>
            </w:tcMar>
          </w:tcPr>
          <w:p w14:paraId="272C588B" w14:textId="77777777" w:rsidR="0008002E" w:rsidRPr="00314EED" w:rsidRDefault="0008002E" w:rsidP="006C66C7">
            <w:pPr>
              <w:pStyle w:val="TableText"/>
              <w:keepNext/>
              <w:keepLines/>
              <w:rPr>
                <w:iCs/>
              </w:rPr>
            </w:pPr>
            <w:r w:rsidRPr="00314EED">
              <w:rPr>
                <w:iCs/>
              </w:rPr>
              <w:t>146 (32.3)</w:t>
            </w:r>
          </w:p>
        </w:tc>
        <w:tc>
          <w:tcPr>
            <w:tcW w:w="689" w:type="pct"/>
            <w:tcMar>
              <w:left w:w="20" w:type="dxa"/>
              <w:right w:w="20" w:type="dxa"/>
            </w:tcMar>
          </w:tcPr>
          <w:p w14:paraId="6B4D9314" w14:textId="77777777" w:rsidR="0008002E" w:rsidRPr="00314EED" w:rsidRDefault="0008002E" w:rsidP="006C66C7">
            <w:pPr>
              <w:pStyle w:val="TableText"/>
              <w:keepNext/>
              <w:keepLines/>
              <w:rPr>
                <w:iCs/>
              </w:rPr>
            </w:pPr>
            <w:r w:rsidRPr="00314EED">
              <w:rPr>
                <w:iCs/>
              </w:rPr>
              <w:t>72 (50.3)</w:t>
            </w:r>
          </w:p>
        </w:tc>
        <w:tc>
          <w:tcPr>
            <w:tcW w:w="639" w:type="pct"/>
            <w:tcMar>
              <w:left w:w="20" w:type="dxa"/>
              <w:right w:w="20" w:type="dxa"/>
            </w:tcMar>
          </w:tcPr>
          <w:p w14:paraId="1A104427" w14:textId="77777777" w:rsidR="0008002E" w:rsidRPr="00314EED" w:rsidRDefault="0008002E" w:rsidP="006C66C7">
            <w:pPr>
              <w:pStyle w:val="TableText"/>
              <w:keepNext/>
              <w:keepLines/>
              <w:rPr>
                <w:iCs/>
              </w:rPr>
            </w:pPr>
            <w:r w:rsidRPr="00314EED">
              <w:rPr>
                <w:iCs/>
              </w:rPr>
              <w:t>48 (18.8)</w:t>
            </w:r>
          </w:p>
        </w:tc>
        <w:tc>
          <w:tcPr>
            <w:tcW w:w="719" w:type="pct"/>
            <w:tcMar>
              <w:left w:w="20" w:type="dxa"/>
              <w:right w:w="20" w:type="dxa"/>
            </w:tcMar>
          </w:tcPr>
          <w:p w14:paraId="7D135692" w14:textId="77777777" w:rsidR="0008002E" w:rsidRPr="00314EED" w:rsidRDefault="0008002E" w:rsidP="006C66C7">
            <w:pPr>
              <w:pStyle w:val="TableText"/>
              <w:keepNext/>
              <w:keepLines/>
              <w:rPr>
                <w:iCs/>
              </w:rPr>
            </w:pPr>
            <w:r w:rsidRPr="00314EED">
              <w:rPr>
                <w:iCs/>
              </w:rPr>
              <w:t>57 (12.0)</w:t>
            </w:r>
          </w:p>
        </w:tc>
        <w:tc>
          <w:tcPr>
            <w:tcW w:w="689" w:type="pct"/>
            <w:tcMar>
              <w:left w:w="20" w:type="dxa"/>
              <w:right w:w="20" w:type="dxa"/>
            </w:tcMar>
          </w:tcPr>
          <w:p w14:paraId="69ED070A" w14:textId="77777777" w:rsidR="0008002E" w:rsidRPr="00314EED" w:rsidRDefault="0008002E" w:rsidP="006C66C7">
            <w:pPr>
              <w:pStyle w:val="TableText"/>
              <w:keepNext/>
              <w:keepLines/>
              <w:rPr>
                <w:iCs/>
              </w:rPr>
            </w:pPr>
            <w:r w:rsidRPr="00314EED">
              <w:rPr>
                <w:iCs/>
              </w:rPr>
              <w:t>30 (20.5)</w:t>
            </w:r>
          </w:p>
        </w:tc>
        <w:tc>
          <w:tcPr>
            <w:tcW w:w="639" w:type="pct"/>
            <w:tcMar>
              <w:left w:w="20" w:type="dxa"/>
              <w:right w:w="20" w:type="dxa"/>
            </w:tcMar>
          </w:tcPr>
          <w:p w14:paraId="4533E8F8" w14:textId="77777777" w:rsidR="0008002E" w:rsidRPr="00314EED" w:rsidRDefault="0008002E" w:rsidP="006C66C7">
            <w:pPr>
              <w:pStyle w:val="TableText"/>
              <w:keepNext/>
              <w:keepLines/>
              <w:rPr>
                <w:iCs/>
              </w:rPr>
            </w:pPr>
            <w:r w:rsidRPr="00314EED">
              <w:rPr>
                <w:iCs/>
              </w:rPr>
              <w:t>28 (11.2)</w:t>
            </w:r>
          </w:p>
        </w:tc>
      </w:tr>
      <w:tr w:rsidR="0008002E" w:rsidRPr="00314EED" w14:paraId="24353C38" w14:textId="77777777" w:rsidTr="00E81465">
        <w:trPr>
          <w:cantSplit/>
        </w:trPr>
        <w:tc>
          <w:tcPr>
            <w:tcW w:w="862" w:type="pct"/>
            <w:tcMar>
              <w:left w:w="20" w:type="dxa"/>
              <w:right w:w="20" w:type="dxa"/>
            </w:tcMar>
          </w:tcPr>
          <w:p w14:paraId="27081652" w14:textId="77777777" w:rsidR="0008002E" w:rsidRPr="00314EED" w:rsidRDefault="0008002E" w:rsidP="006C66C7">
            <w:pPr>
              <w:pStyle w:val="TableText"/>
              <w:keepNext/>
              <w:keepLines/>
              <w:rPr>
                <w:iCs/>
              </w:rPr>
            </w:pPr>
            <w:r w:rsidRPr="00314EED">
              <w:rPr>
                <w:iCs/>
              </w:rPr>
              <w:t>≥ one serious ARIA-H event</w:t>
            </w:r>
          </w:p>
        </w:tc>
        <w:tc>
          <w:tcPr>
            <w:tcW w:w="761" w:type="pct"/>
            <w:tcMar>
              <w:left w:w="20" w:type="dxa"/>
              <w:right w:w="20" w:type="dxa"/>
            </w:tcMar>
          </w:tcPr>
          <w:p w14:paraId="7C4D0633" w14:textId="77777777" w:rsidR="0008002E" w:rsidRPr="00314EED" w:rsidRDefault="0008002E" w:rsidP="006C66C7">
            <w:pPr>
              <w:pStyle w:val="TableText"/>
              <w:keepNext/>
              <w:keepLines/>
              <w:rPr>
                <w:iCs/>
              </w:rPr>
            </w:pPr>
            <w:r w:rsidRPr="00314EED">
              <w:rPr>
                <w:iCs/>
              </w:rPr>
              <w:t>0 (0.0)</w:t>
            </w:r>
          </w:p>
        </w:tc>
        <w:tc>
          <w:tcPr>
            <w:tcW w:w="689" w:type="pct"/>
            <w:tcMar>
              <w:left w:w="20" w:type="dxa"/>
              <w:right w:w="20" w:type="dxa"/>
            </w:tcMar>
          </w:tcPr>
          <w:p w14:paraId="31F3DE7F" w14:textId="77777777" w:rsidR="0008002E" w:rsidRPr="00314EED" w:rsidRDefault="0008002E" w:rsidP="006C66C7">
            <w:pPr>
              <w:pStyle w:val="TableText"/>
              <w:keepNext/>
              <w:keepLines/>
              <w:rPr>
                <w:iCs/>
              </w:rPr>
            </w:pPr>
            <w:r w:rsidRPr="00314EED">
              <w:rPr>
                <w:iCs/>
              </w:rPr>
              <w:t>2 (1.4)</w:t>
            </w:r>
          </w:p>
        </w:tc>
        <w:tc>
          <w:tcPr>
            <w:tcW w:w="639" w:type="pct"/>
            <w:tcMar>
              <w:left w:w="20" w:type="dxa"/>
              <w:right w:w="20" w:type="dxa"/>
            </w:tcMar>
          </w:tcPr>
          <w:p w14:paraId="73AB6D4C" w14:textId="77777777" w:rsidR="0008002E" w:rsidRPr="00314EED" w:rsidRDefault="0008002E" w:rsidP="006C66C7">
            <w:pPr>
              <w:pStyle w:val="TableText"/>
              <w:keepNext/>
              <w:keepLines/>
              <w:rPr>
                <w:iCs/>
              </w:rPr>
            </w:pPr>
            <w:r w:rsidRPr="00314EED">
              <w:rPr>
                <w:iCs/>
              </w:rPr>
              <w:t>0 (0.0)</w:t>
            </w:r>
          </w:p>
        </w:tc>
        <w:tc>
          <w:tcPr>
            <w:tcW w:w="719" w:type="pct"/>
            <w:tcMar>
              <w:left w:w="20" w:type="dxa"/>
              <w:right w:w="20" w:type="dxa"/>
            </w:tcMar>
          </w:tcPr>
          <w:p w14:paraId="128D0189" w14:textId="77777777" w:rsidR="0008002E" w:rsidRPr="00314EED" w:rsidRDefault="0008002E" w:rsidP="006C66C7">
            <w:pPr>
              <w:pStyle w:val="TableText"/>
              <w:keepNext/>
              <w:keepLines/>
              <w:rPr>
                <w:iCs/>
              </w:rPr>
            </w:pPr>
            <w:r w:rsidRPr="00314EED">
              <w:rPr>
                <w:iCs/>
              </w:rPr>
              <w:t>0 (0.0)</w:t>
            </w:r>
          </w:p>
        </w:tc>
        <w:tc>
          <w:tcPr>
            <w:tcW w:w="689" w:type="pct"/>
            <w:tcMar>
              <w:left w:w="20" w:type="dxa"/>
              <w:right w:w="20" w:type="dxa"/>
            </w:tcMar>
          </w:tcPr>
          <w:p w14:paraId="4680A13D" w14:textId="77777777" w:rsidR="0008002E" w:rsidRPr="00314EED" w:rsidRDefault="0008002E" w:rsidP="006C66C7">
            <w:pPr>
              <w:pStyle w:val="TableText"/>
              <w:keepNext/>
              <w:keepLines/>
              <w:rPr>
                <w:iCs/>
              </w:rPr>
            </w:pPr>
            <w:r w:rsidRPr="00314EED">
              <w:rPr>
                <w:iCs/>
              </w:rPr>
              <w:t>0 (0.0)</w:t>
            </w:r>
          </w:p>
        </w:tc>
        <w:tc>
          <w:tcPr>
            <w:tcW w:w="639" w:type="pct"/>
            <w:tcMar>
              <w:left w:w="20" w:type="dxa"/>
              <w:right w:w="20" w:type="dxa"/>
            </w:tcMar>
          </w:tcPr>
          <w:p w14:paraId="4FB66B0A" w14:textId="77777777" w:rsidR="0008002E" w:rsidRPr="00314EED" w:rsidRDefault="0008002E" w:rsidP="006C66C7">
            <w:pPr>
              <w:pStyle w:val="TableText"/>
              <w:keepNext/>
              <w:keepLines/>
              <w:rPr>
                <w:iCs/>
              </w:rPr>
            </w:pPr>
            <w:r w:rsidRPr="00314EED">
              <w:rPr>
                <w:iCs/>
              </w:rPr>
              <w:t>0 (0.0)</w:t>
            </w:r>
          </w:p>
        </w:tc>
      </w:tr>
      <w:tr w:rsidR="0008002E" w:rsidRPr="00314EED" w14:paraId="29AB929E" w14:textId="77777777" w:rsidTr="00E81465">
        <w:trPr>
          <w:cantSplit/>
        </w:trPr>
        <w:tc>
          <w:tcPr>
            <w:tcW w:w="862" w:type="pct"/>
            <w:tcMar>
              <w:left w:w="20" w:type="dxa"/>
              <w:right w:w="20" w:type="dxa"/>
            </w:tcMar>
          </w:tcPr>
          <w:p w14:paraId="2954052A" w14:textId="77777777" w:rsidR="0008002E" w:rsidRPr="00314EED" w:rsidRDefault="0008002E" w:rsidP="006C66C7">
            <w:pPr>
              <w:pStyle w:val="TableText"/>
              <w:keepNext/>
              <w:keepLines/>
              <w:rPr>
                <w:iCs/>
              </w:rPr>
            </w:pPr>
            <w:r w:rsidRPr="00314EED">
              <w:rPr>
                <w:iCs/>
              </w:rPr>
              <w:t>≥ one ARIA-H microhaemorrhage</w:t>
            </w:r>
          </w:p>
        </w:tc>
        <w:tc>
          <w:tcPr>
            <w:tcW w:w="761" w:type="pct"/>
            <w:tcMar>
              <w:left w:w="20" w:type="dxa"/>
              <w:right w:w="20" w:type="dxa"/>
            </w:tcMar>
          </w:tcPr>
          <w:p w14:paraId="1756E76A" w14:textId="77777777" w:rsidR="0008002E" w:rsidRPr="00314EED" w:rsidRDefault="0008002E" w:rsidP="006C66C7">
            <w:pPr>
              <w:pStyle w:val="TableText"/>
              <w:keepNext/>
              <w:keepLines/>
              <w:rPr>
                <w:iCs/>
              </w:rPr>
            </w:pPr>
            <w:r w:rsidRPr="00314EED">
              <w:rPr>
                <w:iCs/>
              </w:rPr>
              <w:t>121 (26.8)</w:t>
            </w:r>
          </w:p>
        </w:tc>
        <w:tc>
          <w:tcPr>
            <w:tcW w:w="689" w:type="pct"/>
            <w:tcMar>
              <w:left w:w="20" w:type="dxa"/>
              <w:right w:w="20" w:type="dxa"/>
            </w:tcMar>
          </w:tcPr>
          <w:p w14:paraId="7BF88819" w14:textId="77777777" w:rsidR="0008002E" w:rsidRPr="00314EED" w:rsidRDefault="0008002E" w:rsidP="006C66C7">
            <w:pPr>
              <w:pStyle w:val="TableText"/>
              <w:keepNext/>
              <w:keepLines/>
              <w:rPr>
                <w:iCs/>
              </w:rPr>
            </w:pPr>
            <w:r w:rsidRPr="00314EED">
              <w:rPr>
                <w:iCs/>
              </w:rPr>
              <w:t>59 (41.3)</w:t>
            </w:r>
          </w:p>
        </w:tc>
        <w:tc>
          <w:tcPr>
            <w:tcW w:w="639" w:type="pct"/>
            <w:tcMar>
              <w:left w:w="20" w:type="dxa"/>
              <w:right w:w="20" w:type="dxa"/>
            </w:tcMar>
          </w:tcPr>
          <w:p w14:paraId="088A28F0" w14:textId="77777777" w:rsidR="0008002E" w:rsidRPr="00314EED" w:rsidRDefault="0008002E" w:rsidP="006C66C7">
            <w:pPr>
              <w:pStyle w:val="TableText"/>
              <w:keepNext/>
              <w:keepLines/>
              <w:rPr>
                <w:iCs/>
              </w:rPr>
            </w:pPr>
            <w:r w:rsidRPr="00314EED">
              <w:rPr>
                <w:iCs/>
              </w:rPr>
              <w:t>39 (15.3)</w:t>
            </w:r>
          </w:p>
        </w:tc>
        <w:tc>
          <w:tcPr>
            <w:tcW w:w="719" w:type="pct"/>
            <w:tcMar>
              <w:left w:w="20" w:type="dxa"/>
              <w:right w:w="20" w:type="dxa"/>
            </w:tcMar>
          </w:tcPr>
          <w:p w14:paraId="37512A6C" w14:textId="77777777" w:rsidR="0008002E" w:rsidRPr="00314EED" w:rsidRDefault="0008002E" w:rsidP="006C66C7">
            <w:pPr>
              <w:pStyle w:val="TableText"/>
              <w:keepNext/>
              <w:keepLines/>
              <w:rPr>
                <w:iCs/>
              </w:rPr>
            </w:pPr>
            <w:r w:rsidRPr="00314EED">
              <w:rPr>
                <w:iCs/>
              </w:rPr>
              <w:t>50 (10.5)</w:t>
            </w:r>
          </w:p>
        </w:tc>
        <w:tc>
          <w:tcPr>
            <w:tcW w:w="689" w:type="pct"/>
            <w:tcMar>
              <w:left w:w="20" w:type="dxa"/>
              <w:right w:w="20" w:type="dxa"/>
            </w:tcMar>
          </w:tcPr>
          <w:p w14:paraId="3FD543A8" w14:textId="77777777" w:rsidR="0008002E" w:rsidRPr="00314EED" w:rsidRDefault="0008002E" w:rsidP="006C66C7">
            <w:pPr>
              <w:pStyle w:val="TableText"/>
              <w:keepNext/>
              <w:keepLines/>
              <w:rPr>
                <w:iCs/>
              </w:rPr>
            </w:pPr>
            <w:r w:rsidRPr="00314EED">
              <w:rPr>
                <w:iCs/>
              </w:rPr>
              <w:t>26 (17.8)</w:t>
            </w:r>
          </w:p>
        </w:tc>
        <w:tc>
          <w:tcPr>
            <w:tcW w:w="639" w:type="pct"/>
            <w:tcMar>
              <w:left w:w="20" w:type="dxa"/>
              <w:right w:w="20" w:type="dxa"/>
            </w:tcMar>
          </w:tcPr>
          <w:p w14:paraId="73915660" w14:textId="77777777" w:rsidR="0008002E" w:rsidRPr="00314EED" w:rsidRDefault="0008002E" w:rsidP="006C66C7">
            <w:pPr>
              <w:pStyle w:val="TableText"/>
              <w:keepNext/>
              <w:keepLines/>
              <w:rPr>
                <w:iCs/>
              </w:rPr>
            </w:pPr>
            <w:r w:rsidRPr="00314EED">
              <w:rPr>
                <w:iCs/>
              </w:rPr>
              <w:t>27 (10.8)</w:t>
            </w:r>
          </w:p>
        </w:tc>
      </w:tr>
      <w:tr w:rsidR="0008002E" w:rsidRPr="00314EED" w14:paraId="16EE23E0" w14:textId="77777777" w:rsidTr="00E81465">
        <w:trPr>
          <w:cantSplit/>
        </w:trPr>
        <w:tc>
          <w:tcPr>
            <w:tcW w:w="862" w:type="pct"/>
            <w:tcMar>
              <w:left w:w="20" w:type="dxa"/>
              <w:right w:w="20" w:type="dxa"/>
            </w:tcMar>
          </w:tcPr>
          <w:p w14:paraId="3624870C" w14:textId="77777777" w:rsidR="0008002E" w:rsidRPr="00314EED" w:rsidRDefault="0008002E" w:rsidP="006C66C7">
            <w:pPr>
              <w:pStyle w:val="TableText"/>
              <w:keepNext/>
              <w:keepLines/>
              <w:rPr>
                <w:iCs/>
              </w:rPr>
            </w:pPr>
            <w:r w:rsidRPr="00314EED">
              <w:rPr>
                <w:iCs/>
              </w:rPr>
              <w:t>≥ one ARIA-H superficial siderosis</w:t>
            </w:r>
          </w:p>
        </w:tc>
        <w:tc>
          <w:tcPr>
            <w:tcW w:w="761" w:type="pct"/>
            <w:tcMar>
              <w:left w:w="20" w:type="dxa"/>
              <w:right w:w="20" w:type="dxa"/>
            </w:tcMar>
          </w:tcPr>
          <w:p w14:paraId="325DB46C" w14:textId="77777777" w:rsidR="0008002E" w:rsidRPr="00314EED" w:rsidRDefault="0008002E" w:rsidP="006C66C7">
            <w:pPr>
              <w:pStyle w:val="TableText"/>
              <w:keepNext/>
              <w:keepLines/>
              <w:rPr>
                <w:iCs/>
              </w:rPr>
            </w:pPr>
            <w:r w:rsidRPr="00314EED">
              <w:rPr>
                <w:iCs/>
              </w:rPr>
              <w:t>75 (16.6)</w:t>
            </w:r>
          </w:p>
        </w:tc>
        <w:tc>
          <w:tcPr>
            <w:tcW w:w="689" w:type="pct"/>
            <w:tcMar>
              <w:left w:w="20" w:type="dxa"/>
              <w:right w:w="20" w:type="dxa"/>
            </w:tcMar>
          </w:tcPr>
          <w:p w14:paraId="4FDF5DA3" w14:textId="77777777" w:rsidR="0008002E" w:rsidRPr="00314EED" w:rsidRDefault="0008002E" w:rsidP="006C66C7">
            <w:pPr>
              <w:pStyle w:val="TableText"/>
              <w:keepNext/>
              <w:keepLines/>
              <w:rPr>
                <w:iCs/>
              </w:rPr>
            </w:pPr>
            <w:r w:rsidRPr="00314EED">
              <w:rPr>
                <w:iCs/>
              </w:rPr>
              <w:t>40 (28.0)</w:t>
            </w:r>
          </w:p>
        </w:tc>
        <w:tc>
          <w:tcPr>
            <w:tcW w:w="639" w:type="pct"/>
            <w:tcMar>
              <w:left w:w="20" w:type="dxa"/>
              <w:right w:w="20" w:type="dxa"/>
            </w:tcMar>
          </w:tcPr>
          <w:p w14:paraId="47181E37" w14:textId="77777777" w:rsidR="0008002E" w:rsidRPr="00314EED" w:rsidRDefault="0008002E" w:rsidP="006C66C7">
            <w:pPr>
              <w:pStyle w:val="TableText"/>
              <w:keepNext/>
              <w:keepLines/>
              <w:rPr>
                <w:iCs/>
              </w:rPr>
            </w:pPr>
            <w:r w:rsidRPr="00314EED">
              <w:rPr>
                <w:iCs/>
              </w:rPr>
              <w:t>19 (7.5)</w:t>
            </w:r>
          </w:p>
        </w:tc>
        <w:tc>
          <w:tcPr>
            <w:tcW w:w="719" w:type="pct"/>
            <w:tcMar>
              <w:left w:w="20" w:type="dxa"/>
              <w:right w:w="20" w:type="dxa"/>
            </w:tcMar>
          </w:tcPr>
          <w:p w14:paraId="034C0252" w14:textId="77777777" w:rsidR="0008002E" w:rsidRPr="00314EED" w:rsidRDefault="0008002E" w:rsidP="006C66C7">
            <w:pPr>
              <w:pStyle w:val="TableText"/>
              <w:keepNext/>
              <w:keepLines/>
              <w:rPr>
                <w:iCs/>
              </w:rPr>
            </w:pPr>
            <w:r w:rsidRPr="00314EED">
              <w:rPr>
                <w:iCs/>
              </w:rPr>
              <w:t>12 (2.5)</w:t>
            </w:r>
          </w:p>
        </w:tc>
        <w:tc>
          <w:tcPr>
            <w:tcW w:w="689" w:type="pct"/>
            <w:tcMar>
              <w:left w:w="20" w:type="dxa"/>
              <w:right w:w="20" w:type="dxa"/>
            </w:tcMar>
          </w:tcPr>
          <w:p w14:paraId="1601AB34" w14:textId="77777777" w:rsidR="0008002E" w:rsidRPr="00314EED" w:rsidRDefault="0008002E" w:rsidP="006C66C7">
            <w:pPr>
              <w:pStyle w:val="TableText"/>
              <w:keepNext/>
              <w:keepLines/>
              <w:rPr>
                <w:iCs/>
              </w:rPr>
            </w:pPr>
            <w:r w:rsidRPr="00314EED">
              <w:rPr>
                <w:iCs/>
              </w:rPr>
              <w:t>10 (6.8)</w:t>
            </w:r>
          </w:p>
        </w:tc>
        <w:tc>
          <w:tcPr>
            <w:tcW w:w="639" w:type="pct"/>
            <w:tcMar>
              <w:left w:w="20" w:type="dxa"/>
              <w:right w:w="20" w:type="dxa"/>
            </w:tcMar>
          </w:tcPr>
          <w:p w14:paraId="5911B233" w14:textId="77777777" w:rsidR="0008002E" w:rsidRPr="00314EED" w:rsidRDefault="0008002E" w:rsidP="006C66C7">
            <w:pPr>
              <w:pStyle w:val="TableText"/>
              <w:keepNext/>
              <w:keepLines/>
              <w:rPr>
                <w:iCs/>
              </w:rPr>
            </w:pPr>
            <w:r w:rsidRPr="00314EED">
              <w:rPr>
                <w:iCs/>
              </w:rPr>
              <w:t>3 (1.2)</w:t>
            </w:r>
          </w:p>
        </w:tc>
      </w:tr>
    </w:tbl>
    <w:p w14:paraId="48E2F794" w14:textId="77777777" w:rsidR="0008002E" w:rsidRPr="00314EED" w:rsidRDefault="0008002E" w:rsidP="006C66C7">
      <w:pPr>
        <w:pStyle w:val="TableFooter"/>
        <w:keepNext/>
        <w:keepLines/>
        <w:rPr>
          <w:iCs/>
        </w:rPr>
      </w:pPr>
      <w:r w:rsidRPr="00314EED">
        <w:rPr>
          <w:iCs/>
        </w:rPr>
        <w:t>Source: Table AACI.8.192, pp1840-1841, TB-2 Clinical Study Report.</w:t>
      </w:r>
    </w:p>
    <w:p w14:paraId="4640D33D" w14:textId="77777777" w:rsidR="0008002E" w:rsidRPr="00314EED" w:rsidRDefault="0008002E" w:rsidP="006C66C7">
      <w:pPr>
        <w:pStyle w:val="TableFooter"/>
        <w:keepNext/>
        <w:keepLines/>
        <w:rPr>
          <w:iCs/>
        </w:rPr>
      </w:pPr>
      <w:r w:rsidRPr="00BB059A">
        <w:rPr>
          <w:i/>
        </w:rPr>
        <w:t>APOE4</w:t>
      </w:r>
      <w:r w:rsidRPr="00314EED">
        <w:rPr>
          <w:iCs/>
        </w:rPr>
        <w:t>=apolipoprotein E4; ARIA-E or -H=amyloid related imaging abnormality – oedema or haemorrhage; Hetero=heterozygotes; Homo=homozygotes.</w:t>
      </w:r>
    </w:p>
    <w:p w14:paraId="3FF4A945" w14:textId="77777777" w:rsidR="0008002E" w:rsidRPr="00314EED" w:rsidRDefault="0008002E" w:rsidP="006C66C7">
      <w:pPr>
        <w:pStyle w:val="TableFooter"/>
        <w:keepNext/>
        <w:keepLines/>
        <w:rPr>
          <w:iCs/>
        </w:rPr>
      </w:pPr>
      <w:r w:rsidRPr="00314EED">
        <w:rPr>
          <w:iCs/>
        </w:rPr>
        <w:t xml:space="preserve">Events occurred up to either the first visit date of long-term extension phase (LTE) – 1 day or end of treatment period in double </w:t>
      </w:r>
    </w:p>
    <w:p w14:paraId="280E9B4D" w14:textId="77777777" w:rsidR="0008002E" w:rsidRPr="00314EED" w:rsidRDefault="0008002E" w:rsidP="006C66C7">
      <w:pPr>
        <w:pStyle w:val="TableFooter"/>
        <w:keepNext/>
        <w:keepLines/>
        <w:rPr>
          <w:iCs/>
        </w:rPr>
      </w:pPr>
      <w:r w:rsidRPr="00314EED">
        <w:rPr>
          <w:iCs/>
        </w:rPr>
        <w:t xml:space="preserve">blinded phase + 57 days, whichever occurred first are included in this table. </w:t>
      </w:r>
    </w:p>
    <w:p w14:paraId="5368ADA4" w14:textId="77777777" w:rsidR="0008002E" w:rsidRPr="00314EED" w:rsidRDefault="0008002E" w:rsidP="006C66C7">
      <w:pPr>
        <w:pStyle w:val="TableFooter"/>
        <w:keepNext/>
        <w:keepLines/>
        <w:rPr>
          <w:iCs/>
        </w:rPr>
      </w:pPr>
      <w:r w:rsidRPr="00314EED">
        <w:rPr>
          <w:iCs/>
          <w:vertAlign w:val="superscript"/>
        </w:rPr>
        <w:t>a</w:t>
      </w:r>
      <w:r>
        <w:rPr>
          <w:iCs/>
          <w:vertAlign w:val="superscript"/>
        </w:rPr>
        <w:t xml:space="preserve"> </w:t>
      </w:r>
      <w:r w:rsidRPr="00314EED">
        <w:rPr>
          <w:iCs/>
        </w:rPr>
        <w:t xml:space="preserve">Patients with missing </w:t>
      </w:r>
      <w:r w:rsidRPr="00BB059A">
        <w:rPr>
          <w:i/>
        </w:rPr>
        <w:t xml:space="preserve">APOE4 </w:t>
      </w:r>
      <w:r w:rsidRPr="00314EED">
        <w:rPr>
          <w:iCs/>
        </w:rPr>
        <w:t xml:space="preserve">carrier status are excluded. </w:t>
      </w:r>
    </w:p>
    <w:p w14:paraId="71DA5028" w14:textId="77777777" w:rsidR="0008002E" w:rsidRPr="00314EED" w:rsidRDefault="0008002E" w:rsidP="006C66C7">
      <w:pPr>
        <w:pStyle w:val="TableFooter"/>
        <w:keepNext/>
        <w:keepLines/>
        <w:rPr>
          <w:iCs/>
        </w:rPr>
      </w:pPr>
      <w:r w:rsidRPr="00314EED">
        <w:rPr>
          <w:iCs/>
          <w:vertAlign w:val="superscript"/>
        </w:rPr>
        <w:t>b</w:t>
      </w:r>
      <w:r>
        <w:rPr>
          <w:iCs/>
          <w:vertAlign w:val="superscript"/>
        </w:rPr>
        <w:t xml:space="preserve"> </w:t>
      </w:r>
      <w:r w:rsidRPr="00314EED">
        <w:rPr>
          <w:iCs/>
        </w:rPr>
        <w:t>Treatment-emergent microhaemorrhage is based on new incidents of microhaemorrhages. Treatment-emergent superficial siderosis is based on new or worsening superficial siderosis.</w:t>
      </w:r>
    </w:p>
    <w:p w14:paraId="5F41F7BB" w14:textId="77777777" w:rsidR="0008002E" w:rsidRPr="00FA2A19" w:rsidRDefault="0008002E" w:rsidP="00DD02B1">
      <w:pPr>
        <w:pStyle w:val="3-BodyText"/>
        <w:numPr>
          <w:ilvl w:val="1"/>
          <w:numId w:val="23"/>
        </w:numPr>
        <w:spacing w:before="60" w:after="60"/>
        <w:ind w:left="709" w:hanging="709"/>
      </w:pPr>
      <w:r w:rsidRPr="00FA2A19">
        <w:t xml:space="preserve">Overall, a higher frequency of ARIA-E and ARIA-H events was observed for the </w:t>
      </w:r>
      <w:r w:rsidRPr="00FA2A19">
        <w:rPr>
          <w:i/>
        </w:rPr>
        <w:t xml:space="preserve">APOE4 </w:t>
      </w:r>
      <w:r w:rsidRPr="00FA2A19">
        <w:t>homozygotes compared to heterozygotes and non-carriers, with non-carriers having the lowest frequency of ARIA events.</w:t>
      </w:r>
    </w:p>
    <w:p w14:paraId="00C99BAD" w14:textId="77777777" w:rsidR="0008002E" w:rsidRPr="00FA2A19" w:rsidRDefault="0008002E" w:rsidP="00DD02B1">
      <w:pPr>
        <w:pStyle w:val="3-BodyText"/>
        <w:numPr>
          <w:ilvl w:val="1"/>
          <w:numId w:val="23"/>
        </w:numPr>
        <w:spacing w:before="60" w:after="60"/>
        <w:ind w:left="709" w:hanging="709"/>
      </w:pPr>
      <w:r w:rsidRPr="00FA2A19">
        <w:t xml:space="preserve">However, the frequency of ARIA in TB-2 was substantially higher in the donanemab arm versus the placebo arm regardless of </w:t>
      </w:r>
      <w:r w:rsidRPr="00FA2A19">
        <w:rPr>
          <w:i/>
        </w:rPr>
        <w:t>APOE4</w:t>
      </w:r>
      <w:r w:rsidRPr="00FA2A19">
        <w:t xml:space="preserve"> carrier status. The percentage of </w:t>
      </w:r>
      <w:r w:rsidRPr="00FA2A19">
        <w:rPr>
          <w:i/>
        </w:rPr>
        <w:t>APOE4</w:t>
      </w:r>
      <w:r w:rsidRPr="00FA2A19">
        <w:t xml:space="preserve"> heterozygotes and non-carrier patients (included in the proposed PBS target population), who experienced at least one ARIA event, was approximately 14 fold in the donanemab arm versus the placebo arm for ARIA-E (38.5% [22.8% + 15.7%] vs. 2.7% [1.9% + 0.8%]), more than two fold for ARIA-H (51.1% [32.3% + 18.8%] vs. 23.2% [12.0% + 11.2%]), with approximately two fold for ARIA-H microhaemorrhage (42.1% [26.8% + 15.3%] vs. 21.3% [10.5% + 10.8%]) and seven fold for ARIA-H superficial siderosis (24.1% [16.6% + 7.5%] vs. 3.7% [2.5% + 1.2%]).</w:t>
      </w:r>
    </w:p>
    <w:p w14:paraId="5165EE0D" w14:textId="77777777" w:rsidR="0008002E" w:rsidRPr="00FA2A19" w:rsidRDefault="0008002E" w:rsidP="00DD02B1">
      <w:pPr>
        <w:pStyle w:val="3-BodyText"/>
        <w:numPr>
          <w:ilvl w:val="1"/>
          <w:numId w:val="23"/>
        </w:numPr>
        <w:spacing w:before="60" w:after="60"/>
        <w:ind w:left="709" w:hanging="709"/>
      </w:pPr>
      <w:r w:rsidRPr="00FA2A19">
        <w:t xml:space="preserve">A concern is also raised regarding the significant percentage of ARIA events in the subgroup of non-carriers that have the lowest risk of ARIA events. In non-carriers, the frequency of ARIA-E was approximately 16% and that of ARIA-H was approximately 19%. </w:t>
      </w:r>
    </w:p>
    <w:p w14:paraId="4E6A3706" w14:textId="77777777" w:rsidR="0008002E" w:rsidRPr="00FA2A19" w:rsidRDefault="0008002E" w:rsidP="00DD02B1">
      <w:pPr>
        <w:pStyle w:val="3-BodyText"/>
        <w:numPr>
          <w:ilvl w:val="1"/>
          <w:numId w:val="23"/>
        </w:numPr>
        <w:spacing w:before="60" w:after="60"/>
        <w:ind w:left="709" w:hanging="709"/>
      </w:pPr>
      <w:r w:rsidRPr="00FA2A19">
        <w:t xml:space="preserve">The safety data should be interpreted in the context that several measures were taken in the TB trials to mitigate the risk of ARIA which included the exclusion of patients with pre-existing ARIA, &gt;4 microhaemorrhages; &gt;1 area of superficial siderosis; any macrohaemorrhage; or severe white matter disease, the conduct of regular MRI scans as per protocol-based Schedule of Activities, performance of unscheduled MRIs at the </w:t>
      </w:r>
      <w:r w:rsidRPr="00FA2A19">
        <w:lastRenderedPageBreak/>
        <w:t>investigator’s discretion, and provision of guidance on the prompt management of an ARIA event.</w:t>
      </w:r>
    </w:p>
    <w:p w14:paraId="5BCDBF5D" w14:textId="56F8A19C" w:rsidR="0008002E" w:rsidRPr="00FA2A19" w:rsidRDefault="0008002E" w:rsidP="00DD02B1">
      <w:pPr>
        <w:pStyle w:val="3-BodyText"/>
        <w:numPr>
          <w:ilvl w:val="1"/>
          <w:numId w:val="23"/>
        </w:numPr>
        <w:spacing w:before="60" w:after="60"/>
        <w:ind w:left="709" w:hanging="709"/>
      </w:pPr>
      <w:r w:rsidRPr="00FA2A19">
        <w:t xml:space="preserve">The submission presented supplementary safety-related information on the enhanced titration dosing regimen. At Week 24 of the TB-6 study, the enhanced titration dosing regimen met the primary safety endpoint showing a reduction </w:t>
      </w:r>
      <w:r w:rsidR="00E27AD0">
        <w:t xml:space="preserve">in risk </w:t>
      </w:r>
      <w:r w:rsidRPr="00FA2A19">
        <w:t>in ARIA-E frequency compared to the standard dosing regimen. The proportion of participants with ARIA-E by 24 weeks was greater in the standard dosing group compared to the enhanced titration dosing arm (23.7% vs. 13.7%), and the absolute difference of 10.0% was statistically significant (p=0.012).</w:t>
      </w:r>
    </w:p>
    <w:p w14:paraId="7F3338FC" w14:textId="77777777" w:rsidR="0008002E" w:rsidRPr="00EE0EEB" w:rsidRDefault="0008002E" w:rsidP="0008002E">
      <w:pPr>
        <w:pStyle w:val="4-SubsectionHeading"/>
      </w:pPr>
      <w:r w:rsidRPr="00EE0EEB">
        <w:t>Benefits/ harms</w:t>
      </w:r>
    </w:p>
    <w:p w14:paraId="6B1E1275" w14:textId="75FBB786" w:rsidR="0008002E" w:rsidRPr="00FA2A19" w:rsidRDefault="0008002E" w:rsidP="00DD02B1">
      <w:pPr>
        <w:pStyle w:val="3-BodyText"/>
        <w:numPr>
          <w:ilvl w:val="1"/>
          <w:numId w:val="23"/>
        </w:numPr>
        <w:spacing w:before="60" w:after="60"/>
        <w:ind w:left="709" w:hanging="709"/>
      </w:pPr>
      <w:r w:rsidRPr="00FA2A19">
        <w:t xml:space="preserve">A summary of the comparative benefits and harms for donanemab versus placebo at 18 months in the key TB-2 trial is presented in </w:t>
      </w:r>
      <w:r w:rsidR="00042B9E">
        <w:fldChar w:fldCharType="begin"/>
      </w:r>
      <w:r w:rsidR="00042B9E">
        <w:instrText xml:space="preserve"> REF _Ref204780104 \h </w:instrText>
      </w:r>
      <w:r w:rsidR="00042B9E">
        <w:fldChar w:fldCharType="separate"/>
      </w:r>
      <w:r w:rsidR="00392423">
        <w:t xml:space="preserve">Table </w:t>
      </w:r>
      <w:r w:rsidR="00392423">
        <w:rPr>
          <w:noProof/>
        </w:rPr>
        <w:t>17</w:t>
      </w:r>
      <w:r w:rsidR="00042B9E">
        <w:fldChar w:fldCharType="end"/>
      </w:r>
      <w:r w:rsidRPr="00FA2A19">
        <w:t xml:space="preserve"> below.</w:t>
      </w:r>
    </w:p>
    <w:p w14:paraId="7BB6F688" w14:textId="77777777" w:rsidR="0008002E" w:rsidRPr="00EE0EEB" w:rsidRDefault="0008002E" w:rsidP="0008002E">
      <w:pPr>
        <w:spacing w:before="0" w:line="259" w:lineRule="auto"/>
        <w:jc w:val="left"/>
      </w:pPr>
      <w:r w:rsidRPr="00EE0EEB">
        <w:br w:type="page"/>
      </w:r>
    </w:p>
    <w:p w14:paraId="351CAC21" w14:textId="3EF78EE0" w:rsidR="0008002E" w:rsidRPr="00EE0EEB" w:rsidRDefault="00042B9E" w:rsidP="00042B9E">
      <w:pPr>
        <w:pStyle w:val="Caption"/>
      </w:pPr>
      <w:bookmarkStart w:id="42" w:name="_Ref204780104"/>
      <w:r>
        <w:lastRenderedPageBreak/>
        <w:t xml:space="preserve">Table </w:t>
      </w:r>
      <w:r>
        <w:fldChar w:fldCharType="begin"/>
      </w:r>
      <w:r>
        <w:instrText xml:space="preserve"> SEQ Table \* ARABIC </w:instrText>
      </w:r>
      <w:r>
        <w:fldChar w:fldCharType="separate"/>
      </w:r>
      <w:r w:rsidR="00392423">
        <w:rPr>
          <w:noProof/>
        </w:rPr>
        <w:t>17</w:t>
      </w:r>
      <w:r>
        <w:fldChar w:fldCharType="end"/>
      </w:r>
      <w:bookmarkEnd w:id="42"/>
      <w:r w:rsidR="00CC40F2">
        <w:t xml:space="preserve">: </w:t>
      </w:r>
      <w:r w:rsidR="0008002E" w:rsidRPr="00EE0EEB">
        <w:t>TB-2: Summary of comparative benefits and harms for donanemab (700 mg Q4W for the first three doses, followed thereafter by 1,400 mg Q4W) compared with placebo (overall population) – 76 weeks follow-up</w:t>
      </w:r>
    </w:p>
    <w:tbl>
      <w:tblPr>
        <w:tblStyle w:val="TableGrid10"/>
        <w:tblW w:w="5000" w:type="pct"/>
        <w:tblLook w:val="04A0" w:firstRow="1" w:lastRow="0" w:firstColumn="1" w:lastColumn="0" w:noHBand="0" w:noVBand="1"/>
        <w:tblCaption w:val="Table 17: TB-2: Summary of comparative benefits and harms for donanemab (700 mg Q4W for the first three doses, followed thereafter by 1,400 mg Q4W) compared with placebo (overall population) – 76 weeks follow-up"/>
      </w:tblPr>
      <w:tblGrid>
        <w:gridCol w:w="1900"/>
        <w:gridCol w:w="1542"/>
        <w:gridCol w:w="1874"/>
        <w:gridCol w:w="979"/>
        <w:gridCol w:w="930"/>
        <w:gridCol w:w="1791"/>
      </w:tblGrid>
      <w:tr w:rsidR="0008002E" w:rsidRPr="00314EED" w14:paraId="37561552" w14:textId="77777777" w:rsidTr="00E81465">
        <w:trPr>
          <w:cantSplit/>
          <w:tblHeader/>
        </w:trPr>
        <w:tc>
          <w:tcPr>
            <w:tcW w:w="2948" w:type="pct"/>
            <w:gridSpan w:val="3"/>
            <w:tcBorders>
              <w:bottom w:val="double" w:sz="4" w:space="0" w:color="000000" w:themeColor="text1"/>
            </w:tcBorders>
            <w:tcMar>
              <w:left w:w="20" w:type="dxa"/>
              <w:right w:w="20" w:type="dxa"/>
            </w:tcMar>
          </w:tcPr>
          <w:p w14:paraId="2804370C" w14:textId="77777777" w:rsidR="0008002E" w:rsidRPr="00314EED" w:rsidRDefault="0008002E" w:rsidP="00E81465">
            <w:pPr>
              <w:pStyle w:val="TableText"/>
              <w:keepNext/>
              <w:rPr>
                <w:b/>
                <w:bCs/>
                <w:lang w:val="en-AU"/>
              </w:rPr>
            </w:pPr>
            <w:r w:rsidRPr="00314EED">
              <w:rPr>
                <w:b/>
                <w:lang w:val="en-AU"/>
              </w:rPr>
              <w:t>Outcome</w:t>
            </w:r>
          </w:p>
        </w:tc>
        <w:tc>
          <w:tcPr>
            <w:tcW w:w="1059" w:type="pct"/>
            <w:gridSpan w:val="2"/>
            <w:tcBorders>
              <w:bottom w:val="double" w:sz="4" w:space="0" w:color="000000" w:themeColor="text1"/>
            </w:tcBorders>
            <w:tcMar>
              <w:left w:w="20" w:type="dxa"/>
              <w:right w:w="20" w:type="dxa"/>
            </w:tcMar>
          </w:tcPr>
          <w:p w14:paraId="44C07EA8" w14:textId="77777777" w:rsidR="0008002E" w:rsidRPr="00314EED" w:rsidRDefault="0008002E" w:rsidP="00E81465">
            <w:pPr>
              <w:pStyle w:val="TableNumber"/>
              <w:keepNext/>
              <w:rPr>
                <w:b/>
                <w:bCs/>
                <w:lang w:val="en-AU"/>
              </w:rPr>
            </w:pPr>
            <w:r w:rsidRPr="00314EED">
              <w:rPr>
                <w:b/>
                <w:lang w:val="en-AU"/>
              </w:rPr>
              <w:t>Donanemab</w:t>
            </w:r>
          </w:p>
        </w:tc>
        <w:tc>
          <w:tcPr>
            <w:tcW w:w="993" w:type="pct"/>
            <w:tcBorders>
              <w:bottom w:val="double" w:sz="4" w:space="0" w:color="000000" w:themeColor="text1"/>
            </w:tcBorders>
            <w:tcMar>
              <w:left w:w="20" w:type="dxa"/>
              <w:right w:w="20" w:type="dxa"/>
            </w:tcMar>
          </w:tcPr>
          <w:p w14:paraId="27C7CED2" w14:textId="77777777" w:rsidR="0008002E" w:rsidRPr="00314EED" w:rsidRDefault="0008002E" w:rsidP="00E81465">
            <w:pPr>
              <w:pStyle w:val="TableNumber"/>
              <w:keepNext/>
              <w:rPr>
                <w:b/>
                <w:bCs/>
                <w:lang w:val="en-AU"/>
              </w:rPr>
            </w:pPr>
            <w:r w:rsidRPr="00314EED">
              <w:rPr>
                <w:b/>
                <w:lang w:val="en-AU"/>
              </w:rPr>
              <w:t>Placebo</w:t>
            </w:r>
          </w:p>
        </w:tc>
      </w:tr>
      <w:tr w:rsidR="0008002E" w:rsidRPr="00314EED" w14:paraId="5AAF993A" w14:textId="77777777" w:rsidTr="00E81465">
        <w:trPr>
          <w:cantSplit/>
        </w:trPr>
        <w:tc>
          <w:tcPr>
            <w:tcW w:w="5000" w:type="pct"/>
            <w:gridSpan w:val="6"/>
            <w:tcBorders>
              <w:top w:val="double" w:sz="4" w:space="0" w:color="000000" w:themeColor="text1"/>
              <w:left w:val="double" w:sz="4" w:space="0" w:color="000000" w:themeColor="text1"/>
              <w:bottom w:val="double" w:sz="4" w:space="0" w:color="000000" w:themeColor="text1"/>
              <w:right w:val="double" w:sz="4" w:space="0" w:color="000000" w:themeColor="text1"/>
            </w:tcBorders>
            <w:tcMar>
              <w:left w:w="20" w:type="dxa"/>
              <w:right w:w="20" w:type="dxa"/>
            </w:tcMar>
          </w:tcPr>
          <w:p w14:paraId="7C7CCC1E" w14:textId="77777777" w:rsidR="0008002E" w:rsidRPr="00314EED" w:rsidRDefault="0008002E" w:rsidP="00E81465">
            <w:pPr>
              <w:pStyle w:val="TableText"/>
              <w:keepNext/>
              <w:rPr>
                <w:b/>
                <w:bCs/>
                <w:lang w:val="en-AU"/>
              </w:rPr>
            </w:pPr>
            <w:r w:rsidRPr="00314EED">
              <w:rPr>
                <w:b/>
                <w:lang w:val="en-AU"/>
              </w:rPr>
              <w:t>Benefits (Evaluable Efficacy Set)</w:t>
            </w:r>
          </w:p>
        </w:tc>
      </w:tr>
      <w:tr w:rsidR="0008002E" w:rsidRPr="00314EED" w14:paraId="123CFD1C" w14:textId="77777777" w:rsidTr="00E81465">
        <w:trPr>
          <w:cantSplit/>
        </w:trPr>
        <w:tc>
          <w:tcPr>
            <w:tcW w:w="2948" w:type="pct"/>
            <w:gridSpan w:val="3"/>
            <w:tcBorders>
              <w:top w:val="doub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1D962981" w14:textId="77777777" w:rsidR="0008002E" w:rsidRPr="00314EED" w:rsidRDefault="0008002E" w:rsidP="00E81465">
            <w:pPr>
              <w:pStyle w:val="TableText"/>
              <w:keepNext/>
              <w:rPr>
                <w:b/>
                <w:bCs/>
                <w:lang w:val="en-AU"/>
              </w:rPr>
            </w:pPr>
            <w:r w:rsidRPr="00314EED">
              <w:rPr>
                <w:b/>
                <w:lang w:val="en-AU"/>
              </w:rPr>
              <w:t>Primary outcome of iADRS</w:t>
            </w:r>
            <w:r w:rsidRPr="00314EED">
              <w:rPr>
                <w:b/>
                <w:vertAlign w:val="superscript"/>
                <w:lang w:val="en-AU"/>
              </w:rPr>
              <w:t>a</w:t>
            </w:r>
            <w:r w:rsidRPr="00314EED">
              <w:rPr>
                <w:b/>
                <w:lang w:val="en-AU"/>
              </w:rPr>
              <w:t xml:space="preserve"> change from baseline at 76 weeks</w:t>
            </w:r>
          </w:p>
        </w:tc>
        <w:tc>
          <w:tcPr>
            <w:tcW w:w="1059" w:type="pct"/>
            <w:gridSpan w:val="2"/>
            <w:tcBorders>
              <w:top w:val="doub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24C2EEC4" w14:textId="77777777" w:rsidR="0008002E" w:rsidRPr="00314EED" w:rsidRDefault="0008002E" w:rsidP="00E81465">
            <w:pPr>
              <w:pStyle w:val="TableText"/>
              <w:keepNext/>
              <w:jc w:val="center"/>
              <w:rPr>
                <w:b/>
                <w:bCs/>
                <w:lang w:val="en-AU"/>
              </w:rPr>
            </w:pPr>
            <w:r w:rsidRPr="00314EED">
              <w:rPr>
                <w:b/>
                <w:lang w:val="en-AU"/>
              </w:rPr>
              <w:t>N=583</w:t>
            </w:r>
          </w:p>
        </w:tc>
        <w:tc>
          <w:tcPr>
            <w:tcW w:w="993" w:type="pct"/>
            <w:tcBorders>
              <w:top w:val="doub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654E91D1" w14:textId="77777777" w:rsidR="0008002E" w:rsidRPr="00314EED" w:rsidRDefault="0008002E" w:rsidP="00E81465">
            <w:pPr>
              <w:pStyle w:val="TableText"/>
              <w:keepNext/>
              <w:rPr>
                <w:b/>
                <w:bCs/>
                <w:lang w:val="en-AU"/>
              </w:rPr>
            </w:pPr>
            <w:r w:rsidRPr="00314EED">
              <w:rPr>
                <w:b/>
                <w:lang w:val="en-AU"/>
              </w:rPr>
              <w:t>N=653</w:t>
            </w:r>
          </w:p>
        </w:tc>
      </w:tr>
      <w:tr w:rsidR="0008002E" w:rsidRPr="00314EED" w14:paraId="687028AD" w14:textId="77777777" w:rsidTr="00E81465">
        <w:trPr>
          <w:cantSplit/>
        </w:trPr>
        <w:tc>
          <w:tcPr>
            <w:tcW w:w="2948" w:type="pct"/>
            <w:gridSpan w:val="3"/>
            <w:tcBorders>
              <w:top w:val="single" w:sz="4" w:space="0" w:color="000000" w:themeColor="text1"/>
            </w:tcBorders>
            <w:tcMar>
              <w:left w:w="20" w:type="dxa"/>
              <w:right w:w="20" w:type="dxa"/>
            </w:tcMar>
          </w:tcPr>
          <w:p w14:paraId="48C6CA27" w14:textId="77777777" w:rsidR="0008002E" w:rsidRPr="00314EED" w:rsidRDefault="0008002E" w:rsidP="00E81465">
            <w:pPr>
              <w:pStyle w:val="TableText"/>
              <w:keepNext/>
              <w:rPr>
                <w:lang w:val="en-AU"/>
              </w:rPr>
            </w:pPr>
            <w:r w:rsidRPr="00314EED">
              <w:rPr>
                <w:lang w:val="en-AU"/>
              </w:rPr>
              <w:t xml:space="preserve">Mean change from baseline </w:t>
            </w:r>
          </w:p>
        </w:tc>
        <w:tc>
          <w:tcPr>
            <w:tcW w:w="1059" w:type="pct"/>
            <w:gridSpan w:val="2"/>
            <w:tcBorders>
              <w:top w:val="single" w:sz="4" w:space="0" w:color="000000" w:themeColor="text1"/>
            </w:tcBorders>
            <w:tcMar>
              <w:left w:w="20" w:type="dxa"/>
              <w:right w:w="20" w:type="dxa"/>
            </w:tcMar>
          </w:tcPr>
          <w:p w14:paraId="0D460FBD" w14:textId="77777777" w:rsidR="0008002E" w:rsidRPr="00314EED" w:rsidRDefault="0008002E" w:rsidP="00E81465">
            <w:pPr>
              <w:pStyle w:val="TableNumber"/>
              <w:keepNext/>
              <w:rPr>
                <w:lang w:val="en-AU"/>
              </w:rPr>
            </w:pPr>
            <w:r w:rsidRPr="00314EED">
              <w:rPr>
                <w:lang w:val="en-AU"/>
              </w:rPr>
              <w:t>-10.19</w:t>
            </w:r>
          </w:p>
        </w:tc>
        <w:tc>
          <w:tcPr>
            <w:tcW w:w="993" w:type="pct"/>
            <w:tcBorders>
              <w:top w:val="single" w:sz="4" w:space="0" w:color="000000" w:themeColor="text1"/>
            </w:tcBorders>
            <w:tcMar>
              <w:left w:w="20" w:type="dxa"/>
              <w:right w:w="20" w:type="dxa"/>
            </w:tcMar>
          </w:tcPr>
          <w:p w14:paraId="53D689C5" w14:textId="77777777" w:rsidR="0008002E" w:rsidRPr="00314EED" w:rsidRDefault="0008002E" w:rsidP="00E81465">
            <w:pPr>
              <w:pStyle w:val="TableNumber"/>
              <w:keepNext/>
              <w:rPr>
                <w:lang w:val="en-AU"/>
              </w:rPr>
            </w:pPr>
            <w:r w:rsidRPr="00314EED">
              <w:rPr>
                <w:lang w:val="en-AU"/>
              </w:rPr>
              <w:t>-13.11</w:t>
            </w:r>
          </w:p>
        </w:tc>
      </w:tr>
      <w:tr w:rsidR="0008002E" w:rsidRPr="00314EED" w14:paraId="7D57D3A2" w14:textId="77777777" w:rsidTr="00E81465">
        <w:trPr>
          <w:cantSplit/>
          <w:trHeight w:val="290"/>
        </w:trPr>
        <w:tc>
          <w:tcPr>
            <w:tcW w:w="2948" w:type="pct"/>
            <w:gridSpan w:val="3"/>
            <w:tcMar>
              <w:left w:w="20" w:type="dxa"/>
              <w:right w:w="20" w:type="dxa"/>
            </w:tcMar>
          </w:tcPr>
          <w:p w14:paraId="31D55415" w14:textId="77777777" w:rsidR="0008002E" w:rsidRPr="00314EED" w:rsidRDefault="0008002E" w:rsidP="00E81465">
            <w:pPr>
              <w:pStyle w:val="TableText"/>
              <w:keepNext/>
              <w:rPr>
                <w:lang w:val="en-AU"/>
              </w:rPr>
            </w:pPr>
            <w:r w:rsidRPr="00314EED">
              <w:rPr>
                <w:lang w:val="en-AU"/>
              </w:rPr>
              <w:t xml:space="preserve">Difference in mean change donanemab minus placebo (95% CI) </w:t>
            </w:r>
          </w:p>
        </w:tc>
        <w:tc>
          <w:tcPr>
            <w:tcW w:w="2052" w:type="pct"/>
            <w:gridSpan w:val="3"/>
            <w:tcMar>
              <w:left w:w="20" w:type="dxa"/>
              <w:right w:w="20" w:type="dxa"/>
            </w:tcMar>
          </w:tcPr>
          <w:p w14:paraId="60077E4C" w14:textId="77777777" w:rsidR="0008002E" w:rsidRPr="00314EED" w:rsidRDefault="0008002E" w:rsidP="00E81465">
            <w:pPr>
              <w:pStyle w:val="TableNumber"/>
              <w:keepNext/>
              <w:ind w:left="360"/>
              <w:rPr>
                <w:lang w:val="en-AU"/>
              </w:rPr>
            </w:pPr>
            <w:r w:rsidRPr="00314EED">
              <w:rPr>
                <w:lang w:val="en-AU"/>
              </w:rPr>
              <w:t>2.93 (1.51, 4.33)</w:t>
            </w:r>
          </w:p>
          <w:p w14:paraId="1A850D31" w14:textId="77777777" w:rsidR="0008002E" w:rsidRPr="00314EED" w:rsidRDefault="0008002E" w:rsidP="00E81465">
            <w:pPr>
              <w:pStyle w:val="TableNumber"/>
              <w:keepNext/>
              <w:rPr>
                <w:lang w:val="en-AU"/>
              </w:rPr>
            </w:pPr>
            <w:r w:rsidRPr="00314EED">
              <w:rPr>
                <w:lang w:val="en-AU"/>
              </w:rPr>
              <w:t>p&lt;0.001</w:t>
            </w:r>
          </w:p>
        </w:tc>
      </w:tr>
      <w:tr w:rsidR="0008002E" w:rsidRPr="00314EED" w14:paraId="18DFA26D" w14:textId="77777777" w:rsidTr="00E81465">
        <w:trPr>
          <w:cantSplit/>
          <w:trHeight w:val="215"/>
        </w:trPr>
        <w:tc>
          <w:tcPr>
            <w:tcW w:w="2948" w:type="pct"/>
            <w:gridSpan w:val="3"/>
            <w:tcBorders>
              <w:bottom w:val="single" w:sz="4" w:space="0" w:color="000000" w:themeColor="text1"/>
            </w:tcBorders>
            <w:tcMar>
              <w:left w:w="20" w:type="dxa"/>
              <w:right w:w="20" w:type="dxa"/>
            </w:tcMar>
          </w:tcPr>
          <w:p w14:paraId="2D5EEEF4" w14:textId="77777777" w:rsidR="0008002E" w:rsidRPr="00314EED" w:rsidRDefault="0008002E" w:rsidP="00E81465">
            <w:pPr>
              <w:pStyle w:val="TableText"/>
              <w:keepNext/>
              <w:rPr>
                <w:bCs/>
                <w:lang w:val="en-AU"/>
              </w:rPr>
            </w:pPr>
            <w:r w:rsidRPr="00314EED">
              <w:rPr>
                <w:lang w:val="en-AU"/>
              </w:rPr>
              <w:t>% reduction (slowing) in disease decline, donanemab vs. placebo (delay in decline)</w:t>
            </w:r>
          </w:p>
        </w:tc>
        <w:tc>
          <w:tcPr>
            <w:tcW w:w="2052" w:type="pct"/>
            <w:gridSpan w:val="3"/>
            <w:tcBorders>
              <w:bottom w:val="single" w:sz="4" w:space="0" w:color="000000" w:themeColor="text1"/>
            </w:tcBorders>
            <w:tcMar>
              <w:left w:w="20" w:type="dxa"/>
              <w:right w:w="20" w:type="dxa"/>
            </w:tcMar>
          </w:tcPr>
          <w:p w14:paraId="2E01DF48" w14:textId="77777777" w:rsidR="0008002E" w:rsidRPr="00314EED" w:rsidRDefault="0008002E" w:rsidP="00E81465">
            <w:pPr>
              <w:pStyle w:val="TableText"/>
              <w:keepNext/>
              <w:jc w:val="center"/>
              <w:rPr>
                <w:lang w:val="en-AU"/>
              </w:rPr>
            </w:pPr>
            <w:r w:rsidRPr="00314EED">
              <w:rPr>
                <w:lang w:val="en-AU"/>
              </w:rPr>
              <w:t>22.3% (1.38 months delay)</w:t>
            </w:r>
          </w:p>
        </w:tc>
      </w:tr>
      <w:tr w:rsidR="0008002E" w:rsidRPr="00314EED" w14:paraId="1E28EC60" w14:textId="77777777" w:rsidTr="00E81465">
        <w:trPr>
          <w:cantSplit/>
          <w:trHeight w:val="215"/>
        </w:trPr>
        <w:tc>
          <w:tcPr>
            <w:tcW w:w="294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5666FE32" w14:textId="77777777" w:rsidR="0008002E" w:rsidRPr="00314EED" w:rsidRDefault="0008002E" w:rsidP="00E81465">
            <w:pPr>
              <w:pStyle w:val="TableText"/>
              <w:keepNext/>
              <w:rPr>
                <w:lang w:val="en-AU"/>
              </w:rPr>
            </w:pPr>
            <w:r w:rsidRPr="00314EED">
              <w:rPr>
                <w:b/>
                <w:lang w:val="en-AU"/>
              </w:rPr>
              <w:t>Secondary outcome of CDR-SB change from baseline at 76 weeks</w:t>
            </w:r>
          </w:p>
        </w:tc>
        <w:tc>
          <w:tcPr>
            <w:tcW w:w="105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4832B2C2" w14:textId="77777777" w:rsidR="0008002E" w:rsidRPr="00314EED" w:rsidRDefault="0008002E" w:rsidP="00E81465">
            <w:pPr>
              <w:pStyle w:val="TableText"/>
              <w:keepNext/>
              <w:jc w:val="center"/>
              <w:rPr>
                <w:lang w:val="en-AU"/>
              </w:rPr>
            </w:pPr>
            <w:r w:rsidRPr="00314EED">
              <w:rPr>
                <w:b/>
                <w:lang w:val="en-AU"/>
              </w:rPr>
              <w:t>N=598</w:t>
            </w: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5C009A36" w14:textId="77777777" w:rsidR="0008002E" w:rsidRPr="00314EED" w:rsidRDefault="0008002E" w:rsidP="00E81465">
            <w:pPr>
              <w:pStyle w:val="TableText"/>
              <w:keepNext/>
              <w:jc w:val="center"/>
              <w:rPr>
                <w:lang w:val="en-AU"/>
              </w:rPr>
            </w:pPr>
            <w:r w:rsidRPr="00314EED">
              <w:rPr>
                <w:b/>
                <w:lang w:val="en-AU"/>
              </w:rPr>
              <w:t>N=672</w:t>
            </w:r>
          </w:p>
        </w:tc>
      </w:tr>
      <w:tr w:rsidR="0008002E" w:rsidRPr="00314EED" w14:paraId="691E3133" w14:textId="77777777" w:rsidTr="00E81465">
        <w:trPr>
          <w:cantSplit/>
          <w:trHeight w:val="215"/>
        </w:trPr>
        <w:tc>
          <w:tcPr>
            <w:tcW w:w="2948" w:type="pct"/>
            <w:gridSpan w:val="3"/>
            <w:tcBorders>
              <w:top w:val="single" w:sz="4" w:space="0" w:color="000000" w:themeColor="text1"/>
            </w:tcBorders>
            <w:tcMar>
              <w:left w:w="20" w:type="dxa"/>
              <w:right w:w="20" w:type="dxa"/>
            </w:tcMar>
          </w:tcPr>
          <w:p w14:paraId="2300E1CA" w14:textId="77777777" w:rsidR="0008002E" w:rsidRPr="00314EED" w:rsidRDefault="0008002E" w:rsidP="00E81465">
            <w:pPr>
              <w:pStyle w:val="TableText"/>
              <w:keepNext/>
              <w:rPr>
                <w:lang w:val="en-AU"/>
              </w:rPr>
            </w:pPr>
            <w:r w:rsidRPr="00314EED">
              <w:rPr>
                <w:lang w:val="en-AU"/>
              </w:rPr>
              <w:t>Mean change from baseline</w:t>
            </w:r>
          </w:p>
        </w:tc>
        <w:tc>
          <w:tcPr>
            <w:tcW w:w="1059" w:type="pct"/>
            <w:gridSpan w:val="2"/>
            <w:tcBorders>
              <w:top w:val="single" w:sz="4" w:space="0" w:color="000000" w:themeColor="text1"/>
            </w:tcBorders>
            <w:tcMar>
              <w:left w:w="20" w:type="dxa"/>
              <w:right w:w="20" w:type="dxa"/>
            </w:tcMar>
          </w:tcPr>
          <w:p w14:paraId="73E2BDB9" w14:textId="77777777" w:rsidR="0008002E" w:rsidRPr="00314EED" w:rsidRDefault="0008002E" w:rsidP="00E81465">
            <w:pPr>
              <w:pStyle w:val="TableText"/>
              <w:keepNext/>
              <w:jc w:val="center"/>
              <w:rPr>
                <w:lang w:val="en-AU"/>
              </w:rPr>
            </w:pPr>
            <w:r w:rsidRPr="00314EED">
              <w:rPr>
                <w:lang w:val="en-AU"/>
              </w:rPr>
              <w:t>1.66</w:t>
            </w:r>
          </w:p>
        </w:tc>
        <w:tc>
          <w:tcPr>
            <w:tcW w:w="993" w:type="pct"/>
            <w:tcBorders>
              <w:top w:val="single" w:sz="4" w:space="0" w:color="000000" w:themeColor="text1"/>
            </w:tcBorders>
            <w:tcMar>
              <w:left w:w="20" w:type="dxa"/>
              <w:right w:w="20" w:type="dxa"/>
            </w:tcMar>
          </w:tcPr>
          <w:p w14:paraId="5C955D03" w14:textId="77777777" w:rsidR="0008002E" w:rsidRPr="00314EED" w:rsidRDefault="0008002E" w:rsidP="00E81465">
            <w:pPr>
              <w:pStyle w:val="TableText"/>
              <w:keepNext/>
              <w:jc w:val="center"/>
              <w:rPr>
                <w:lang w:val="en-AU"/>
              </w:rPr>
            </w:pPr>
            <w:r w:rsidRPr="00314EED">
              <w:rPr>
                <w:lang w:val="en-AU"/>
              </w:rPr>
              <w:t>2.33</w:t>
            </w:r>
          </w:p>
        </w:tc>
      </w:tr>
      <w:tr w:rsidR="0008002E" w:rsidRPr="00314EED" w14:paraId="5091A30E" w14:textId="77777777" w:rsidTr="00E81465">
        <w:trPr>
          <w:cantSplit/>
          <w:trHeight w:val="215"/>
        </w:trPr>
        <w:tc>
          <w:tcPr>
            <w:tcW w:w="2948" w:type="pct"/>
            <w:gridSpan w:val="3"/>
            <w:tcBorders>
              <w:bottom w:val="single" w:sz="4" w:space="0" w:color="000000" w:themeColor="text1"/>
            </w:tcBorders>
            <w:tcMar>
              <w:left w:w="20" w:type="dxa"/>
              <w:right w:w="20" w:type="dxa"/>
            </w:tcMar>
          </w:tcPr>
          <w:p w14:paraId="46526E0F" w14:textId="77777777" w:rsidR="0008002E" w:rsidRPr="00314EED" w:rsidRDefault="0008002E" w:rsidP="00E81465">
            <w:pPr>
              <w:pStyle w:val="TableText"/>
              <w:keepNext/>
              <w:rPr>
                <w:lang w:val="en-AU"/>
              </w:rPr>
            </w:pPr>
            <w:r w:rsidRPr="00314EED">
              <w:rPr>
                <w:lang w:val="en-AU"/>
              </w:rPr>
              <w:t>Difference in mean change donanemab minus placebo (95% CI)</w:t>
            </w:r>
          </w:p>
        </w:tc>
        <w:tc>
          <w:tcPr>
            <w:tcW w:w="2052" w:type="pct"/>
            <w:gridSpan w:val="3"/>
            <w:tcBorders>
              <w:bottom w:val="single" w:sz="4" w:space="0" w:color="000000" w:themeColor="text1"/>
            </w:tcBorders>
            <w:tcMar>
              <w:left w:w="20" w:type="dxa"/>
              <w:right w:w="20" w:type="dxa"/>
            </w:tcMar>
          </w:tcPr>
          <w:p w14:paraId="63550AF1" w14:textId="77777777" w:rsidR="0008002E" w:rsidRPr="00314EED" w:rsidRDefault="0008002E" w:rsidP="00E81465">
            <w:pPr>
              <w:pStyle w:val="TableText"/>
              <w:keepNext/>
              <w:jc w:val="center"/>
              <w:rPr>
                <w:lang w:val="en-AU"/>
              </w:rPr>
            </w:pPr>
            <w:r w:rsidRPr="00314EED">
              <w:rPr>
                <w:lang w:val="en-AU"/>
              </w:rPr>
              <w:t>-0.67 (-0.92, -0.43)</w:t>
            </w:r>
          </w:p>
        </w:tc>
      </w:tr>
      <w:tr w:rsidR="0008002E" w:rsidRPr="00314EED" w14:paraId="6FBBC4DB" w14:textId="77777777" w:rsidTr="00E81465">
        <w:trPr>
          <w:cantSplit/>
          <w:trHeight w:val="215"/>
        </w:trPr>
        <w:tc>
          <w:tcPr>
            <w:tcW w:w="2948" w:type="pct"/>
            <w:gridSpan w:val="3"/>
            <w:tcBorders>
              <w:bottom w:val="single" w:sz="4" w:space="0" w:color="000000" w:themeColor="text1"/>
            </w:tcBorders>
            <w:tcMar>
              <w:left w:w="20" w:type="dxa"/>
              <w:right w:w="20" w:type="dxa"/>
            </w:tcMar>
          </w:tcPr>
          <w:p w14:paraId="7E293250" w14:textId="77777777" w:rsidR="0008002E" w:rsidRPr="00314EED" w:rsidRDefault="0008002E" w:rsidP="00E81465">
            <w:pPr>
              <w:pStyle w:val="TableText"/>
              <w:keepNext/>
              <w:rPr>
                <w:lang w:val="en-AU"/>
              </w:rPr>
            </w:pPr>
            <w:r w:rsidRPr="00314EED">
              <w:rPr>
                <w:lang w:val="en-AU"/>
              </w:rPr>
              <w:t>% reduction (slowing) in disease decline, donanemab vs. placebo (delay in decline)</w:t>
            </w:r>
          </w:p>
        </w:tc>
        <w:tc>
          <w:tcPr>
            <w:tcW w:w="2052" w:type="pct"/>
            <w:gridSpan w:val="3"/>
            <w:tcBorders>
              <w:bottom w:val="single" w:sz="4" w:space="0" w:color="000000" w:themeColor="text1"/>
            </w:tcBorders>
            <w:tcMar>
              <w:left w:w="20" w:type="dxa"/>
              <w:right w:w="20" w:type="dxa"/>
            </w:tcMar>
          </w:tcPr>
          <w:p w14:paraId="0D7C2C4A" w14:textId="77777777" w:rsidR="0008002E" w:rsidRPr="00314EED" w:rsidRDefault="0008002E" w:rsidP="00E81465">
            <w:pPr>
              <w:pStyle w:val="TableText"/>
              <w:keepNext/>
              <w:jc w:val="center"/>
              <w:rPr>
                <w:lang w:val="en-AU"/>
              </w:rPr>
            </w:pPr>
            <w:r w:rsidRPr="00314EED">
              <w:rPr>
                <w:lang w:val="en-AU"/>
              </w:rPr>
              <w:t>28.9% (5.44 months delay)</w:t>
            </w:r>
          </w:p>
        </w:tc>
      </w:tr>
      <w:tr w:rsidR="0008002E" w:rsidRPr="00314EED" w14:paraId="56EC4435" w14:textId="77777777" w:rsidTr="00E81465">
        <w:trPr>
          <w:cantSplit/>
          <w:trHeight w:val="215"/>
        </w:trPr>
        <w:tc>
          <w:tcPr>
            <w:tcW w:w="2948" w:type="pct"/>
            <w:gridSpan w:val="3"/>
            <w:tcBorders>
              <w:bottom w:val="single" w:sz="4" w:space="0" w:color="000000" w:themeColor="text1"/>
            </w:tcBorders>
            <w:tcMar>
              <w:left w:w="20" w:type="dxa"/>
              <w:right w:w="20" w:type="dxa"/>
            </w:tcMar>
          </w:tcPr>
          <w:p w14:paraId="117C0BAF" w14:textId="150BD37C" w:rsidR="0008002E" w:rsidRPr="00314EED" w:rsidRDefault="0008002E" w:rsidP="00E81465">
            <w:pPr>
              <w:pStyle w:val="TableText"/>
              <w:keepNext/>
              <w:rPr>
                <w:b/>
                <w:bCs/>
                <w:lang w:val="en-AU"/>
              </w:rPr>
            </w:pPr>
            <w:r w:rsidRPr="00314EED">
              <w:rPr>
                <w:b/>
                <w:lang w:val="en-AU"/>
              </w:rPr>
              <w:t>CDR-G</w:t>
            </w:r>
            <w:r w:rsidRPr="00314EED">
              <w:rPr>
                <w:b/>
                <w:vertAlign w:val="superscript"/>
                <w:lang w:val="en-AU"/>
              </w:rPr>
              <w:t>b</w:t>
            </w:r>
            <w:r w:rsidRPr="00314EED">
              <w:rPr>
                <w:b/>
                <w:lang w:val="en-AU"/>
              </w:rPr>
              <w:t xml:space="preserve"> Shift from baseline (progression to a later stage)</w:t>
            </w:r>
          </w:p>
        </w:tc>
        <w:tc>
          <w:tcPr>
            <w:tcW w:w="105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5ED8F171" w14:textId="77777777" w:rsidR="0008002E" w:rsidRPr="00314EED" w:rsidRDefault="0008002E" w:rsidP="00E81465">
            <w:pPr>
              <w:pStyle w:val="TableText"/>
              <w:keepNext/>
              <w:jc w:val="center"/>
              <w:rPr>
                <w:lang w:val="en-AU"/>
              </w:rPr>
            </w:pP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0" w:type="dxa"/>
              <w:right w:w="20" w:type="dxa"/>
            </w:tcMar>
          </w:tcPr>
          <w:p w14:paraId="43B37715" w14:textId="77777777" w:rsidR="0008002E" w:rsidRPr="00314EED" w:rsidRDefault="0008002E" w:rsidP="00E81465">
            <w:pPr>
              <w:pStyle w:val="TableText"/>
              <w:keepNext/>
              <w:jc w:val="center"/>
              <w:rPr>
                <w:lang w:val="en-AU"/>
              </w:rPr>
            </w:pPr>
          </w:p>
        </w:tc>
      </w:tr>
      <w:tr w:rsidR="0008002E" w:rsidRPr="00314EED" w14:paraId="79EA71A8" w14:textId="77777777" w:rsidTr="00E81465">
        <w:trPr>
          <w:cantSplit/>
          <w:trHeight w:val="293"/>
        </w:trPr>
        <w:tc>
          <w:tcPr>
            <w:tcW w:w="2948" w:type="pct"/>
            <w:gridSpan w:val="3"/>
            <w:tcBorders>
              <w:bottom w:val="nil"/>
            </w:tcBorders>
            <w:tcMar>
              <w:left w:w="20" w:type="dxa"/>
              <w:right w:w="20" w:type="dxa"/>
            </w:tcMar>
          </w:tcPr>
          <w:p w14:paraId="41018E74" w14:textId="2AC46FFE" w:rsidR="0008002E" w:rsidRPr="00314EED" w:rsidRDefault="0008002E" w:rsidP="00E81465">
            <w:pPr>
              <w:pStyle w:val="TableText"/>
              <w:keepNext/>
              <w:rPr>
                <w:lang w:val="en-AU"/>
              </w:rPr>
            </w:pPr>
            <w:r w:rsidRPr="00314EED">
              <w:rPr>
                <w:lang w:val="en-AU"/>
              </w:rPr>
              <w:t>From 0.5 to 1</w:t>
            </w:r>
          </w:p>
          <w:p w14:paraId="73C2D2E0" w14:textId="4D092104" w:rsidR="0008002E" w:rsidRPr="00314EED" w:rsidRDefault="0008002E" w:rsidP="00E81465">
            <w:pPr>
              <w:pStyle w:val="TableText"/>
              <w:keepNext/>
              <w:rPr>
                <w:lang w:val="en-AU"/>
              </w:rPr>
            </w:pPr>
            <w:r w:rsidRPr="00314EED">
              <w:rPr>
                <w:lang w:val="en-AU"/>
              </w:rPr>
              <w:t>(MCI to Mild AD Dementia), n/N (%)</w:t>
            </w:r>
          </w:p>
        </w:tc>
        <w:tc>
          <w:tcPr>
            <w:tcW w:w="1059" w:type="pct"/>
            <w:gridSpan w:val="2"/>
            <w:tcBorders>
              <w:bottom w:val="single" w:sz="4" w:space="0" w:color="000000" w:themeColor="text1"/>
            </w:tcBorders>
            <w:tcMar>
              <w:left w:w="20" w:type="dxa"/>
              <w:right w:w="20" w:type="dxa"/>
            </w:tcMar>
          </w:tcPr>
          <w:p w14:paraId="1420DA4E" w14:textId="41A37EB3" w:rsidR="0008002E" w:rsidRPr="00314EED" w:rsidRDefault="0008002E" w:rsidP="00E81465">
            <w:pPr>
              <w:pStyle w:val="TableText"/>
              <w:keepNext/>
              <w:jc w:val="center"/>
              <w:rPr>
                <w:b/>
                <w:bCs/>
                <w:lang w:val="en-AU"/>
              </w:rPr>
            </w:pPr>
            <w:r w:rsidRPr="00314EED">
              <w:rPr>
                <w:b/>
                <w:lang w:val="en-AU"/>
              </w:rPr>
              <w:t>N=502</w:t>
            </w:r>
          </w:p>
          <w:p w14:paraId="4B63B0C9" w14:textId="38406F92" w:rsidR="0008002E" w:rsidRPr="00314EED" w:rsidRDefault="0008002E" w:rsidP="00E81465">
            <w:pPr>
              <w:pStyle w:val="TableText"/>
              <w:keepNext/>
              <w:jc w:val="center"/>
              <w:rPr>
                <w:lang w:val="en-AU"/>
              </w:rPr>
            </w:pPr>
            <w:r w:rsidRPr="00314EED">
              <w:rPr>
                <w:lang w:val="en-AU"/>
              </w:rPr>
              <w:t>134/502 (27%)</w:t>
            </w:r>
          </w:p>
        </w:tc>
        <w:tc>
          <w:tcPr>
            <w:tcW w:w="993" w:type="pct"/>
            <w:tcBorders>
              <w:bottom w:val="single" w:sz="4" w:space="0" w:color="000000" w:themeColor="text1"/>
            </w:tcBorders>
            <w:tcMar>
              <w:left w:w="20" w:type="dxa"/>
              <w:right w:w="20" w:type="dxa"/>
            </w:tcMar>
          </w:tcPr>
          <w:p w14:paraId="4A81EFAD" w14:textId="49126FC8" w:rsidR="0008002E" w:rsidRPr="00314EED" w:rsidRDefault="0008002E" w:rsidP="00E81465">
            <w:pPr>
              <w:pStyle w:val="TableText"/>
              <w:keepNext/>
              <w:jc w:val="center"/>
              <w:rPr>
                <w:b/>
                <w:bCs/>
                <w:lang w:val="en-AU"/>
              </w:rPr>
            </w:pPr>
            <w:r w:rsidRPr="00314EED">
              <w:rPr>
                <w:b/>
                <w:lang w:val="en-AU"/>
              </w:rPr>
              <w:t>N=521</w:t>
            </w:r>
          </w:p>
          <w:p w14:paraId="75D4A5D2" w14:textId="635726FF" w:rsidR="0008002E" w:rsidRPr="00314EED" w:rsidRDefault="0008002E" w:rsidP="00E81465">
            <w:pPr>
              <w:pStyle w:val="TableText"/>
              <w:keepNext/>
              <w:jc w:val="center"/>
              <w:rPr>
                <w:lang w:val="en-AU"/>
              </w:rPr>
            </w:pPr>
            <w:r w:rsidRPr="00314EED">
              <w:rPr>
                <w:lang w:val="en-AU"/>
              </w:rPr>
              <w:t>202/521 (39%)</w:t>
            </w:r>
          </w:p>
        </w:tc>
      </w:tr>
      <w:tr w:rsidR="0008002E" w:rsidRPr="00314EED" w14:paraId="1C86C109" w14:textId="77777777" w:rsidTr="00E81465">
        <w:trPr>
          <w:cantSplit/>
          <w:trHeight w:val="98"/>
        </w:trPr>
        <w:tc>
          <w:tcPr>
            <w:tcW w:w="2948" w:type="pct"/>
            <w:gridSpan w:val="3"/>
            <w:tcBorders>
              <w:top w:val="nil"/>
              <w:bottom w:val="single" w:sz="4" w:space="0" w:color="000000" w:themeColor="text1"/>
            </w:tcBorders>
            <w:tcMar>
              <w:left w:w="20" w:type="dxa"/>
              <w:right w:w="20" w:type="dxa"/>
            </w:tcMar>
          </w:tcPr>
          <w:p w14:paraId="32172A5A" w14:textId="44B1D4A5" w:rsidR="0008002E" w:rsidRPr="00314EED" w:rsidRDefault="0008002E" w:rsidP="00E81465">
            <w:pPr>
              <w:pStyle w:val="TableText"/>
              <w:keepNext/>
              <w:rPr>
                <w:lang w:val="en-AU"/>
              </w:rPr>
            </w:pPr>
            <w:r w:rsidRPr="00314EED">
              <w:rPr>
                <w:lang w:val="en-AU"/>
              </w:rPr>
              <w:t>Difference donanemab minus placebo</w:t>
            </w:r>
          </w:p>
        </w:tc>
        <w:tc>
          <w:tcPr>
            <w:tcW w:w="2052" w:type="pct"/>
            <w:gridSpan w:val="3"/>
            <w:tcBorders>
              <w:top w:val="single" w:sz="4" w:space="0" w:color="000000" w:themeColor="text1"/>
              <w:bottom w:val="single" w:sz="4" w:space="0" w:color="000000" w:themeColor="text1"/>
            </w:tcBorders>
            <w:tcMar>
              <w:left w:w="20" w:type="dxa"/>
              <w:right w:w="20" w:type="dxa"/>
            </w:tcMar>
          </w:tcPr>
          <w:p w14:paraId="3DC07CF6" w14:textId="724463B4" w:rsidR="0008002E" w:rsidRPr="00314EED" w:rsidRDefault="0008002E" w:rsidP="00E81465">
            <w:pPr>
              <w:pStyle w:val="TableText"/>
              <w:keepNext/>
              <w:jc w:val="center"/>
              <w:rPr>
                <w:lang w:val="en-AU"/>
              </w:rPr>
            </w:pPr>
            <w:r w:rsidRPr="00314EED">
              <w:rPr>
                <w:lang w:val="en-AU"/>
              </w:rPr>
              <w:t>-12.1%</w:t>
            </w:r>
          </w:p>
        </w:tc>
      </w:tr>
      <w:tr w:rsidR="0008002E" w:rsidRPr="00314EED" w14:paraId="5DF4F4FB" w14:textId="77777777" w:rsidTr="00E81465">
        <w:trPr>
          <w:cantSplit/>
          <w:trHeight w:val="293"/>
        </w:trPr>
        <w:tc>
          <w:tcPr>
            <w:tcW w:w="2948" w:type="pct"/>
            <w:gridSpan w:val="3"/>
            <w:tcBorders>
              <w:top w:val="single" w:sz="4" w:space="0" w:color="000000" w:themeColor="text1"/>
              <w:bottom w:val="nil"/>
            </w:tcBorders>
            <w:tcMar>
              <w:left w:w="20" w:type="dxa"/>
              <w:right w:w="20" w:type="dxa"/>
            </w:tcMar>
          </w:tcPr>
          <w:p w14:paraId="78A83DAC" w14:textId="7FFD3874" w:rsidR="0008002E" w:rsidRPr="00314EED" w:rsidRDefault="0008002E" w:rsidP="00E81465">
            <w:pPr>
              <w:pStyle w:val="TableText"/>
              <w:keepNext/>
              <w:rPr>
                <w:lang w:val="en-AU"/>
              </w:rPr>
            </w:pPr>
            <w:r w:rsidRPr="00314EED">
              <w:rPr>
                <w:lang w:val="en-AU"/>
              </w:rPr>
              <w:t>From 1 to 2</w:t>
            </w:r>
          </w:p>
          <w:p w14:paraId="6952F3A8" w14:textId="2E5A44FE" w:rsidR="0008002E" w:rsidRPr="00314EED" w:rsidRDefault="0008002E" w:rsidP="00E81465">
            <w:pPr>
              <w:pStyle w:val="TableText"/>
              <w:keepNext/>
              <w:rPr>
                <w:lang w:val="en-AU"/>
              </w:rPr>
            </w:pPr>
            <w:r w:rsidRPr="00314EED">
              <w:rPr>
                <w:lang w:val="en-AU"/>
              </w:rPr>
              <w:t>(Mild AD Dementia to Moderate AD Dementia), n/N (%)</w:t>
            </w:r>
          </w:p>
        </w:tc>
        <w:tc>
          <w:tcPr>
            <w:tcW w:w="1059" w:type="pct"/>
            <w:gridSpan w:val="2"/>
            <w:tcBorders>
              <w:bottom w:val="single" w:sz="4" w:space="0" w:color="000000" w:themeColor="text1"/>
            </w:tcBorders>
            <w:tcMar>
              <w:left w:w="20" w:type="dxa"/>
              <w:right w:w="20" w:type="dxa"/>
            </w:tcMar>
          </w:tcPr>
          <w:p w14:paraId="2E5A5DC2" w14:textId="2EE93803" w:rsidR="0008002E" w:rsidRPr="00314EED" w:rsidRDefault="0008002E" w:rsidP="00E81465">
            <w:pPr>
              <w:pStyle w:val="TableText"/>
              <w:keepNext/>
              <w:jc w:val="center"/>
              <w:rPr>
                <w:b/>
                <w:bCs/>
                <w:lang w:val="en-AU"/>
              </w:rPr>
            </w:pPr>
            <w:r w:rsidRPr="00314EED">
              <w:rPr>
                <w:b/>
                <w:lang w:val="en-AU"/>
              </w:rPr>
              <w:t>N=292</w:t>
            </w:r>
          </w:p>
          <w:p w14:paraId="5BCB9A44" w14:textId="44169D96" w:rsidR="0008002E" w:rsidRPr="00314EED" w:rsidRDefault="0008002E" w:rsidP="00E81465">
            <w:pPr>
              <w:pStyle w:val="TableText"/>
              <w:keepNext/>
              <w:jc w:val="center"/>
              <w:rPr>
                <w:lang w:val="en-AU"/>
              </w:rPr>
            </w:pPr>
            <w:r w:rsidRPr="00314EED">
              <w:rPr>
                <w:lang w:val="en-AU"/>
              </w:rPr>
              <w:t>51/292 (17.5%)</w:t>
            </w:r>
          </w:p>
        </w:tc>
        <w:tc>
          <w:tcPr>
            <w:tcW w:w="993" w:type="pct"/>
            <w:tcBorders>
              <w:bottom w:val="single" w:sz="4" w:space="0" w:color="000000" w:themeColor="text1"/>
            </w:tcBorders>
            <w:tcMar>
              <w:left w:w="20" w:type="dxa"/>
              <w:right w:w="20" w:type="dxa"/>
            </w:tcMar>
          </w:tcPr>
          <w:p w14:paraId="2CEA04C9" w14:textId="710022BD" w:rsidR="0008002E" w:rsidRPr="00314EED" w:rsidRDefault="0008002E" w:rsidP="00E81465">
            <w:pPr>
              <w:pStyle w:val="TableText"/>
              <w:keepNext/>
              <w:jc w:val="center"/>
              <w:rPr>
                <w:b/>
                <w:bCs/>
                <w:lang w:val="en-AU"/>
              </w:rPr>
            </w:pPr>
            <w:r w:rsidRPr="00314EED">
              <w:rPr>
                <w:b/>
                <w:lang w:val="en-AU"/>
              </w:rPr>
              <w:t>N=302</w:t>
            </w:r>
          </w:p>
          <w:p w14:paraId="28C663F2" w14:textId="2D41A6DF" w:rsidR="0008002E" w:rsidRPr="00314EED" w:rsidRDefault="0008002E" w:rsidP="00E81465">
            <w:pPr>
              <w:pStyle w:val="TableText"/>
              <w:keepNext/>
              <w:jc w:val="center"/>
              <w:rPr>
                <w:lang w:val="en-AU"/>
              </w:rPr>
            </w:pPr>
            <w:r w:rsidRPr="00314EED">
              <w:rPr>
                <w:lang w:val="en-AU"/>
              </w:rPr>
              <w:t>82/302 (27.2%)</w:t>
            </w:r>
          </w:p>
        </w:tc>
      </w:tr>
      <w:tr w:rsidR="0008002E" w:rsidRPr="00314EED" w14:paraId="54DB9565" w14:textId="77777777" w:rsidTr="00E81465">
        <w:trPr>
          <w:cantSplit/>
          <w:trHeight w:val="60"/>
        </w:trPr>
        <w:tc>
          <w:tcPr>
            <w:tcW w:w="2948" w:type="pct"/>
            <w:gridSpan w:val="3"/>
            <w:tcBorders>
              <w:top w:val="nil"/>
              <w:bottom w:val="single" w:sz="4" w:space="0" w:color="000000" w:themeColor="text1"/>
            </w:tcBorders>
            <w:tcMar>
              <w:left w:w="20" w:type="dxa"/>
              <w:right w:w="20" w:type="dxa"/>
            </w:tcMar>
          </w:tcPr>
          <w:p w14:paraId="1967389F" w14:textId="4E4BC822" w:rsidR="0008002E" w:rsidRPr="00314EED" w:rsidRDefault="0008002E" w:rsidP="00E81465">
            <w:pPr>
              <w:pStyle w:val="TableText"/>
              <w:keepNext/>
              <w:rPr>
                <w:lang w:val="en-AU"/>
              </w:rPr>
            </w:pPr>
            <w:r w:rsidRPr="00314EED">
              <w:rPr>
                <w:lang w:val="en-AU"/>
              </w:rPr>
              <w:t>Difference donanemab minus placebo</w:t>
            </w:r>
          </w:p>
        </w:tc>
        <w:tc>
          <w:tcPr>
            <w:tcW w:w="2052" w:type="pct"/>
            <w:gridSpan w:val="3"/>
            <w:tcBorders>
              <w:top w:val="single" w:sz="4" w:space="0" w:color="000000" w:themeColor="text1"/>
              <w:bottom w:val="single" w:sz="4" w:space="0" w:color="000000" w:themeColor="text1"/>
            </w:tcBorders>
            <w:tcMar>
              <w:left w:w="20" w:type="dxa"/>
              <w:right w:w="20" w:type="dxa"/>
            </w:tcMar>
          </w:tcPr>
          <w:p w14:paraId="27F3F3C5" w14:textId="58159040" w:rsidR="0008002E" w:rsidRPr="00314EED" w:rsidRDefault="0008002E" w:rsidP="00E81465">
            <w:pPr>
              <w:pStyle w:val="TableText"/>
              <w:keepNext/>
              <w:jc w:val="center"/>
              <w:rPr>
                <w:lang w:val="en-AU"/>
              </w:rPr>
            </w:pPr>
            <w:r w:rsidRPr="00314EED">
              <w:rPr>
                <w:lang w:val="en-AU"/>
              </w:rPr>
              <w:t>-9.7%</w:t>
            </w:r>
          </w:p>
        </w:tc>
      </w:tr>
      <w:tr w:rsidR="0008002E" w:rsidRPr="00314EED" w14:paraId="074D175A" w14:textId="77777777" w:rsidTr="00E81465">
        <w:trPr>
          <w:cantSplit/>
        </w:trPr>
        <w:tc>
          <w:tcPr>
            <w:tcW w:w="5000" w:type="pct"/>
            <w:gridSpan w:val="6"/>
            <w:tcBorders>
              <w:top w:val="double" w:sz="4" w:space="0" w:color="000000" w:themeColor="text1"/>
              <w:left w:val="double" w:sz="4" w:space="0" w:color="000000" w:themeColor="text1"/>
              <w:bottom w:val="single" w:sz="4" w:space="0" w:color="auto"/>
              <w:right w:val="double" w:sz="4" w:space="0" w:color="000000" w:themeColor="text1"/>
            </w:tcBorders>
            <w:tcMar>
              <w:left w:w="20" w:type="dxa"/>
              <w:right w:w="20" w:type="dxa"/>
            </w:tcMar>
          </w:tcPr>
          <w:p w14:paraId="06FF32D0" w14:textId="77777777" w:rsidR="0008002E" w:rsidRPr="00314EED" w:rsidRDefault="0008002E" w:rsidP="00E81465">
            <w:pPr>
              <w:pStyle w:val="TableText"/>
              <w:keepNext/>
              <w:rPr>
                <w:b/>
                <w:bCs/>
                <w:lang w:val="en-AU"/>
              </w:rPr>
            </w:pPr>
            <w:r w:rsidRPr="00314EED">
              <w:rPr>
                <w:b/>
                <w:lang w:val="en-AU"/>
              </w:rPr>
              <w:t>Harms (Safety Analysis Set)</w:t>
            </w:r>
          </w:p>
        </w:tc>
      </w:tr>
      <w:tr w:rsidR="0008002E" w:rsidRPr="00314EED" w14:paraId="785E67B8" w14:textId="77777777" w:rsidTr="00E81465">
        <w:trPr>
          <w:cantSplit/>
          <w:trHeight w:val="122"/>
        </w:trPr>
        <w:tc>
          <w:tcPr>
            <w:tcW w:w="1054" w:type="pct"/>
            <w:vMerge w:val="restart"/>
            <w:tcBorders>
              <w:top w:val="single" w:sz="4" w:space="0" w:color="auto"/>
              <w:left w:val="single" w:sz="4" w:space="0" w:color="auto"/>
              <w:bottom w:val="single" w:sz="4" w:space="0" w:color="auto"/>
              <w:right w:val="single" w:sz="4" w:space="0" w:color="auto"/>
            </w:tcBorders>
            <w:tcMar>
              <w:left w:w="20" w:type="dxa"/>
              <w:right w:w="20" w:type="dxa"/>
            </w:tcMar>
          </w:tcPr>
          <w:p w14:paraId="33859D9B" w14:textId="77777777" w:rsidR="0008002E" w:rsidRPr="00314EED" w:rsidRDefault="0008002E" w:rsidP="00E81465">
            <w:pPr>
              <w:pStyle w:val="TableText"/>
              <w:keepNext/>
              <w:rPr>
                <w:b/>
                <w:bCs/>
                <w:lang w:val="en-AU"/>
              </w:rPr>
            </w:pPr>
            <w:r w:rsidRPr="00314EED">
              <w:rPr>
                <w:b/>
                <w:lang w:val="en-AU"/>
              </w:rPr>
              <w:t>TEAEs</w:t>
            </w:r>
          </w:p>
        </w:tc>
        <w:tc>
          <w:tcPr>
            <w:tcW w:w="855" w:type="pct"/>
            <w:vMerge w:val="restart"/>
            <w:tcBorders>
              <w:top w:val="single" w:sz="4" w:space="0" w:color="auto"/>
              <w:left w:val="single" w:sz="4" w:space="0" w:color="auto"/>
              <w:right w:val="single" w:sz="4" w:space="0" w:color="auto"/>
            </w:tcBorders>
            <w:tcMar>
              <w:left w:w="20" w:type="dxa"/>
              <w:right w:w="20" w:type="dxa"/>
            </w:tcMar>
          </w:tcPr>
          <w:p w14:paraId="27FC08D8" w14:textId="77777777" w:rsidR="0008002E" w:rsidRPr="00314EED" w:rsidRDefault="0008002E" w:rsidP="00E81465">
            <w:pPr>
              <w:pStyle w:val="TableNumber"/>
              <w:keepNext/>
              <w:rPr>
                <w:b/>
                <w:bCs/>
                <w:lang w:val="en-AU"/>
              </w:rPr>
            </w:pPr>
            <w:r w:rsidRPr="00314EED">
              <w:rPr>
                <w:b/>
                <w:lang w:val="en-AU"/>
              </w:rPr>
              <w:t>Donanemab</w:t>
            </w:r>
          </w:p>
        </w:tc>
        <w:tc>
          <w:tcPr>
            <w:tcW w:w="1039" w:type="pct"/>
            <w:vMerge w:val="restart"/>
            <w:tcBorders>
              <w:top w:val="single" w:sz="4" w:space="0" w:color="auto"/>
              <w:left w:val="single" w:sz="4" w:space="0" w:color="auto"/>
              <w:right w:val="single" w:sz="4" w:space="0" w:color="auto"/>
            </w:tcBorders>
            <w:tcMar>
              <w:left w:w="20" w:type="dxa"/>
              <w:right w:w="20" w:type="dxa"/>
            </w:tcMar>
          </w:tcPr>
          <w:p w14:paraId="0AEC0F87" w14:textId="77777777" w:rsidR="0008002E" w:rsidRPr="00314EED" w:rsidRDefault="0008002E" w:rsidP="00E81465">
            <w:pPr>
              <w:pStyle w:val="TableNumber"/>
              <w:keepNext/>
              <w:rPr>
                <w:b/>
                <w:bCs/>
                <w:lang w:val="en-AU"/>
              </w:rPr>
            </w:pPr>
            <w:r w:rsidRPr="00314EED">
              <w:rPr>
                <w:b/>
                <w:lang w:val="en-AU"/>
              </w:rPr>
              <w:t>Placebo</w:t>
            </w:r>
          </w:p>
        </w:tc>
        <w:tc>
          <w:tcPr>
            <w:tcW w:w="1059" w:type="pct"/>
            <w:gridSpan w:val="2"/>
            <w:tcBorders>
              <w:top w:val="single" w:sz="4" w:space="0" w:color="auto"/>
              <w:left w:val="single" w:sz="4" w:space="0" w:color="auto"/>
              <w:bottom w:val="single" w:sz="4" w:space="0" w:color="auto"/>
              <w:right w:val="single" w:sz="4" w:space="0" w:color="auto"/>
            </w:tcBorders>
            <w:tcMar>
              <w:left w:w="20" w:type="dxa"/>
              <w:right w:w="20" w:type="dxa"/>
            </w:tcMar>
          </w:tcPr>
          <w:p w14:paraId="1D1C6558" w14:textId="77777777" w:rsidR="0008002E" w:rsidRPr="00314EED" w:rsidRDefault="0008002E" w:rsidP="00E81465">
            <w:pPr>
              <w:pStyle w:val="TableNumber"/>
              <w:keepNext/>
              <w:rPr>
                <w:b/>
                <w:bCs/>
                <w:lang w:val="en-AU"/>
              </w:rPr>
            </w:pPr>
            <w:r w:rsidRPr="00314EED">
              <w:rPr>
                <w:b/>
                <w:lang w:val="en-AU"/>
              </w:rPr>
              <w:t xml:space="preserve">Event rate/100 patients </w:t>
            </w:r>
          </w:p>
        </w:tc>
        <w:tc>
          <w:tcPr>
            <w:tcW w:w="993" w:type="pct"/>
            <w:vMerge w:val="restart"/>
            <w:tcBorders>
              <w:top w:val="single" w:sz="4" w:space="0" w:color="auto"/>
              <w:left w:val="single" w:sz="4" w:space="0" w:color="auto"/>
              <w:right w:val="single" w:sz="4" w:space="0" w:color="auto"/>
            </w:tcBorders>
            <w:tcMar>
              <w:left w:w="20" w:type="dxa"/>
              <w:right w:w="20" w:type="dxa"/>
            </w:tcMar>
          </w:tcPr>
          <w:p w14:paraId="65689664" w14:textId="77777777" w:rsidR="0008002E" w:rsidRPr="00314EED" w:rsidRDefault="0008002E" w:rsidP="00E81465">
            <w:pPr>
              <w:pStyle w:val="TableNumber"/>
              <w:keepNext/>
              <w:rPr>
                <w:b/>
                <w:bCs/>
                <w:lang w:val="en-AU"/>
              </w:rPr>
            </w:pPr>
            <w:r w:rsidRPr="00314EED">
              <w:rPr>
                <w:b/>
                <w:lang w:val="en-AU"/>
              </w:rPr>
              <w:t>Risk difference</w:t>
            </w:r>
          </w:p>
        </w:tc>
      </w:tr>
      <w:tr w:rsidR="0008002E" w:rsidRPr="00314EED" w14:paraId="1D87E9C6" w14:textId="77777777" w:rsidTr="00E81465">
        <w:trPr>
          <w:cantSplit/>
          <w:trHeight w:val="53"/>
        </w:trPr>
        <w:tc>
          <w:tcPr>
            <w:tcW w:w="1054" w:type="pct"/>
            <w:vMerge/>
            <w:tcBorders>
              <w:top w:val="single" w:sz="4" w:space="0" w:color="auto"/>
              <w:left w:val="single" w:sz="4" w:space="0" w:color="auto"/>
              <w:bottom w:val="single" w:sz="4" w:space="0" w:color="auto"/>
              <w:right w:val="single" w:sz="4" w:space="0" w:color="auto"/>
            </w:tcBorders>
            <w:tcMar>
              <w:left w:w="20" w:type="dxa"/>
              <w:right w:w="20" w:type="dxa"/>
            </w:tcMar>
          </w:tcPr>
          <w:p w14:paraId="58BE058A" w14:textId="77777777" w:rsidR="0008002E" w:rsidRPr="00314EED" w:rsidRDefault="0008002E" w:rsidP="00E81465">
            <w:pPr>
              <w:pStyle w:val="TableText"/>
              <w:keepNext/>
              <w:rPr>
                <w:lang w:val="en-AU"/>
              </w:rPr>
            </w:pPr>
          </w:p>
        </w:tc>
        <w:tc>
          <w:tcPr>
            <w:tcW w:w="855" w:type="pct"/>
            <w:vMerge/>
            <w:tcBorders>
              <w:left w:val="single" w:sz="4" w:space="0" w:color="auto"/>
              <w:bottom w:val="single" w:sz="4" w:space="0" w:color="auto"/>
              <w:right w:val="single" w:sz="4" w:space="0" w:color="auto"/>
            </w:tcBorders>
            <w:tcMar>
              <w:left w:w="20" w:type="dxa"/>
              <w:right w:w="20" w:type="dxa"/>
            </w:tcMar>
          </w:tcPr>
          <w:p w14:paraId="0CE7572D" w14:textId="77777777" w:rsidR="0008002E" w:rsidRPr="00314EED" w:rsidRDefault="0008002E" w:rsidP="00E81465">
            <w:pPr>
              <w:pStyle w:val="TableNumber"/>
              <w:keepNext/>
              <w:rPr>
                <w:b/>
                <w:bCs/>
                <w:lang w:val="en-AU"/>
              </w:rPr>
            </w:pPr>
          </w:p>
        </w:tc>
        <w:tc>
          <w:tcPr>
            <w:tcW w:w="1039" w:type="pct"/>
            <w:vMerge/>
            <w:tcBorders>
              <w:left w:val="single" w:sz="4" w:space="0" w:color="auto"/>
              <w:bottom w:val="single" w:sz="4" w:space="0" w:color="auto"/>
              <w:right w:val="single" w:sz="4" w:space="0" w:color="auto"/>
            </w:tcBorders>
            <w:tcMar>
              <w:left w:w="20" w:type="dxa"/>
              <w:right w:w="20" w:type="dxa"/>
            </w:tcMar>
          </w:tcPr>
          <w:p w14:paraId="22081D3C" w14:textId="77777777" w:rsidR="0008002E" w:rsidRPr="00314EED" w:rsidRDefault="0008002E" w:rsidP="00E81465">
            <w:pPr>
              <w:pStyle w:val="TableNumber"/>
              <w:keepNext/>
              <w:rPr>
                <w:b/>
                <w:bCs/>
                <w:lang w:val="en-AU"/>
              </w:rPr>
            </w:pPr>
          </w:p>
        </w:tc>
        <w:tc>
          <w:tcPr>
            <w:tcW w:w="543" w:type="pct"/>
            <w:tcBorders>
              <w:top w:val="single" w:sz="4" w:space="0" w:color="auto"/>
              <w:left w:val="single" w:sz="4" w:space="0" w:color="auto"/>
              <w:bottom w:val="single" w:sz="4" w:space="0" w:color="auto"/>
              <w:right w:val="single" w:sz="4" w:space="0" w:color="auto"/>
            </w:tcBorders>
            <w:tcMar>
              <w:left w:w="20" w:type="dxa"/>
              <w:right w:w="20" w:type="dxa"/>
            </w:tcMar>
          </w:tcPr>
          <w:p w14:paraId="2C565001" w14:textId="77777777" w:rsidR="0008002E" w:rsidRPr="00314EED" w:rsidRDefault="0008002E" w:rsidP="00E81465">
            <w:pPr>
              <w:pStyle w:val="TableNumber"/>
              <w:keepNext/>
              <w:rPr>
                <w:b/>
                <w:bCs/>
                <w:lang w:val="en-AU"/>
              </w:rPr>
            </w:pPr>
            <w:r w:rsidRPr="00314EED">
              <w:rPr>
                <w:b/>
                <w:lang w:val="en-AU"/>
              </w:rPr>
              <w:t xml:space="preserve">Donanemab </w:t>
            </w:r>
          </w:p>
        </w:tc>
        <w:tc>
          <w:tcPr>
            <w:tcW w:w="516" w:type="pct"/>
            <w:tcBorders>
              <w:top w:val="single" w:sz="4" w:space="0" w:color="auto"/>
              <w:left w:val="single" w:sz="4" w:space="0" w:color="auto"/>
              <w:bottom w:val="single" w:sz="4" w:space="0" w:color="auto"/>
              <w:right w:val="single" w:sz="4" w:space="0" w:color="auto"/>
            </w:tcBorders>
            <w:tcMar>
              <w:left w:w="20" w:type="dxa"/>
              <w:right w:w="20" w:type="dxa"/>
            </w:tcMar>
          </w:tcPr>
          <w:p w14:paraId="0647FB9A" w14:textId="77777777" w:rsidR="0008002E" w:rsidRPr="00314EED" w:rsidRDefault="0008002E" w:rsidP="00E81465">
            <w:pPr>
              <w:pStyle w:val="TableNumber"/>
              <w:keepNext/>
              <w:rPr>
                <w:b/>
                <w:bCs/>
                <w:lang w:val="en-AU"/>
              </w:rPr>
            </w:pPr>
            <w:r w:rsidRPr="00314EED">
              <w:rPr>
                <w:b/>
                <w:lang w:val="en-AU"/>
              </w:rPr>
              <w:t>Placebo</w:t>
            </w:r>
          </w:p>
        </w:tc>
        <w:tc>
          <w:tcPr>
            <w:tcW w:w="993" w:type="pct"/>
            <w:vMerge/>
            <w:tcBorders>
              <w:left w:val="single" w:sz="4" w:space="0" w:color="auto"/>
              <w:bottom w:val="single" w:sz="4" w:space="0" w:color="auto"/>
              <w:right w:val="single" w:sz="4" w:space="0" w:color="auto"/>
            </w:tcBorders>
            <w:tcMar>
              <w:left w:w="20" w:type="dxa"/>
              <w:right w:w="20" w:type="dxa"/>
            </w:tcMar>
          </w:tcPr>
          <w:p w14:paraId="128BF021" w14:textId="77777777" w:rsidR="0008002E" w:rsidRPr="00314EED" w:rsidRDefault="0008002E" w:rsidP="00E81465">
            <w:pPr>
              <w:pStyle w:val="TableNumber"/>
              <w:keepNext/>
              <w:rPr>
                <w:lang w:val="en-AU"/>
              </w:rPr>
            </w:pPr>
          </w:p>
        </w:tc>
      </w:tr>
      <w:tr w:rsidR="0008002E" w:rsidRPr="00314EED" w14:paraId="792CF5C1" w14:textId="77777777" w:rsidTr="00E81465">
        <w:trPr>
          <w:cantSplit/>
        </w:trPr>
        <w:tc>
          <w:tcPr>
            <w:tcW w:w="1054" w:type="pct"/>
            <w:tcBorders>
              <w:top w:val="single" w:sz="4" w:space="0" w:color="auto"/>
              <w:left w:val="single" w:sz="4" w:space="0" w:color="auto"/>
              <w:bottom w:val="single" w:sz="4" w:space="0" w:color="auto"/>
              <w:right w:val="single" w:sz="4" w:space="0" w:color="auto"/>
            </w:tcBorders>
            <w:tcMar>
              <w:left w:w="20" w:type="dxa"/>
              <w:right w:w="20" w:type="dxa"/>
            </w:tcMar>
          </w:tcPr>
          <w:p w14:paraId="022004DC" w14:textId="77777777" w:rsidR="0008002E" w:rsidRPr="00314EED" w:rsidRDefault="0008002E" w:rsidP="00E81465">
            <w:pPr>
              <w:pStyle w:val="TableText"/>
              <w:keepNext/>
              <w:rPr>
                <w:lang w:val="en-AU"/>
              </w:rPr>
            </w:pPr>
            <w:r w:rsidRPr="00314EED">
              <w:rPr>
                <w:lang w:val="en-AU"/>
              </w:rPr>
              <w:t>ARIA-E, n/N</w:t>
            </w:r>
          </w:p>
          <w:p w14:paraId="21671AAE" w14:textId="77777777" w:rsidR="0008002E" w:rsidRPr="00314EED" w:rsidRDefault="0008002E" w:rsidP="00E81465">
            <w:pPr>
              <w:pStyle w:val="TableText"/>
              <w:keepNext/>
              <w:rPr>
                <w:lang w:val="en-AU"/>
              </w:rPr>
            </w:pPr>
            <w:r w:rsidRPr="00314EED">
              <w:rPr>
                <w:lang w:val="en-AU"/>
              </w:rPr>
              <w:t>Overall population</w:t>
            </w:r>
          </w:p>
        </w:tc>
        <w:tc>
          <w:tcPr>
            <w:tcW w:w="855" w:type="pct"/>
            <w:tcBorders>
              <w:top w:val="single" w:sz="4" w:space="0" w:color="auto"/>
              <w:left w:val="single" w:sz="4" w:space="0" w:color="auto"/>
              <w:bottom w:val="single" w:sz="4" w:space="0" w:color="auto"/>
              <w:right w:val="single" w:sz="4" w:space="0" w:color="auto"/>
            </w:tcBorders>
            <w:tcMar>
              <w:left w:w="20" w:type="dxa"/>
              <w:right w:w="20" w:type="dxa"/>
            </w:tcMar>
          </w:tcPr>
          <w:p w14:paraId="0B7745E1" w14:textId="77777777" w:rsidR="0008002E" w:rsidRPr="00314EED" w:rsidRDefault="0008002E" w:rsidP="00E81465">
            <w:pPr>
              <w:pStyle w:val="TableNumber"/>
              <w:keepNext/>
              <w:rPr>
                <w:lang w:val="en-AU"/>
              </w:rPr>
            </w:pPr>
            <w:r w:rsidRPr="00314EED">
              <w:rPr>
                <w:lang w:val="en-AU"/>
              </w:rPr>
              <w:t>205/853</w:t>
            </w:r>
          </w:p>
        </w:tc>
        <w:tc>
          <w:tcPr>
            <w:tcW w:w="1039" w:type="pct"/>
            <w:tcBorders>
              <w:top w:val="single" w:sz="4" w:space="0" w:color="auto"/>
              <w:left w:val="single" w:sz="4" w:space="0" w:color="auto"/>
              <w:bottom w:val="single" w:sz="4" w:space="0" w:color="auto"/>
              <w:right w:val="single" w:sz="4" w:space="0" w:color="auto"/>
            </w:tcBorders>
            <w:tcMar>
              <w:left w:w="20" w:type="dxa"/>
              <w:right w:w="20" w:type="dxa"/>
            </w:tcMar>
          </w:tcPr>
          <w:p w14:paraId="79C089D9" w14:textId="77777777" w:rsidR="0008002E" w:rsidRPr="00314EED" w:rsidRDefault="0008002E" w:rsidP="00E81465">
            <w:pPr>
              <w:pStyle w:val="TableNumber"/>
              <w:keepNext/>
              <w:rPr>
                <w:lang w:val="en-AU"/>
              </w:rPr>
            </w:pPr>
            <w:r w:rsidRPr="00314EED">
              <w:rPr>
                <w:lang w:val="en-AU"/>
              </w:rPr>
              <w:t>18/874</w:t>
            </w:r>
          </w:p>
        </w:tc>
        <w:tc>
          <w:tcPr>
            <w:tcW w:w="543" w:type="pct"/>
            <w:tcBorders>
              <w:top w:val="single" w:sz="4" w:space="0" w:color="auto"/>
              <w:left w:val="single" w:sz="4" w:space="0" w:color="auto"/>
              <w:bottom w:val="single" w:sz="4" w:space="0" w:color="auto"/>
              <w:right w:val="single" w:sz="4" w:space="0" w:color="auto"/>
            </w:tcBorders>
            <w:tcMar>
              <w:left w:w="20" w:type="dxa"/>
              <w:right w:w="20" w:type="dxa"/>
            </w:tcMar>
          </w:tcPr>
          <w:p w14:paraId="6A75441D" w14:textId="77777777" w:rsidR="0008002E" w:rsidRPr="00314EED" w:rsidRDefault="0008002E" w:rsidP="00E81465">
            <w:pPr>
              <w:pStyle w:val="TableNumber"/>
              <w:keepNext/>
              <w:jc w:val="left"/>
              <w:rPr>
                <w:lang w:val="en-AU"/>
              </w:rPr>
            </w:pPr>
            <w:r w:rsidRPr="00314EED">
              <w:rPr>
                <w:lang w:val="en-AU"/>
              </w:rPr>
              <w:t>24.0</w:t>
            </w:r>
          </w:p>
        </w:tc>
        <w:tc>
          <w:tcPr>
            <w:tcW w:w="516" w:type="pct"/>
            <w:tcBorders>
              <w:top w:val="single" w:sz="4" w:space="0" w:color="auto"/>
              <w:left w:val="single" w:sz="4" w:space="0" w:color="auto"/>
              <w:bottom w:val="single" w:sz="4" w:space="0" w:color="auto"/>
              <w:right w:val="single" w:sz="4" w:space="0" w:color="auto"/>
            </w:tcBorders>
            <w:tcMar>
              <w:left w:w="20" w:type="dxa"/>
              <w:right w:w="20" w:type="dxa"/>
            </w:tcMar>
          </w:tcPr>
          <w:p w14:paraId="2FC2F729" w14:textId="77777777" w:rsidR="0008002E" w:rsidRPr="00314EED" w:rsidRDefault="0008002E" w:rsidP="00E81465">
            <w:pPr>
              <w:pStyle w:val="TableNumber"/>
              <w:keepNext/>
              <w:jc w:val="left"/>
              <w:rPr>
                <w:lang w:val="en-AU"/>
              </w:rPr>
            </w:pPr>
            <w:r w:rsidRPr="00314EED">
              <w:rPr>
                <w:lang w:val="en-AU"/>
              </w:rPr>
              <w:t>2.1</w:t>
            </w:r>
          </w:p>
        </w:tc>
        <w:tc>
          <w:tcPr>
            <w:tcW w:w="993" w:type="pct"/>
            <w:tcBorders>
              <w:top w:val="single" w:sz="4" w:space="0" w:color="auto"/>
              <w:left w:val="single" w:sz="4" w:space="0" w:color="auto"/>
              <w:bottom w:val="single" w:sz="4" w:space="0" w:color="auto"/>
              <w:right w:val="single" w:sz="4" w:space="0" w:color="auto"/>
            </w:tcBorders>
            <w:tcMar>
              <w:left w:w="20" w:type="dxa"/>
              <w:right w:w="20" w:type="dxa"/>
            </w:tcMar>
          </w:tcPr>
          <w:p w14:paraId="6590A593" w14:textId="77777777" w:rsidR="0008002E" w:rsidRPr="00314EED" w:rsidRDefault="0008002E" w:rsidP="00E81465">
            <w:pPr>
              <w:pStyle w:val="TableNumber"/>
              <w:keepNext/>
              <w:rPr>
                <w:lang w:val="en-AU"/>
              </w:rPr>
            </w:pPr>
            <w:r w:rsidRPr="00314EED">
              <w:rPr>
                <w:lang w:val="en-AU"/>
              </w:rPr>
              <w:t>21.9</w:t>
            </w:r>
          </w:p>
        </w:tc>
      </w:tr>
      <w:tr w:rsidR="0008002E" w:rsidRPr="00314EED" w14:paraId="2A2EC9BD" w14:textId="77777777" w:rsidTr="00E81465">
        <w:trPr>
          <w:cantSplit/>
          <w:trHeight w:val="734"/>
        </w:trPr>
        <w:tc>
          <w:tcPr>
            <w:tcW w:w="1054" w:type="pct"/>
            <w:tcBorders>
              <w:top w:val="single" w:sz="4" w:space="0" w:color="auto"/>
            </w:tcBorders>
            <w:tcMar>
              <w:left w:w="20" w:type="dxa"/>
              <w:right w:w="20" w:type="dxa"/>
            </w:tcMar>
          </w:tcPr>
          <w:p w14:paraId="4CDCE8E5" w14:textId="77777777" w:rsidR="0008002E" w:rsidRPr="00314EED" w:rsidRDefault="0008002E" w:rsidP="00E81465">
            <w:pPr>
              <w:pStyle w:val="TableText"/>
              <w:keepNext/>
              <w:rPr>
                <w:lang w:val="en-AU"/>
              </w:rPr>
            </w:pPr>
            <w:r w:rsidRPr="00314EED">
              <w:rPr>
                <w:lang w:val="en-AU"/>
              </w:rPr>
              <w:t>ARIA-E, n/N</w:t>
            </w:r>
          </w:p>
          <w:p w14:paraId="51DF75BA" w14:textId="77777777" w:rsidR="0008002E" w:rsidRPr="00314EED" w:rsidRDefault="0008002E" w:rsidP="00E81465">
            <w:pPr>
              <w:pStyle w:val="TableText"/>
              <w:keepNext/>
              <w:rPr>
                <w:lang w:val="en-AU"/>
              </w:rPr>
            </w:pPr>
            <w:r w:rsidRPr="00314EED">
              <w:rPr>
                <w:lang w:val="en-AU"/>
              </w:rPr>
              <w:t xml:space="preserve">TGA population excluding </w:t>
            </w:r>
            <w:r w:rsidRPr="00BB059A">
              <w:rPr>
                <w:i/>
                <w:iCs/>
                <w:lang w:val="en-AU"/>
              </w:rPr>
              <w:t xml:space="preserve">APOE4 </w:t>
            </w:r>
            <w:r w:rsidRPr="00314EED">
              <w:rPr>
                <w:lang w:val="en-AU"/>
              </w:rPr>
              <w:t>homozygous carriers</w:t>
            </w:r>
          </w:p>
        </w:tc>
        <w:tc>
          <w:tcPr>
            <w:tcW w:w="855" w:type="pct"/>
            <w:tcBorders>
              <w:top w:val="single" w:sz="4" w:space="0" w:color="auto"/>
            </w:tcBorders>
            <w:tcMar>
              <w:left w:w="20" w:type="dxa"/>
              <w:right w:w="20" w:type="dxa"/>
            </w:tcMar>
            <w:vAlign w:val="center"/>
          </w:tcPr>
          <w:p w14:paraId="04B446ED" w14:textId="6F704A84" w:rsidR="0008002E" w:rsidRPr="00314EED" w:rsidRDefault="00211733" w:rsidP="00E81465">
            <w:pPr>
              <w:pStyle w:val="TableNumber"/>
              <w:keepNext/>
              <w:rPr>
                <w:lang w:val="en-AU"/>
              </w:rPr>
            </w:pPr>
            <w:r w:rsidRPr="00211733">
              <w:rPr>
                <w:lang w:val="en-AU"/>
              </w:rPr>
              <w:t>139/689</w:t>
            </w:r>
          </w:p>
        </w:tc>
        <w:tc>
          <w:tcPr>
            <w:tcW w:w="1039" w:type="pct"/>
            <w:tcBorders>
              <w:top w:val="single" w:sz="4" w:space="0" w:color="auto"/>
            </w:tcBorders>
            <w:tcMar>
              <w:left w:w="20" w:type="dxa"/>
              <w:right w:w="20" w:type="dxa"/>
            </w:tcMar>
            <w:vAlign w:val="center"/>
          </w:tcPr>
          <w:p w14:paraId="1311AA39" w14:textId="7433E1C1" w:rsidR="0008002E" w:rsidRPr="00314EED" w:rsidRDefault="00256427" w:rsidP="00E81465">
            <w:pPr>
              <w:pStyle w:val="TableNumber"/>
              <w:keepNext/>
              <w:rPr>
                <w:lang w:val="en-AU"/>
              </w:rPr>
            </w:pPr>
            <w:r w:rsidRPr="00256427">
              <w:rPr>
                <w:lang w:val="en-AU"/>
              </w:rPr>
              <w:t>11/692</w:t>
            </w:r>
          </w:p>
        </w:tc>
        <w:tc>
          <w:tcPr>
            <w:tcW w:w="543" w:type="pct"/>
            <w:tcBorders>
              <w:top w:val="single" w:sz="4" w:space="0" w:color="auto"/>
            </w:tcBorders>
            <w:tcMar>
              <w:left w:w="20" w:type="dxa"/>
              <w:right w:w="20" w:type="dxa"/>
            </w:tcMar>
            <w:vAlign w:val="center"/>
          </w:tcPr>
          <w:p w14:paraId="27BC020F" w14:textId="77777777" w:rsidR="0008002E" w:rsidRPr="00314EED" w:rsidRDefault="0008002E" w:rsidP="00E81465">
            <w:pPr>
              <w:pStyle w:val="TableNumber"/>
              <w:keepNext/>
              <w:jc w:val="left"/>
              <w:rPr>
                <w:lang w:val="en-AU"/>
              </w:rPr>
            </w:pPr>
            <w:r w:rsidRPr="00314EED">
              <w:rPr>
                <w:lang w:val="en-AU"/>
              </w:rPr>
              <w:t>20.2</w:t>
            </w:r>
          </w:p>
        </w:tc>
        <w:tc>
          <w:tcPr>
            <w:tcW w:w="516" w:type="pct"/>
            <w:tcBorders>
              <w:top w:val="single" w:sz="4" w:space="0" w:color="auto"/>
            </w:tcBorders>
            <w:tcMar>
              <w:left w:w="20" w:type="dxa"/>
              <w:right w:w="20" w:type="dxa"/>
            </w:tcMar>
            <w:vAlign w:val="center"/>
          </w:tcPr>
          <w:p w14:paraId="72A7B983" w14:textId="6AD3783F" w:rsidR="0008002E" w:rsidRPr="00314EED" w:rsidRDefault="0008002E" w:rsidP="00E81465">
            <w:pPr>
              <w:pStyle w:val="TableNumber"/>
              <w:keepNext/>
              <w:jc w:val="left"/>
              <w:rPr>
                <w:lang w:val="en-AU"/>
              </w:rPr>
            </w:pPr>
            <w:r w:rsidRPr="00314EED">
              <w:rPr>
                <w:lang w:val="en-AU"/>
              </w:rPr>
              <w:t>1.</w:t>
            </w:r>
            <w:r w:rsidR="004418B6">
              <w:rPr>
                <w:lang w:val="en-AU"/>
              </w:rPr>
              <w:t>6</w:t>
            </w:r>
          </w:p>
        </w:tc>
        <w:tc>
          <w:tcPr>
            <w:tcW w:w="993" w:type="pct"/>
            <w:tcBorders>
              <w:top w:val="single" w:sz="4" w:space="0" w:color="auto"/>
            </w:tcBorders>
            <w:tcMar>
              <w:left w:w="20" w:type="dxa"/>
              <w:right w:w="20" w:type="dxa"/>
            </w:tcMar>
            <w:vAlign w:val="center"/>
          </w:tcPr>
          <w:p w14:paraId="2784BC0B" w14:textId="5218BC89" w:rsidR="0008002E" w:rsidRPr="00314EED" w:rsidRDefault="0008002E" w:rsidP="00E81465">
            <w:pPr>
              <w:pStyle w:val="TableNumber"/>
              <w:keepNext/>
              <w:rPr>
                <w:lang w:val="en-AU"/>
              </w:rPr>
            </w:pPr>
            <w:r w:rsidRPr="00314EED">
              <w:rPr>
                <w:lang w:val="en-AU"/>
              </w:rPr>
              <w:t>18.</w:t>
            </w:r>
            <w:r w:rsidR="007D6A1A">
              <w:rPr>
                <w:lang w:val="en-AU"/>
              </w:rPr>
              <w:t>6</w:t>
            </w:r>
          </w:p>
        </w:tc>
      </w:tr>
      <w:tr w:rsidR="0008002E" w:rsidRPr="00314EED" w14:paraId="0EB263AD" w14:textId="77777777" w:rsidTr="00E81465">
        <w:trPr>
          <w:cantSplit/>
        </w:trPr>
        <w:tc>
          <w:tcPr>
            <w:tcW w:w="1054" w:type="pct"/>
            <w:tcBorders>
              <w:top w:val="nil"/>
            </w:tcBorders>
            <w:tcMar>
              <w:left w:w="20" w:type="dxa"/>
              <w:right w:w="20" w:type="dxa"/>
            </w:tcMar>
          </w:tcPr>
          <w:p w14:paraId="5FFE2609" w14:textId="77777777" w:rsidR="0008002E" w:rsidRPr="00314EED" w:rsidRDefault="0008002E" w:rsidP="00E81465">
            <w:pPr>
              <w:pStyle w:val="TableText"/>
              <w:keepNext/>
              <w:rPr>
                <w:lang w:val="en-AU"/>
              </w:rPr>
            </w:pPr>
            <w:r w:rsidRPr="00314EED">
              <w:rPr>
                <w:lang w:val="en-AU"/>
              </w:rPr>
              <w:t>ARIA-H, n/N</w:t>
            </w:r>
          </w:p>
          <w:p w14:paraId="340600F6" w14:textId="77777777" w:rsidR="0008002E" w:rsidRPr="00314EED" w:rsidRDefault="0008002E" w:rsidP="00E81465">
            <w:pPr>
              <w:pStyle w:val="TableText"/>
              <w:keepNext/>
              <w:rPr>
                <w:lang w:val="en-AU"/>
              </w:rPr>
            </w:pPr>
            <w:r w:rsidRPr="00314EED">
              <w:rPr>
                <w:lang w:val="en-AU"/>
              </w:rPr>
              <w:t>Overall population</w:t>
            </w:r>
          </w:p>
        </w:tc>
        <w:tc>
          <w:tcPr>
            <w:tcW w:w="855" w:type="pct"/>
            <w:tcBorders>
              <w:top w:val="nil"/>
            </w:tcBorders>
            <w:tcMar>
              <w:left w:w="20" w:type="dxa"/>
              <w:right w:w="20" w:type="dxa"/>
            </w:tcMar>
          </w:tcPr>
          <w:p w14:paraId="655FA11A" w14:textId="77777777" w:rsidR="0008002E" w:rsidRPr="00314EED" w:rsidRDefault="0008002E" w:rsidP="00E81465">
            <w:pPr>
              <w:pStyle w:val="TableNumber"/>
              <w:keepNext/>
              <w:rPr>
                <w:lang w:val="en-AU"/>
              </w:rPr>
            </w:pPr>
            <w:r w:rsidRPr="00314EED">
              <w:rPr>
                <w:lang w:val="en-AU"/>
              </w:rPr>
              <w:t xml:space="preserve">268/853 </w:t>
            </w:r>
          </w:p>
        </w:tc>
        <w:tc>
          <w:tcPr>
            <w:tcW w:w="1039" w:type="pct"/>
            <w:tcBorders>
              <w:top w:val="nil"/>
            </w:tcBorders>
            <w:tcMar>
              <w:left w:w="20" w:type="dxa"/>
              <w:right w:w="20" w:type="dxa"/>
            </w:tcMar>
          </w:tcPr>
          <w:p w14:paraId="20B44414" w14:textId="77777777" w:rsidR="0008002E" w:rsidRPr="00314EED" w:rsidRDefault="0008002E" w:rsidP="00E81465">
            <w:pPr>
              <w:pStyle w:val="TableNumber"/>
              <w:keepNext/>
              <w:rPr>
                <w:lang w:val="en-AU"/>
              </w:rPr>
            </w:pPr>
            <w:r w:rsidRPr="00314EED">
              <w:rPr>
                <w:lang w:val="en-AU"/>
              </w:rPr>
              <w:t xml:space="preserve">119/874 </w:t>
            </w:r>
          </w:p>
        </w:tc>
        <w:tc>
          <w:tcPr>
            <w:tcW w:w="543" w:type="pct"/>
            <w:tcBorders>
              <w:top w:val="nil"/>
            </w:tcBorders>
            <w:tcMar>
              <w:left w:w="20" w:type="dxa"/>
              <w:right w:w="20" w:type="dxa"/>
            </w:tcMar>
          </w:tcPr>
          <w:p w14:paraId="3EA480BE" w14:textId="77777777" w:rsidR="0008002E" w:rsidRPr="00314EED" w:rsidRDefault="0008002E" w:rsidP="00E81465">
            <w:pPr>
              <w:pStyle w:val="TableNumber"/>
              <w:keepNext/>
              <w:jc w:val="left"/>
              <w:rPr>
                <w:lang w:val="en-AU"/>
              </w:rPr>
            </w:pPr>
            <w:r w:rsidRPr="00314EED">
              <w:rPr>
                <w:lang w:val="en-AU"/>
              </w:rPr>
              <w:t>31.4</w:t>
            </w:r>
          </w:p>
        </w:tc>
        <w:tc>
          <w:tcPr>
            <w:tcW w:w="516" w:type="pct"/>
            <w:tcBorders>
              <w:top w:val="nil"/>
            </w:tcBorders>
            <w:tcMar>
              <w:left w:w="20" w:type="dxa"/>
              <w:right w:w="20" w:type="dxa"/>
            </w:tcMar>
          </w:tcPr>
          <w:p w14:paraId="47EBCBD2" w14:textId="77777777" w:rsidR="0008002E" w:rsidRPr="00314EED" w:rsidRDefault="0008002E" w:rsidP="00E81465">
            <w:pPr>
              <w:pStyle w:val="TableNumber"/>
              <w:keepNext/>
              <w:jc w:val="left"/>
              <w:rPr>
                <w:lang w:val="en-AU"/>
              </w:rPr>
            </w:pPr>
            <w:r w:rsidRPr="00314EED">
              <w:rPr>
                <w:lang w:val="en-AU"/>
              </w:rPr>
              <w:t>13.6</w:t>
            </w:r>
          </w:p>
        </w:tc>
        <w:tc>
          <w:tcPr>
            <w:tcW w:w="993" w:type="pct"/>
            <w:tcBorders>
              <w:top w:val="nil"/>
            </w:tcBorders>
            <w:tcMar>
              <w:left w:w="20" w:type="dxa"/>
              <w:right w:w="20" w:type="dxa"/>
            </w:tcMar>
          </w:tcPr>
          <w:p w14:paraId="3BF7061D" w14:textId="77777777" w:rsidR="0008002E" w:rsidRPr="00314EED" w:rsidRDefault="0008002E" w:rsidP="00E81465">
            <w:pPr>
              <w:pStyle w:val="TableNumber"/>
              <w:keepNext/>
              <w:rPr>
                <w:lang w:val="en-AU"/>
              </w:rPr>
            </w:pPr>
            <w:r w:rsidRPr="00314EED">
              <w:rPr>
                <w:lang w:val="en-AU"/>
              </w:rPr>
              <w:t>17.8</w:t>
            </w:r>
          </w:p>
        </w:tc>
      </w:tr>
      <w:tr w:rsidR="0008002E" w:rsidRPr="00314EED" w14:paraId="474822CF" w14:textId="77777777" w:rsidTr="00E81465">
        <w:trPr>
          <w:cantSplit/>
        </w:trPr>
        <w:tc>
          <w:tcPr>
            <w:tcW w:w="1054" w:type="pct"/>
            <w:tcBorders>
              <w:top w:val="nil"/>
            </w:tcBorders>
            <w:tcMar>
              <w:left w:w="20" w:type="dxa"/>
              <w:right w:w="20" w:type="dxa"/>
            </w:tcMar>
          </w:tcPr>
          <w:p w14:paraId="6CA68EDB" w14:textId="77777777" w:rsidR="0008002E" w:rsidRPr="00314EED" w:rsidRDefault="0008002E" w:rsidP="00E81465">
            <w:pPr>
              <w:pStyle w:val="TableText"/>
              <w:keepNext/>
              <w:rPr>
                <w:lang w:val="en-AU"/>
              </w:rPr>
            </w:pPr>
            <w:r w:rsidRPr="00314EED">
              <w:rPr>
                <w:lang w:val="en-AU"/>
              </w:rPr>
              <w:t>ARIA-H, n/N</w:t>
            </w:r>
          </w:p>
          <w:p w14:paraId="4CC34B70" w14:textId="77777777" w:rsidR="0008002E" w:rsidRPr="00314EED" w:rsidRDefault="0008002E" w:rsidP="00E81465">
            <w:pPr>
              <w:pStyle w:val="TableText"/>
              <w:keepNext/>
              <w:rPr>
                <w:lang w:val="en-AU"/>
              </w:rPr>
            </w:pPr>
            <w:r w:rsidRPr="00314EED">
              <w:rPr>
                <w:lang w:val="en-AU"/>
              </w:rPr>
              <w:t xml:space="preserve">TGA population excluding </w:t>
            </w:r>
            <w:r w:rsidRPr="00BB059A">
              <w:rPr>
                <w:i/>
                <w:iCs/>
                <w:lang w:val="en-AU"/>
              </w:rPr>
              <w:t xml:space="preserve">APOE4 </w:t>
            </w:r>
            <w:r w:rsidRPr="00314EED">
              <w:rPr>
                <w:lang w:val="en-AU"/>
              </w:rPr>
              <w:t>homozygous carriers</w:t>
            </w:r>
          </w:p>
        </w:tc>
        <w:tc>
          <w:tcPr>
            <w:tcW w:w="855" w:type="pct"/>
            <w:tcBorders>
              <w:top w:val="nil"/>
            </w:tcBorders>
            <w:tcMar>
              <w:left w:w="20" w:type="dxa"/>
              <w:right w:w="20" w:type="dxa"/>
            </w:tcMar>
          </w:tcPr>
          <w:p w14:paraId="7B31E678" w14:textId="2DAFD10E" w:rsidR="0008002E" w:rsidRPr="00314EED" w:rsidRDefault="00237C98" w:rsidP="00E81465">
            <w:pPr>
              <w:pStyle w:val="TableNumber"/>
              <w:keepNext/>
              <w:rPr>
                <w:lang w:val="en-AU"/>
              </w:rPr>
            </w:pPr>
            <w:r w:rsidRPr="00237C98">
              <w:rPr>
                <w:lang w:val="en-AU"/>
              </w:rPr>
              <w:t>184/689</w:t>
            </w:r>
          </w:p>
        </w:tc>
        <w:tc>
          <w:tcPr>
            <w:tcW w:w="1039" w:type="pct"/>
            <w:tcBorders>
              <w:top w:val="nil"/>
            </w:tcBorders>
            <w:tcMar>
              <w:left w:w="20" w:type="dxa"/>
              <w:right w:w="20" w:type="dxa"/>
            </w:tcMar>
          </w:tcPr>
          <w:p w14:paraId="4463812E" w14:textId="605B77C6" w:rsidR="0008002E" w:rsidRPr="00314EED" w:rsidRDefault="00061A43" w:rsidP="00E81465">
            <w:pPr>
              <w:pStyle w:val="TableNumber"/>
              <w:keepNext/>
              <w:rPr>
                <w:lang w:val="en-AU"/>
              </w:rPr>
            </w:pPr>
            <w:r w:rsidRPr="00061A43">
              <w:rPr>
                <w:lang w:val="en-AU"/>
              </w:rPr>
              <w:t>75/692</w:t>
            </w:r>
          </w:p>
        </w:tc>
        <w:tc>
          <w:tcPr>
            <w:tcW w:w="543" w:type="pct"/>
            <w:tcBorders>
              <w:top w:val="nil"/>
            </w:tcBorders>
            <w:tcMar>
              <w:left w:w="20" w:type="dxa"/>
              <w:right w:w="20" w:type="dxa"/>
            </w:tcMar>
          </w:tcPr>
          <w:p w14:paraId="385F97A8" w14:textId="25397A6E" w:rsidR="0008002E" w:rsidRPr="00314EED" w:rsidRDefault="00061A43" w:rsidP="00E81465">
            <w:pPr>
              <w:pStyle w:val="TableNumber"/>
              <w:keepNext/>
              <w:jc w:val="left"/>
              <w:rPr>
                <w:lang w:val="en-AU"/>
              </w:rPr>
            </w:pPr>
            <w:r>
              <w:rPr>
                <w:lang w:val="en-AU"/>
              </w:rPr>
              <w:t>26.7</w:t>
            </w:r>
          </w:p>
        </w:tc>
        <w:tc>
          <w:tcPr>
            <w:tcW w:w="516" w:type="pct"/>
            <w:tcBorders>
              <w:top w:val="nil"/>
            </w:tcBorders>
            <w:tcMar>
              <w:left w:w="20" w:type="dxa"/>
              <w:right w:w="20" w:type="dxa"/>
            </w:tcMar>
          </w:tcPr>
          <w:p w14:paraId="4649C89F" w14:textId="5A0CD383" w:rsidR="0008002E" w:rsidRPr="00314EED" w:rsidRDefault="00525C49" w:rsidP="00E81465">
            <w:pPr>
              <w:pStyle w:val="TableNumber"/>
              <w:keepNext/>
              <w:jc w:val="left"/>
              <w:rPr>
                <w:lang w:val="en-AU"/>
              </w:rPr>
            </w:pPr>
            <w:r>
              <w:rPr>
                <w:lang w:val="en-AU"/>
              </w:rPr>
              <w:t>10.8</w:t>
            </w:r>
          </w:p>
        </w:tc>
        <w:tc>
          <w:tcPr>
            <w:tcW w:w="993" w:type="pct"/>
            <w:tcBorders>
              <w:top w:val="nil"/>
            </w:tcBorders>
            <w:tcMar>
              <w:left w:w="20" w:type="dxa"/>
              <w:right w:w="20" w:type="dxa"/>
            </w:tcMar>
          </w:tcPr>
          <w:p w14:paraId="17A24545" w14:textId="2EC663D5" w:rsidR="0008002E" w:rsidRPr="00314EED" w:rsidRDefault="0008002E" w:rsidP="00E81465">
            <w:pPr>
              <w:pStyle w:val="TableNumber"/>
              <w:keepNext/>
              <w:rPr>
                <w:lang w:val="en-AU"/>
              </w:rPr>
            </w:pPr>
            <w:r w:rsidRPr="00314EED">
              <w:rPr>
                <w:lang w:val="en-AU"/>
              </w:rPr>
              <w:t>15.</w:t>
            </w:r>
            <w:r w:rsidR="00525C49">
              <w:rPr>
                <w:lang w:val="en-AU"/>
              </w:rPr>
              <w:t>9</w:t>
            </w:r>
          </w:p>
        </w:tc>
      </w:tr>
      <w:tr w:rsidR="00040E2A" w:rsidRPr="00314EED" w14:paraId="6CCADA59" w14:textId="77777777" w:rsidTr="00DC106F">
        <w:trPr>
          <w:cantSplit/>
        </w:trPr>
        <w:tc>
          <w:tcPr>
            <w:tcW w:w="1054" w:type="pct"/>
            <w:tcBorders>
              <w:top w:val="nil"/>
              <w:bottom w:val="single" w:sz="4" w:space="0" w:color="000000" w:themeColor="text1"/>
            </w:tcBorders>
            <w:tcMar>
              <w:left w:w="20" w:type="dxa"/>
              <w:right w:w="20" w:type="dxa"/>
            </w:tcMar>
          </w:tcPr>
          <w:p w14:paraId="356C48A0" w14:textId="77777777" w:rsidR="00040E2A" w:rsidRPr="00314EED" w:rsidRDefault="00040E2A" w:rsidP="00040E2A">
            <w:pPr>
              <w:pStyle w:val="TableText"/>
              <w:keepNext/>
              <w:rPr>
                <w:lang w:val="en-AU"/>
              </w:rPr>
            </w:pPr>
            <w:r w:rsidRPr="00314EED">
              <w:rPr>
                <w:lang w:val="en-AU"/>
              </w:rPr>
              <w:t>Microhaemorrhage</w:t>
            </w:r>
          </w:p>
        </w:tc>
        <w:tc>
          <w:tcPr>
            <w:tcW w:w="855" w:type="pct"/>
            <w:tcMar>
              <w:left w:w="20" w:type="dxa"/>
              <w:right w:w="20" w:type="dxa"/>
            </w:tcMar>
          </w:tcPr>
          <w:p w14:paraId="162AEB68" w14:textId="1037A4AB" w:rsidR="00040E2A" w:rsidRPr="00314EED" w:rsidRDefault="00040E2A" w:rsidP="00040E2A">
            <w:pPr>
              <w:pStyle w:val="TableNumber"/>
              <w:keepNext/>
              <w:rPr>
                <w:lang w:val="en-AU"/>
              </w:rPr>
            </w:pPr>
            <w:r w:rsidRPr="009F2A94">
              <w:t>159/689</w:t>
            </w:r>
          </w:p>
        </w:tc>
        <w:tc>
          <w:tcPr>
            <w:tcW w:w="1039" w:type="pct"/>
            <w:tcMar>
              <w:left w:w="20" w:type="dxa"/>
              <w:right w:w="20" w:type="dxa"/>
            </w:tcMar>
          </w:tcPr>
          <w:p w14:paraId="0795C0FD" w14:textId="30A48762" w:rsidR="00040E2A" w:rsidRPr="00314EED" w:rsidRDefault="00040E2A" w:rsidP="00040E2A">
            <w:pPr>
              <w:pStyle w:val="TableNumber"/>
              <w:keepNext/>
              <w:rPr>
                <w:lang w:val="en-AU"/>
              </w:rPr>
            </w:pPr>
            <w:r w:rsidRPr="009F2A94">
              <w:t>72/692</w:t>
            </w:r>
          </w:p>
        </w:tc>
        <w:tc>
          <w:tcPr>
            <w:tcW w:w="543" w:type="pct"/>
            <w:tcBorders>
              <w:top w:val="nil"/>
            </w:tcBorders>
            <w:tcMar>
              <w:left w:w="20" w:type="dxa"/>
              <w:right w:w="20" w:type="dxa"/>
            </w:tcMar>
          </w:tcPr>
          <w:p w14:paraId="171952F9" w14:textId="2A648A0A" w:rsidR="00040E2A" w:rsidRPr="00314EED" w:rsidRDefault="00040E2A" w:rsidP="00040E2A">
            <w:pPr>
              <w:pStyle w:val="TableNumber"/>
              <w:keepNext/>
              <w:jc w:val="left"/>
              <w:rPr>
                <w:lang w:val="en-AU"/>
              </w:rPr>
            </w:pPr>
            <w:r w:rsidRPr="002D10A5">
              <w:t>23.1</w:t>
            </w:r>
          </w:p>
        </w:tc>
        <w:tc>
          <w:tcPr>
            <w:tcW w:w="516" w:type="pct"/>
            <w:tcBorders>
              <w:top w:val="nil"/>
            </w:tcBorders>
            <w:tcMar>
              <w:left w:w="20" w:type="dxa"/>
              <w:right w:w="20" w:type="dxa"/>
            </w:tcMar>
          </w:tcPr>
          <w:p w14:paraId="4190E29D" w14:textId="61E32F35" w:rsidR="00040E2A" w:rsidRPr="00314EED" w:rsidRDefault="00040E2A" w:rsidP="00040E2A">
            <w:pPr>
              <w:pStyle w:val="TableNumber"/>
              <w:keepNext/>
              <w:jc w:val="left"/>
              <w:rPr>
                <w:lang w:val="en-AU"/>
              </w:rPr>
            </w:pPr>
            <w:r w:rsidRPr="002D10A5">
              <w:t>10.4</w:t>
            </w:r>
          </w:p>
        </w:tc>
        <w:tc>
          <w:tcPr>
            <w:tcW w:w="993" w:type="pct"/>
            <w:tcBorders>
              <w:top w:val="nil"/>
            </w:tcBorders>
            <w:tcMar>
              <w:left w:w="20" w:type="dxa"/>
              <w:right w:w="20" w:type="dxa"/>
            </w:tcMar>
          </w:tcPr>
          <w:p w14:paraId="6E5277CD" w14:textId="444C28CA" w:rsidR="00040E2A" w:rsidRPr="00314EED" w:rsidRDefault="00040E2A" w:rsidP="00040E2A">
            <w:pPr>
              <w:pStyle w:val="TableNumber"/>
              <w:keepNext/>
              <w:rPr>
                <w:lang w:val="en-AU"/>
              </w:rPr>
            </w:pPr>
            <w:r w:rsidRPr="00314EED">
              <w:rPr>
                <w:lang w:val="en-AU"/>
              </w:rPr>
              <w:t>12.</w:t>
            </w:r>
            <w:r>
              <w:rPr>
                <w:lang w:val="en-AU"/>
              </w:rPr>
              <w:t>7</w:t>
            </w:r>
          </w:p>
        </w:tc>
      </w:tr>
      <w:tr w:rsidR="0008002E" w:rsidRPr="00314EED" w14:paraId="1C1140A7" w14:textId="77777777" w:rsidTr="00E81465">
        <w:trPr>
          <w:cantSplit/>
        </w:trPr>
        <w:tc>
          <w:tcPr>
            <w:tcW w:w="1054" w:type="pct"/>
            <w:tcBorders>
              <w:top w:val="single" w:sz="4" w:space="0" w:color="000000" w:themeColor="text1"/>
            </w:tcBorders>
            <w:tcMar>
              <w:left w:w="20" w:type="dxa"/>
              <w:right w:w="20" w:type="dxa"/>
            </w:tcMar>
          </w:tcPr>
          <w:p w14:paraId="3D27714F" w14:textId="77777777" w:rsidR="0008002E" w:rsidRPr="00314EED" w:rsidRDefault="0008002E" w:rsidP="00E81465">
            <w:pPr>
              <w:pStyle w:val="TableText"/>
              <w:keepNext/>
              <w:rPr>
                <w:lang w:val="en-AU"/>
              </w:rPr>
            </w:pPr>
            <w:r w:rsidRPr="00314EED">
              <w:rPr>
                <w:lang w:val="en-AU"/>
              </w:rPr>
              <w:t>Infusion-related reactions, n/N</w:t>
            </w:r>
          </w:p>
        </w:tc>
        <w:tc>
          <w:tcPr>
            <w:tcW w:w="855" w:type="pct"/>
            <w:tcMar>
              <w:left w:w="20" w:type="dxa"/>
              <w:right w:w="20" w:type="dxa"/>
            </w:tcMar>
          </w:tcPr>
          <w:p w14:paraId="2D32A99C" w14:textId="77777777" w:rsidR="0008002E" w:rsidRPr="00314EED" w:rsidRDefault="0008002E" w:rsidP="00E81465">
            <w:pPr>
              <w:pStyle w:val="TableNumber"/>
              <w:keepNext/>
              <w:rPr>
                <w:lang w:val="en-AU"/>
              </w:rPr>
            </w:pPr>
            <w:r w:rsidRPr="00314EED">
              <w:rPr>
                <w:lang w:val="en-AU"/>
              </w:rPr>
              <w:t>74/853</w:t>
            </w:r>
          </w:p>
        </w:tc>
        <w:tc>
          <w:tcPr>
            <w:tcW w:w="1039" w:type="pct"/>
            <w:tcMar>
              <w:left w:w="20" w:type="dxa"/>
              <w:right w:w="20" w:type="dxa"/>
            </w:tcMar>
          </w:tcPr>
          <w:p w14:paraId="0BA18B35" w14:textId="77777777" w:rsidR="0008002E" w:rsidRPr="00314EED" w:rsidRDefault="0008002E" w:rsidP="00E81465">
            <w:pPr>
              <w:pStyle w:val="TableNumber"/>
              <w:keepNext/>
              <w:rPr>
                <w:lang w:val="en-AU"/>
              </w:rPr>
            </w:pPr>
            <w:r w:rsidRPr="00314EED">
              <w:rPr>
                <w:lang w:val="en-AU"/>
              </w:rPr>
              <w:t>4/874</w:t>
            </w:r>
          </w:p>
        </w:tc>
        <w:tc>
          <w:tcPr>
            <w:tcW w:w="543" w:type="pct"/>
            <w:tcBorders>
              <w:top w:val="single" w:sz="4" w:space="0" w:color="000000" w:themeColor="text1"/>
            </w:tcBorders>
            <w:tcMar>
              <w:left w:w="20" w:type="dxa"/>
              <w:right w:w="20" w:type="dxa"/>
            </w:tcMar>
          </w:tcPr>
          <w:p w14:paraId="4F66394F" w14:textId="77777777" w:rsidR="0008002E" w:rsidRPr="00314EED" w:rsidRDefault="0008002E" w:rsidP="00E81465">
            <w:pPr>
              <w:pStyle w:val="TableNumber"/>
              <w:keepNext/>
              <w:jc w:val="left"/>
              <w:rPr>
                <w:lang w:val="en-AU"/>
              </w:rPr>
            </w:pPr>
            <w:r w:rsidRPr="00314EED">
              <w:rPr>
                <w:lang w:val="en-AU"/>
              </w:rPr>
              <w:t>8.7</w:t>
            </w:r>
          </w:p>
        </w:tc>
        <w:tc>
          <w:tcPr>
            <w:tcW w:w="516" w:type="pct"/>
            <w:tcBorders>
              <w:top w:val="single" w:sz="4" w:space="0" w:color="000000" w:themeColor="text1"/>
            </w:tcBorders>
            <w:tcMar>
              <w:left w:w="20" w:type="dxa"/>
              <w:right w:w="20" w:type="dxa"/>
            </w:tcMar>
          </w:tcPr>
          <w:p w14:paraId="1FB1695D" w14:textId="77777777" w:rsidR="0008002E" w:rsidRPr="00314EED" w:rsidRDefault="0008002E" w:rsidP="00E81465">
            <w:pPr>
              <w:pStyle w:val="TableNumber"/>
              <w:keepNext/>
              <w:jc w:val="left"/>
              <w:rPr>
                <w:lang w:val="en-AU"/>
              </w:rPr>
            </w:pPr>
            <w:r w:rsidRPr="00314EED">
              <w:rPr>
                <w:lang w:val="en-AU"/>
              </w:rPr>
              <w:t>0.5</w:t>
            </w:r>
          </w:p>
        </w:tc>
        <w:tc>
          <w:tcPr>
            <w:tcW w:w="993" w:type="pct"/>
            <w:tcBorders>
              <w:top w:val="single" w:sz="4" w:space="0" w:color="000000" w:themeColor="text1"/>
            </w:tcBorders>
            <w:tcMar>
              <w:left w:w="20" w:type="dxa"/>
              <w:right w:w="20" w:type="dxa"/>
            </w:tcMar>
          </w:tcPr>
          <w:p w14:paraId="7423CA35" w14:textId="77777777" w:rsidR="0008002E" w:rsidRPr="00314EED" w:rsidRDefault="0008002E" w:rsidP="00E81465">
            <w:pPr>
              <w:pStyle w:val="TableNumber"/>
              <w:keepNext/>
              <w:rPr>
                <w:lang w:val="en-AU"/>
              </w:rPr>
            </w:pPr>
            <w:r w:rsidRPr="00314EED">
              <w:rPr>
                <w:lang w:val="en-AU"/>
              </w:rPr>
              <w:t>8.2</w:t>
            </w:r>
          </w:p>
        </w:tc>
      </w:tr>
    </w:tbl>
    <w:p w14:paraId="5CEA01A3" w14:textId="77777777" w:rsidR="0008002E" w:rsidRPr="00314EED" w:rsidRDefault="0008002E" w:rsidP="0008002E">
      <w:pPr>
        <w:pStyle w:val="TableFigureFooter"/>
        <w:keepNext/>
      </w:pPr>
      <w:r w:rsidRPr="00314EED">
        <w:t xml:space="preserve">Source: Sections 2.D.5 and 2D.6 of the submission, the TB-2 Clinical Study Report (ARIA safety data by </w:t>
      </w:r>
      <w:r w:rsidRPr="00BB059A">
        <w:rPr>
          <w:i/>
          <w:iCs/>
        </w:rPr>
        <w:t>APOE4</w:t>
      </w:r>
      <w:r w:rsidRPr="00314EED">
        <w:t xml:space="preserve"> carrier status), Zimmer et al (2024) (CDR-G shifts), and the FDA Clinical Review of donanemab (Infusion-related reactions in TB-2)</w:t>
      </w:r>
    </w:p>
    <w:p w14:paraId="184DA22F" w14:textId="30C4ACC8" w:rsidR="0008002E" w:rsidRPr="00314EED" w:rsidRDefault="0008002E" w:rsidP="0008002E">
      <w:pPr>
        <w:pStyle w:val="TableFigureFooter"/>
        <w:keepNext/>
      </w:pPr>
      <w:r w:rsidRPr="00314EED">
        <w:t>AD=Alzheimer</w:t>
      </w:r>
      <w:r w:rsidR="00F4444C">
        <w:t>’s</w:t>
      </w:r>
      <w:r w:rsidRPr="00314EED">
        <w:t xml:space="preserve"> disease; ADAS-Cog13=Alzheimer</w:t>
      </w:r>
      <w:r w:rsidR="00F4444C">
        <w:t>’s</w:t>
      </w:r>
      <w:r w:rsidRPr="00314EED">
        <w:t xml:space="preserve"> Disease Assessment Scale (Cognitive subscale); ADCS-iADL=Alzheimer</w:t>
      </w:r>
      <w:r w:rsidR="00F4444C">
        <w:t>’s</w:t>
      </w:r>
      <w:r w:rsidRPr="00314EED">
        <w:t xml:space="preserve"> Disease Cooperative Study – Instrumental Activities; </w:t>
      </w:r>
      <w:r w:rsidRPr="00BB059A">
        <w:rPr>
          <w:i/>
          <w:iCs/>
        </w:rPr>
        <w:t>APOE4</w:t>
      </w:r>
      <w:r w:rsidRPr="00314EED">
        <w:t xml:space="preserve">=apolipoprotein epsilon 4; CDR-SB=Clinical Dementia Rating scale Sum of Boxes (values range from 0 to 18, with higher scores indicating greater impairment); </w:t>
      </w:r>
      <w:r w:rsidRPr="00314EED">
        <w:rPr>
          <w:szCs w:val="20"/>
        </w:rPr>
        <w:t xml:space="preserve">CDR-G=Clinical Dementia Rating-Global score; </w:t>
      </w:r>
      <w:r w:rsidRPr="00314EED">
        <w:t>CI=confidence interval; iADRS=Integrated Alzheimer</w:t>
      </w:r>
      <w:r w:rsidR="00F4444C">
        <w:t>’s</w:t>
      </w:r>
      <w:r w:rsidRPr="00314EED">
        <w:t xml:space="preserve"> Disease Rating Scale; </w:t>
      </w:r>
      <w:r w:rsidRPr="00314EED">
        <w:rPr>
          <w:szCs w:val="20"/>
        </w:rPr>
        <w:t>MCI=Mild Cognitive Impairment</w:t>
      </w:r>
    </w:p>
    <w:p w14:paraId="7553A1FD" w14:textId="77777777" w:rsidR="0008002E" w:rsidRPr="00314EED" w:rsidRDefault="0008002E" w:rsidP="0008002E">
      <w:pPr>
        <w:pStyle w:val="TableFooter"/>
        <w:keepNext/>
        <w:rPr>
          <w:bCs/>
        </w:rPr>
      </w:pPr>
      <w:r w:rsidRPr="00314EED">
        <w:rPr>
          <w:bCs/>
          <w:vertAlign w:val="superscript"/>
        </w:rPr>
        <w:t>a</w:t>
      </w:r>
      <w:r>
        <w:rPr>
          <w:bCs/>
          <w:vertAlign w:val="superscript"/>
        </w:rPr>
        <w:t xml:space="preserve"> </w:t>
      </w:r>
      <w:r w:rsidRPr="00314EED">
        <w:rPr>
          <w:bCs/>
        </w:rPr>
        <w:t>The iADRS assesses the impact of cognitive loss on the ability to conduct everyday activities and provides a measure of global AD severity across the AD continuum as a single summary score. The composite score comprises two underlying domains: cognitive ability and functional ability. The actual scales administered to participants in the trial were the ADAS Cog13 and the ADCS-ADL.</w:t>
      </w:r>
    </w:p>
    <w:p w14:paraId="247A5A9A" w14:textId="77777777" w:rsidR="0008002E" w:rsidRPr="00314EED" w:rsidRDefault="0008002E" w:rsidP="0008002E">
      <w:pPr>
        <w:pStyle w:val="TableFooter"/>
      </w:pPr>
      <w:r w:rsidRPr="00314EED">
        <w:t>Lower scores on the iADRS indicate greater impairment; iADRS scores range from 0 to 144. All items of the ADAS-Cog13 and ADCS-iADL are included without additional weighting of items.</w:t>
      </w:r>
    </w:p>
    <w:p w14:paraId="04F28ACF" w14:textId="77777777" w:rsidR="0008002E" w:rsidRPr="00314EED" w:rsidRDefault="0008002E" w:rsidP="0008002E">
      <w:pPr>
        <w:pStyle w:val="TableFooter"/>
      </w:pPr>
      <w:r w:rsidRPr="00314EED">
        <w:rPr>
          <w:vertAlign w:val="superscript"/>
        </w:rPr>
        <w:t>b</w:t>
      </w:r>
      <w:r>
        <w:rPr>
          <w:vertAlign w:val="superscript"/>
        </w:rPr>
        <w:t xml:space="preserve"> </w:t>
      </w:r>
      <w:r w:rsidRPr="00314EED">
        <w:t>CDR-G Shift represents change in CDR-G from baseline at two consecutive visits. Only shifts from MCI to Mild AD and from Mild AD to Moderate AD are included in table. Other shifts were imprecise.</w:t>
      </w:r>
    </w:p>
    <w:p w14:paraId="67C3D7E7" w14:textId="77777777" w:rsidR="0008002E" w:rsidRPr="00FA2A19" w:rsidRDefault="0008002E" w:rsidP="00DD02B1">
      <w:pPr>
        <w:pStyle w:val="3-BodyText"/>
        <w:numPr>
          <w:ilvl w:val="1"/>
          <w:numId w:val="23"/>
        </w:numPr>
        <w:spacing w:before="60" w:after="60"/>
        <w:ind w:left="709" w:hanging="709"/>
      </w:pPr>
      <w:r w:rsidRPr="00FA2A19">
        <w:t>On the basis of the key TB-2 trial presented in the submission,</w:t>
      </w:r>
    </w:p>
    <w:p w14:paraId="5F3E954E" w14:textId="08C90837" w:rsidR="0008002E" w:rsidRPr="00EE0EEB" w:rsidRDefault="0008002E" w:rsidP="00DD02B1">
      <w:pPr>
        <w:pStyle w:val="ListParagraph"/>
        <w:numPr>
          <w:ilvl w:val="0"/>
          <w:numId w:val="17"/>
        </w:numPr>
        <w:ind w:left="1080"/>
        <w:rPr>
          <w:color w:val="auto"/>
        </w:rPr>
      </w:pPr>
      <w:r>
        <w:rPr>
          <w:color w:val="auto"/>
        </w:rPr>
        <w:t>Donanemab</w:t>
      </w:r>
      <w:r w:rsidRPr="00EE0EEB">
        <w:rPr>
          <w:color w:val="auto"/>
        </w:rPr>
        <w:t xml:space="preserve"> was associated with </w:t>
      </w:r>
      <w:r>
        <w:rPr>
          <w:color w:val="auto"/>
        </w:rPr>
        <w:t xml:space="preserve">a </w:t>
      </w:r>
      <w:r w:rsidRPr="00EE0EEB">
        <w:rPr>
          <w:color w:val="auto"/>
        </w:rPr>
        <w:t xml:space="preserve">2.92 point </w:t>
      </w:r>
      <w:r>
        <w:rPr>
          <w:color w:val="auto"/>
        </w:rPr>
        <w:t xml:space="preserve">improvement </w:t>
      </w:r>
      <w:r w:rsidRPr="00EE0EEB">
        <w:rPr>
          <w:color w:val="auto"/>
        </w:rPr>
        <w:t>at 76 weeks compared with placebo, as measured on the 0-144 score range of the Integrated Alzheimer</w:t>
      </w:r>
      <w:r w:rsidR="00F4444C">
        <w:rPr>
          <w:color w:val="auto"/>
        </w:rPr>
        <w:t>’s</w:t>
      </w:r>
      <w:r w:rsidRPr="00EE0EEB">
        <w:rPr>
          <w:color w:val="auto"/>
        </w:rPr>
        <w:t xml:space="preserve"> </w:t>
      </w:r>
      <w:r w:rsidRPr="00EE0EEB">
        <w:rPr>
          <w:color w:val="auto"/>
        </w:rPr>
        <w:lastRenderedPageBreak/>
        <w:t>Disease Rating Scale. The delay in decline with donanemab compared with placebo was 1.38 months (approximately 6 weeks).</w:t>
      </w:r>
    </w:p>
    <w:p w14:paraId="7EF2A9BF" w14:textId="77777777" w:rsidR="0008002E" w:rsidRPr="00EE0EEB" w:rsidRDefault="0008002E" w:rsidP="00DD02B1">
      <w:pPr>
        <w:pStyle w:val="ListParagraph"/>
        <w:numPr>
          <w:ilvl w:val="0"/>
          <w:numId w:val="17"/>
        </w:numPr>
        <w:ind w:left="1080"/>
        <w:rPr>
          <w:color w:val="auto"/>
        </w:rPr>
      </w:pPr>
      <w:r>
        <w:rPr>
          <w:color w:val="auto"/>
        </w:rPr>
        <w:t>Donanemab</w:t>
      </w:r>
      <w:r w:rsidRPr="00EE0EEB">
        <w:rPr>
          <w:color w:val="auto"/>
        </w:rPr>
        <w:t xml:space="preserve"> was associated with </w:t>
      </w:r>
      <w:r>
        <w:rPr>
          <w:color w:val="auto"/>
        </w:rPr>
        <w:t xml:space="preserve">a </w:t>
      </w:r>
      <w:r w:rsidRPr="00EE0EEB">
        <w:rPr>
          <w:color w:val="auto"/>
        </w:rPr>
        <w:t xml:space="preserve">0.67 point </w:t>
      </w:r>
      <w:r>
        <w:rPr>
          <w:color w:val="auto"/>
        </w:rPr>
        <w:t>improvement</w:t>
      </w:r>
      <w:r w:rsidRPr="00EE0EEB">
        <w:rPr>
          <w:color w:val="auto"/>
        </w:rPr>
        <w:t xml:space="preserve"> at 76 weeks compared with placebo, as measured on the 0-18 score range of the Clinical Dementia Rating Sum of Boxes scale. The delay in decline with donanemab compared with placebo was 5.44 months (approximately 24 weeks).</w:t>
      </w:r>
    </w:p>
    <w:p w14:paraId="3E67117A" w14:textId="15BD71E9" w:rsidR="0008002E" w:rsidRPr="00EE0EEB" w:rsidRDefault="0008002E" w:rsidP="00DD02B1">
      <w:pPr>
        <w:pStyle w:val="ListParagraph"/>
        <w:numPr>
          <w:ilvl w:val="0"/>
          <w:numId w:val="17"/>
        </w:numPr>
        <w:ind w:left="1080"/>
        <w:rPr>
          <w:color w:val="auto"/>
        </w:rPr>
      </w:pPr>
      <w:r w:rsidRPr="00EE0EEB">
        <w:rPr>
          <w:color w:val="auto"/>
        </w:rPr>
        <w:t xml:space="preserve">Of 100 patients treated with donanemab in comparison to placebo over a study period of 76 weeks, 12 </w:t>
      </w:r>
      <w:r>
        <w:rPr>
          <w:color w:val="auto"/>
        </w:rPr>
        <w:t>fewer</w:t>
      </w:r>
      <w:r w:rsidRPr="00EE0EEB">
        <w:rPr>
          <w:color w:val="auto"/>
        </w:rPr>
        <w:t xml:space="preserve"> patients will progress from MCI to Mild AD dementia and 10 </w:t>
      </w:r>
      <w:r>
        <w:rPr>
          <w:color w:val="auto"/>
        </w:rPr>
        <w:t>fewer</w:t>
      </w:r>
      <w:r w:rsidRPr="00EE0EEB">
        <w:rPr>
          <w:color w:val="auto"/>
        </w:rPr>
        <w:t xml:space="preserve"> patients will progress from Mild AD dementia to Moderate AD dementia. All patients will eventually progress to a later disease stage.</w:t>
      </w:r>
    </w:p>
    <w:p w14:paraId="1316505C" w14:textId="77777777" w:rsidR="0008002E" w:rsidRPr="00EE0EEB" w:rsidRDefault="0008002E" w:rsidP="00DD02B1">
      <w:pPr>
        <w:pStyle w:val="ListParagraph"/>
        <w:numPr>
          <w:ilvl w:val="0"/>
          <w:numId w:val="17"/>
        </w:numPr>
        <w:ind w:left="1080"/>
        <w:rPr>
          <w:color w:val="auto"/>
        </w:rPr>
      </w:pPr>
      <w:r w:rsidRPr="00EE0EEB">
        <w:rPr>
          <w:color w:val="auto"/>
        </w:rPr>
        <w:t>For every 100 patients treated with donanemab in comparison to no active treatment over a study period of 76 weeks,</w:t>
      </w:r>
    </w:p>
    <w:p w14:paraId="5A15A77F" w14:textId="77777777" w:rsidR="0008002E" w:rsidRPr="00EE0EEB" w:rsidRDefault="0008002E" w:rsidP="00DD02B1">
      <w:pPr>
        <w:pStyle w:val="ListParagraph"/>
        <w:numPr>
          <w:ilvl w:val="1"/>
          <w:numId w:val="17"/>
        </w:numPr>
        <w:ind w:left="1440"/>
        <w:rPr>
          <w:color w:val="auto"/>
        </w:rPr>
      </w:pPr>
      <w:r w:rsidRPr="00EE0EEB">
        <w:rPr>
          <w:color w:val="auto"/>
        </w:rPr>
        <w:t xml:space="preserve">22 additional patients will experience some swelling in the brain (ARIA-E), noting this risk is particularly increased in </w:t>
      </w:r>
      <w:r w:rsidRPr="00EE0EEB">
        <w:rPr>
          <w:i/>
          <w:iCs/>
          <w:color w:val="auto"/>
        </w:rPr>
        <w:t>APOE4</w:t>
      </w:r>
      <w:r w:rsidRPr="00EE0EEB">
        <w:rPr>
          <w:color w:val="auto"/>
        </w:rPr>
        <w:t xml:space="preserve"> homozygotes who are excluded from the target population.</w:t>
      </w:r>
    </w:p>
    <w:p w14:paraId="0BC79752" w14:textId="77777777" w:rsidR="0008002E" w:rsidRPr="00EE0EEB" w:rsidRDefault="0008002E" w:rsidP="00DD02B1">
      <w:pPr>
        <w:pStyle w:val="ListParagraph"/>
        <w:numPr>
          <w:ilvl w:val="1"/>
          <w:numId w:val="17"/>
        </w:numPr>
        <w:ind w:left="1440"/>
        <w:rPr>
          <w:color w:val="auto"/>
        </w:rPr>
      </w:pPr>
      <w:r w:rsidRPr="00EE0EEB">
        <w:rPr>
          <w:color w:val="auto"/>
        </w:rPr>
        <w:t xml:space="preserve">18 additional patients will experience some bleeding in the brain (ARIA-H), noting this risk is particularly increased in </w:t>
      </w:r>
      <w:r w:rsidRPr="00EE0EEB">
        <w:rPr>
          <w:i/>
          <w:iCs/>
          <w:color w:val="auto"/>
        </w:rPr>
        <w:t>APOE4</w:t>
      </w:r>
      <w:r w:rsidRPr="00EE0EEB">
        <w:rPr>
          <w:color w:val="auto"/>
        </w:rPr>
        <w:t xml:space="preserve"> homozygotes who are excluded from the target population.</w:t>
      </w:r>
    </w:p>
    <w:p w14:paraId="0304D2A6" w14:textId="77777777" w:rsidR="0008002E" w:rsidRPr="00EE0EEB" w:rsidRDefault="0008002E" w:rsidP="00DD02B1">
      <w:pPr>
        <w:pStyle w:val="ListParagraph"/>
        <w:numPr>
          <w:ilvl w:val="1"/>
          <w:numId w:val="17"/>
        </w:numPr>
        <w:ind w:left="1440"/>
        <w:rPr>
          <w:color w:val="auto"/>
        </w:rPr>
      </w:pPr>
      <w:r w:rsidRPr="00EE0EEB">
        <w:rPr>
          <w:color w:val="auto"/>
        </w:rPr>
        <w:t>8 additional patients will experience infusion-related reactions.</w:t>
      </w:r>
    </w:p>
    <w:p w14:paraId="6B11E412" w14:textId="77777777" w:rsidR="0008002E" w:rsidRPr="004A46DA" w:rsidRDefault="0008002E" w:rsidP="004A46DA">
      <w:pPr>
        <w:pStyle w:val="4-SubsectionHeading"/>
      </w:pPr>
      <w:r w:rsidRPr="004A46DA">
        <w:t>Clinical claim</w:t>
      </w:r>
    </w:p>
    <w:p w14:paraId="28678878" w14:textId="77777777" w:rsidR="0008002E" w:rsidRPr="00FA2A19" w:rsidRDefault="0008002E" w:rsidP="00DD02B1">
      <w:pPr>
        <w:pStyle w:val="3-BodyText"/>
        <w:numPr>
          <w:ilvl w:val="1"/>
          <w:numId w:val="23"/>
        </w:numPr>
        <w:spacing w:before="60" w:after="60"/>
        <w:ind w:left="709" w:hanging="709"/>
      </w:pPr>
      <w:r w:rsidRPr="00FA2A19">
        <w:t xml:space="preserve">The submission described donanemab + SoC as superior in terms of effectiveness compared with current SoC and having an inferior but manageable safety profile, in patients with early symptomatic AD with evidence of Aß pathology, who are not </w:t>
      </w:r>
      <w:r w:rsidRPr="00FA2A19">
        <w:rPr>
          <w:i/>
        </w:rPr>
        <w:t>APOE4</w:t>
      </w:r>
      <w:r w:rsidRPr="00FA2A19">
        <w:t xml:space="preserve"> homozygotes and who do not have a baseline presence of superficial siderosis and more than 2 microhemorrhages.</w:t>
      </w:r>
    </w:p>
    <w:p w14:paraId="26EB2CCD" w14:textId="77777777" w:rsidR="0008002E" w:rsidRPr="00FA2A19" w:rsidRDefault="0008002E" w:rsidP="00DD02B1">
      <w:pPr>
        <w:pStyle w:val="3-BodyText"/>
        <w:numPr>
          <w:ilvl w:val="1"/>
          <w:numId w:val="23"/>
        </w:numPr>
        <w:spacing w:before="60" w:after="60"/>
        <w:ind w:left="709" w:hanging="709"/>
      </w:pPr>
      <w:r w:rsidRPr="00FA2A19">
        <w:t xml:space="preserve">In terms of comparative effectiveness, the </w:t>
      </w:r>
      <w:r w:rsidRPr="0084602E">
        <w:rPr>
          <w:iCs/>
        </w:rPr>
        <w:t>ESCs</w:t>
      </w:r>
      <w:r w:rsidRPr="00FA2A19">
        <w:t xml:space="preserve"> considered that,</w:t>
      </w:r>
      <w:r w:rsidRPr="00FA2A19" w:rsidDel="008C2159">
        <w:t xml:space="preserve"> </w:t>
      </w:r>
      <w:r w:rsidRPr="00FA2A19">
        <w:t xml:space="preserve">although in patients with a clinical diagnosis of MCI due to AD or mild AD dementia who are not </w:t>
      </w:r>
      <w:r w:rsidRPr="00FA2A19">
        <w:rPr>
          <w:i/>
        </w:rPr>
        <w:t>APOE4</w:t>
      </w:r>
      <w:r w:rsidRPr="00FA2A19">
        <w:t xml:space="preserve"> homozygotes, and who do not have evidence of superficial siderosis and more than 2 microhemorrhages, donanemab ± SoC was statistically significantly superior to no active therapy ± SoC in the rate of decline (slowing) of clinical disease progression in cognitive and functional scales at 76 weeks, the clinical</w:t>
      </w:r>
      <w:r w:rsidRPr="00FA2A19" w:rsidDel="00431AB8">
        <w:t xml:space="preserve"> </w:t>
      </w:r>
      <w:r w:rsidRPr="00FA2A19">
        <w:t>significance and long-term effects of donanemab treatment were highly uncertain as:</w:t>
      </w:r>
    </w:p>
    <w:p w14:paraId="272279B5" w14:textId="5AFC87B5" w:rsidR="0008002E" w:rsidRPr="004A46DA" w:rsidRDefault="0008002E" w:rsidP="00DE7D44">
      <w:pPr>
        <w:pStyle w:val="PBACESParagraphBulletPoint"/>
        <w:ind w:left="1080"/>
      </w:pPr>
      <w:r w:rsidRPr="00314EED">
        <w:t>In the TB-2 overall population, for the primary outcome of iADRS with a score range of 0</w:t>
      </w:r>
      <w:r>
        <w:t xml:space="preserve"> to </w:t>
      </w:r>
      <w:r w:rsidRPr="00314EED">
        <w:t>144, the iADRs score worsened from baseline to Week 76 by 10 points in patients who received donanemab and by 13 points in those given placebo. This corresponded to a statistically significant difference of 2.92 (95% CI: 1.51, 4.33; p&lt;0.001) favouring donanemab over placebo (22.3% relative reduction in decline of progression). The estimated delay in disease progression associated with donanemab on the iADRS was approximately 6 weeks (1.38 months</w:t>
      </w:r>
      <w:r w:rsidR="009F7946">
        <w:t>;</w:t>
      </w:r>
      <w:r w:rsidRPr="00314EED">
        <w:t xml:space="preserve"> 95% CI: 0.46, 2.30).</w:t>
      </w:r>
      <w:r>
        <w:t xml:space="preserve"> </w:t>
      </w:r>
      <w:r w:rsidRPr="004A46DA">
        <w:t xml:space="preserve">The ESCs considered that the estimated differences were modest. The ESCs considered that it was highly uncertain if the degree of slowing in clinical </w:t>
      </w:r>
      <w:r w:rsidRPr="004A46DA">
        <w:lastRenderedPageBreak/>
        <w:t xml:space="preserve">progression was clinically meaningful and if it would produce a noticeable benefit to patients and caregivers. </w:t>
      </w:r>
    </w:p>
    <w:p w14:paraId="70A3E84C" w14:textId="04F9BA12" w:rsidR="0008002E" w:rsidRPr="004A46DA" w:rsidRDefault="0008002E" w:rsidP="00DE7D44">
      <w:pPr>
        <w:pStyle w:val="PBACESParagraphBulletPoint"/>
        <w:ind w:left="1080"/>
      </w:pPr>
      <w:r w:rsidRPr="00314EED">
        <w:t xml:space="preserve">For the secondary outcome of CDR-SB (score range of 0-18) change from baseline to Week 76 in the overall population, the mean difference between donanemab and placebo </w:t>
      </w:r>
      <w:r>
        <w:t>was</w:t>
      </w:r>
      <w:r w:rsidRPr="00314EED">
        <w:t xml:space="preserve"> statistically significant (-0.67</w:t>
      </w:r>
      <w:r w:rsidR="003C6BCB">
        <w:t>;</w:t>
      </w:r>
      <w:r w:rsidRPr="00314EED">
        <w:t xml:space="preserve"> 95% CI: -0.92, -0.43</w:t>
      </w:r>
      <w:r w:rsidR="003C6BCB">
        <w:t>)</w:t>
      </w:r>
      <w:r w:rsidRPr="00314EED">
        <w:t>.</w:t>
      </w:r>
      <w:r>
        <w:t xml:space="preserve"> </w:t>
      </w:r>
      <w:r w:rsidRPr="00314EED">
        <w:t>This difference corresponded to a 28.9% relative reduction in decline associated with donanemab and a delay in progression of 5.44 months (95% CI: 3.90, 6.98) over the 76-week trial period.</w:t>
      </w:r>
      <w:r>
        <w:t xml:space="preserve"> </w:t>
      </w:r>
      <w:r w:rsidRPr="004A46DA">
        <w:t>The ESCs considered that the estimated differences were modest. The ESCs considered that it was uncertain if the degree of slowing in clinical progression was clinically meaningful and if it would produce a noticeable benefit to patients and caregivers.</w:t>
      </w:r>
    </w:p>
    <w:p w14:paraId="5B1399C1" w14:textId="06533CF0" w:rsidR="0008002E" w:rsidRPr="00314EED" w:rsidRDefault="0008002E" w:rsidP="00DE7D44">
      <w:pPr>
        <w:pStyle w:val="PBACESParagraphBulletPoint"/>
        <w:ind w:left="1080"/>
      </w:pPr>
      <w:r w:rsidRPr="00314EED">
        <w:t>Based on CDR-G shifts</w:t>
      </w:r>
      <w:r w:rsidRPr="00314EED">
        <w:rPr>
          <w:vertAlign w:val="superscript"/>
        </w:rPr>
        <w:footnoteReference w:id="46"/>
      </w:r>
      <w:r w:rsidRPr="00314EED">
        <w:t xml:space="preserve"> from baseline, fewer patients in the donanemab arm compared with the placebo arm progressed to the next clinical stage (first CDR-G clinical worsening). Patients treated with donanemab had a 37% lower hazard of progression to the next stage of the disease as measured by the CDR-G shift (HR </w:t>
      </w:r>
      <w:r>
        <w:t xml:space="preserve">= </w:t>
      </w:r>
      <w:r w:rsidRPr="00314EED">
        <w:t>0.63</w:t>
      </w:r>
      <w:r w:rsidR="003C6BCB">
        <w:t>;</w:t>
      </w:r>
      <w:r w:rsidRPr="00314EED">
        <w:t xml:space="preserve"> 95% CI</w:t>
      </w:r>
      <w:r>
        <w:t>:</w:t>
      </w:r>
      <w:r w:rsidRPr="00314EED">
        <w:t xml:space="preserve"> 0.51, 0.77; p&lt;0.0001) through to Week 76. However, </w:t>
      </w:r>
      <w:r w:rsidRPr="004A46DA">
        <w:t>the ESCs noted that</w:t>
      </w:r>
      <w:r>
        <w:t xml:space="preserve"> the</w:t>
      </w:r>
      <w:r w:rsidRPr="00314EED">
        <w:t xml:space="preserve"> differences between the donanemab and placebo arms in the percentage of patients progressing from MCI to mild AD dementia (-12.1%), and from mild AD dementia to moderate AD dementia (-9.7%)</w:t>
      </w:r>
      <w:r>
        <w:t xml:space="preserve"> were modest</w:t>
      </w:r>
      <w:r w:rsidRPr="00314EED">
        <w:t>.</w:t>
      </w:r>
    </w:p>
    <w:p w14:paraId="19FE5B8E" w14:textId="77777777" w:rsidR="0008002E" w:rsidRPr="00314EED" w:rsidRDefault="0008002E" w:rsidP="00DE7D44">
      <w:pPr>
        <w:pStyle w:val="PBACESParagraphBulletPoint"/>
        <w:ind w:left="1080"/>
      </w:pPr>
      <w:r>
        <w:t>F</w:t>
      </w:r>
      <w:r w:rsidRPr="00314EED">
        <w:t>or the proposed TGA population (</w:t>
      </w:r>
      <w:r>
        <w:t xml:space="preserve">i.e. </w:t>
      </w:r>
      <w:r w:rsidRPr="00314EED">
        <w:t xml:space="preserve">excludes patients who are </w:t>
      </w:r>
      <w:r w:rsidRPr="00D97908">
        <w:rPr>
          <w:i/>
          <w:iCs/>
        </w:rPr>
        <w:t>APOE4</w:t>
      </w:r>
      <w:r w:rsidRPr="00314EED">
        <w:t xml:space="preserve"> homozygotes or those with evidence of superficial siderosis/more than 2 microhemorrhages)</w:t>
      </w:r>
      <w:r>
        <w:t>,</w:t>
      </w:r>
      <w:r w:rsidRPr="00314EED">
        <w:t xml:space="preserve"> which made up 80% of the overall TB-2 trial population, the effectiveness results were generally similar to those of the overall population for the majority of the outcomes. The difference between the donanemab and placebo treatment arms in iADRS change from baseline to Week 76 was -3.34 corresponding to a 24.4% relative reduction in decline.</w:t>
      </w:r>
    </w:p>
    <w:p w14:paraId="4E0B1347" w14:textId="77777777" w:rsidR="0008002E" w:rsidRPr="004A46DA" w:rsidRDefault="0008002E" w:rsidP="00DD02B1">
      <w:pPr>
        <w:pStyle w:val="3-BodyText"/>
        <w:numPr>
          <w:ilvl w:val="1"/>
          <w:numId w:val="23"/>
        </w:numPr>
        <w:spacing w:before="60" w:after="60"/>
        <w:ind w:left="709" w:hanging="709"/>
      </w:pPr>
      <w:r w:rsidRPr="004A46DA">
        <w:t>The ESCs also noted the following additional clinical issues when interpreting the TB-2 data:</w:t>
      </w:r>
    </w:p>
    <w:p w14:paraId="19EF6994" w14:textId="77777777" w:rsidR="0008002E" w:rsidRPr="004A46DA" w:rsidRDefault="0008002E" w:rsidP="00DE7D44">
      <w:pPr>
        <w:pStyle w:val="PBACESParagraphBulletPoint"/>
        <w:ind w:left="1080"/>
      </w:pPr>
      <w:r w:rsidRPr="004A46DA">
        <w:rPr>
          <w:bCs/>
          <w:color w:val="auto"/>
        </w:rPr>
        <w:t xml:space="preserve">Although 76.4% of patients in the donanemab arm achieved amyloid clearance compared to 0.3% in the placebo arm after 76 weeks, the difference in iADRS between the arms was modest. Thus, the ESCs considered that the effect of amyloid clearance on the clinical effects and progression of AD remained uncertain. </w:t>
      </w:r>
    </w:p>
    <w:p w14:paraId="10B223FE" w14:textId="77777777" w:rsidR="0008002E" w:rsidRPr="004A46DA" w:rsidRDefault="0008002E" w:rsidP="00DE7D44">
      <w:pPr>
        <w:pStyle w:val="PBACESParagraphBulletPoint"/>
        <w:ind w:left="1080"/>
      </w:pPr>
      <w:r w:rsidRPr="004A46DA">
        <w:t>The duration of clinical benefit beyond the trial period was unclear, in relation to re-accumulation of amyloid plaques and in relation to any sustained treatment effect beyond 18 months.</w:t>
      </w:r>
    </w:p>
    <w:p w14:paraId="1D1B76DB" w14:textId="77777777" w:rsidR="0008002E" w:rsidRPr="00314EED" w:rsidRDefault="0008002E" w:rsidP="00DE7D44">
      <w:pPr>
        <w:pStyle w:val="PBACESParagraphBulletPoint"/>
        <w:ind w:left="1080"/>
      </w:pPr>
      <w:r w:rsidRPr="00314EED">
        <w:t xml:space="preserve">Tau levels informed the inclusion criteria of the TB-2 trial. </w:t>
      </w:r>
      <w:r>
        <w:t>N</w:t>
      </w:r>
      <w:r w:rsidRPr="00314EED">
        <w:t xml:space="preserve">oting </w:t>
      </w:r>
      <w:r>
        <w:t>that testing for tau in clinical practice is unavailable in Australia, the ESCs noted that t</w:t>
      </w:r>
      <w:r w:rsidRPr="00314EED">
        <w:t xml:space="preserve">he evidence of benefit appeared better supported in patients with lower tau burden </w:t>
      </w:r>
      <w:r w:rsidRPr="00314EED">
        <w:lastRenderedPageBreak/>
        <w:t>(Intermediate tau subgroup</w:t>
      </w:r>
      <w:r>
        <w:t>; 35.1% reduction in disease decline associated with donanemab</w:t>
      </w:r>
      <w:r w:rsidRPr="00314EED">
        <w:t xml:space="preserve">), </w:t>
      </w:r>
      <w:r>
        <w:t xml:space="preserve">with a smaller </w:t>
      </w:r>
      <w:r w:rsidRPr="00314EED">
        <w:t>potential clinical advantage in patients with higher tau burden (High tau subgroup</w:t>
      </w:r>
      <w:r>
        <w:t>; 6% reduction in disease decline</w:t>
      </w:r>
      <w:r w:rsidRPr="00314EED">
        <w:t xml:space="preserve">) who have more progressed disease. </w:t>
      </w:r>
      <w:r w:rsidRPr="004A46DA">
        <w:t>The ESCs noted that</w:t>
      </w:r>
      <w:r>
        <w:t xml:space="preserve"> th</w:t>
      </w:r>
      <w:r w:rsidRPr="00314EED">
        <w:t xml:space="preserve">is issue complicates the careful selection of patients who are most likely to benefit from donanemab. </w:t>
      </w:r>
    </w:p>
    <w:p w14:paraId="41AB7026" w14:textId="77777777" w:rsidR="0008002E" w:rsidRPr="00314EED" w:rsidRDefault="0008002E" w:rsidP="00DE7D44">
      <w:pPr>
        <w:pStyle w:val="PBACESParagraphBulletPoint"/>
        <w:ind w:left="1080"/>
      </w:pPr>
      <w:r w:rsidRPr="00314EED">
        <w:t xml:space="preserve">No reliable health related QoL data were captured in the key TB-2 trial. QoL data were based on a small subset of patients and were not deemed reasonably adequate to capture and inform on the impact of donanemab in improving the QoL of patients and their care givers. </w:t>
      </w:r>
      <w:r w:rsidRPr="00314EED" w:rsidDel="007B16D9">
        <w:t>However, QoL is an important consideration in AD because of the devastating impact of this progressive and incurable disease on patients and caregivers.</w:t>
      </w:r>
    </w:p>
    <w:p w14:paraId="68FA2B4F" w14:textId="77777777" w:rsidR="0008002E" w:rsidRDefault="0008002E" w:rsidP="00DE7D44">
      <w:pPr>
        <w:pStyle w:val="PBACESParagraphBulletPoint"/>
        <w:ind w:left="1080"/>
      </w:pPr>
      <w:r>
        <w:t>T</w:t>
      </w:r>
      <w:r w:rsidRPr="00314EED">
        <w:t>he primary and secondary cognitive and functional outcomes are subjective in nature and potential unblinding due to the high risk of donanemab-related ARIA could have introduced performance bias or functional unblinding impacting patient and carer responses.</w:t>
      </w:r>
    </w:p>
    <w:p w14:paraId="605C56CE" w14:textId="77777777" w:rsidR="0008002E" w:rsidRPr="00314EED" w:rsidRDefault="0008002E" w:rsidP="00DD02B1">
      <w:pPr>
        <w:pStyle w:val="ListParagraph"/>
        <w:numPr>
          <w:ilvl w:val="0"/>
          <w:numId w:val="21"/>
        </w:numPr>
        <w:ind w:left="1080"/>
      </w:pPr>
      <w:r>
        <w:t>T</w:t>
      </w:r>
      <w:r w:rsidRPr="00314EED">
        <w:t>he TB-2 trial excluded a significant proportion of patients with concomitant medical conditions that are typical of the elderly population with AD, thereby potentially limiting the generalisability of the study results. Overall, the TB-2 trial patients represent a selected healthy and minimally co-morbid early AD population unlikely to be representative of the real-world target population.</w:t>
      </w:r>
    </w:p>
    <w:p w14:paraId="517B0642" w14:textId="61FABC70" w:rsidR="0008002E" w:rsidRPr="004A46DA" w:rsidRDefault="0008002E" w:rsidP="00DD02B1">
      <w:pPr>
        <w:pStyle w:val="3-BodyText"/>
        <w:numPr>
          <w:ilvl w:val="1"/>
          <w:numId w:val="23"/>
        </w:numPr>
        <w:spacing w:before="60" w:after="60"/>
        <w:ind w:left="709" w:hanging="709"/>
      </w:pPr>
      <w:r w:rsidRPr="004A46DA">
        <w:t>The ESC</w:t>
      </w:r>
      <w:r w:rsidR="004610B5">
        <w:t>s</w:t>
      </w:r>
      <w:r w:rsidRPr="004A46DA">
        <w:t xml:space="preserve"> considered that the claim of inferior safety was supported by the evidence presented in the submission. The submission also claimed that the AEs associated with donanemab were manageable. The ESCs considered that this was uncertain, noting that this should be interpreted within the context that ARIA events represent significant risks for which there is no evidence-based treatment and careful patient selection is required. Additionally, in terms of safety, the ESC</w:t>
      </w:r>
      <w:r w:rsidR="004610B5">
        <w:t>s</w:t>
      </w:r>
      <w:r w:rsidRPr="004A46DA">
        <w:t xml:space="preserve"> noted that:</w:t>
      </w:r>
    </w:p>
    <w:p w14:paraId="77AC019E" w14:textId="7C78885E" w:rsidR="0008002E" w:rsidRPr="004A46DA" w:rsidRDefault="0008002E" w:rsidP="00DD02B1">
      <w:pPr>
        <w:pStyle w:val="ListParagraph"/>
        <w:numPr>
          <w:ilvl w:val="4"/>
          <w:numId w:val="22"/>
        </w:numPr>
        <w:ind w:left="1080"/>
      </w:pPr>
      <w:r w:rsidRPr="004A46DA">
        <w:t xml:space="preserve">The proposed target population excludes patients who are </w:t>
      </w:r>
      <w:r w:rsidRPr="000B7647">
        <w:rPr>
          <w:i/>
          <w:iCs/>
        </w:rPr>
        <w:t>APO</w:t>
      </w:r>
      <w:r w:rsidR="000B7647">
        <w:rPr>
          <w:i/>
          <w:iCs/>
        </w:rPr>
        <w:t>E</w:t>
      </w:r>
      <w:r w:rsidRPr="000B7647">
        <w:rPr>
          <w:i/>
          <w:iCs/>
        </w:rPr>
        <w:t>4</w:t>
      </w:r>
      <w:r w:rsidRPr="004A46DA">
        <w:t xml:space="preserve"> homozygotes. These patients represent those with the highest risk of ARIA compared to heterozygotes and non-carriers. However, a concern is raised regarding the significant percentage of patients in the donanemab arm who experienced ARIA-E and ARIA-H in TB-2, particularly in the non-carriers (ARIA-E 16%; ARIA-H 19%) who are at the lowest risk of ARIA. .</w:t>
      </w:r>
    </w:p>
    <w:p w14:paraId="1CC6FCF7" w14:textId="77777777" w:rsidR="0008002E" w:rsidRPr="004A46DA" w:rsidRDefault="0008002E" w:rsidP="00DD02B1">
      <w:pPr>
        <w:pStyle w:val="ListParagraph"/>
        <w:numPr>
          <w:ilvl w:val="4"/>
          <w:numId w:val="22"/>
        </w:numPr>
        <w:ind w:left="1080"/>
      </w:pPr>
      <w:r w:rsidRPr="004A46DA">
        <w:t>Safety assessment in a closely monitored trial is also expected to be more efficient compared to clinical practice where there is limited access to MRIs and other required tests.</w:t>
      </w:r>
    </w:p>
    <w:p w14:paraId="0F40516E" w14:textId="77777777" w:rsidR="00053D51" w:rsidRPr="00AE3FC7" w:rsidRDefault="0008002E" w:rsidP="00DD02B1">
      <w:pPr>
        <w:pStyle w:val="3-BodyText"/>
        <w:numPr>
          <w:ilvl w:val="1"/>
          <w:numId w:val="23"/>
        </w:numPr>
        <w:spacing w:before="60" w:after="60"/>
        <w:ind w:left="709" w:hanging="709"/>
      </w:pPr>
      <w:r w:rsidRPr="004A46DA">
        <w:t xml:space="preserve">The ESCs noted that additional data collection would not resolve many of the uncertainties raised. Overall, whilst donanemab may provide a modest benefit for some individuals with early symptomatic AD, it may also introduce additional risk and burden to a potentially significant proportion of patients who will experience minimal </w:t>
      </w:r>
      <w:r w:rsidRPr="00AE3FC7">
        <w:t xml:space="preserve">or no benefit in slowing disease decline. This may also impact clinicians and healthcare systems. </w:t>
      </w:r>
      <w:bookmarkStart w:id="43" w:name="_Hlk76376200"/>
    </w:p>
    <w:p w14:paraId="463F3B1E" w14:textId="394DBA4F" w:rsidR="00053D51" w:rsidRPr="00AE3FC7" w:rsidRDefault="00053D51" w:rsidP="00DD02B1">
      <w:pPr>
        <w:pStyle w:val="3-BodyText"/>
        <w:numPr>
          <w:ilvl w:val="1"/>
          <w:numId w:val="23"/>
        </w:numPr>
        <w:spacing w:before="60" w:after="60"/>
        <w:ind w:left="709" w:hanging="709"/>
      </w:pPr>
      <w:r w:rsidRPr="00AE3FC7">
        <w:rPr>
          <w:iCs/>
        </w:rPr>
        <w:lastRenderedPageBreak/>
        <w:t>The</w:t>
      </w:r>
      <w:r w:rsidRPr="00AE3FC7">
        <w:rPr>
          <w:szCs w:val="20"/>
        </w:rPr>
        <w:t xml:space="preserve"> PBAC considered that the claim of superior comparative effectiveness was reasonable</w:t>
      </w:r>
      <w:r w:rsidR="00883137" w:rsidRPr="00AE3FC7">
        <w:rPr>
          <w:szCs w:val="20"/>
        </w:rPr>
        <w:t xml:space="preserve"> in terms of </w:t>
      </w:r>
      <w:r w:rsidR="00602BA7" w:rsidRPr="00AE3FC7">
        <w:rPr>
          <w:szCs w:val="20"/>
        </w:rPr>
        <w:t xml:space="preserve">achieving </w:t>
      </w:r>
      <w:r w:rsidR="00883137" w:rsidRPr="00AE3FC7">
        <w:rPr>
          <w:szCs w:val="20"/>
        </w:rPr>
        <w:t xml:space="preserve">amyloid clearance, </w:t>
      </w:r>
      <w:r w:rsidR="00602BA7" w:rsidRPr="00AE3FC7">
        <w:rPr>
          <w:szCs w:val="20"/>
        </w:rPr>
        <w:t xml:space="preserve">but that the </w:t>
      </w:r>
      <w:r w:rsidR="00F521B9" w:rsidRPr="00AE3FC7">
        <w:rPr>
          <w:szCs w:val="20"/>
        </w:rPr>
        <w:t>effect</w:t>
      </w:r>
      <w:r w:rsidR="00602BA7" w:rsidRPr="00AE3FC7">
        <w:rPr>
          <w:szCs w:val="20"/>
        </w:rPr>
        <w:t xml:space="preserve"> of this </w:t>
      </w:r>
      <w:r w:rsidR="00F521B9" w:rsidRPr="00AE3FC7">
        <w:rPr>
          <w:szCs w:val="20"/>
        </w:rPr>
        <w:t>on the clinical effects and progression of AD was very modest and not likely to be clinically meaningful.</w:t>
      </w:r>
      <w:r w:rsidR="00602BA7" w:rsidRPr="00AE3FC7">
        <w:rPr>
          <w:szCs w:val="20"/>
        </w:rPr>
        <w:t xml:space="preserve"> </w:t>
      </w:r>
    </w:p>
    <w:p w14:paraId="01C8CBB0" w14:textId="441C7399" w:rsidR="00D8297B" w:rsidRPr="00D8297B" w:rsidRDefault="00053D51" w:rsidP="00D8297B">
      <w:pPr>
        <w:pStyle w:val="3-BodyText"/>
        <w:numPr>
          <w:ilvl w:val="1"/>
          <w:numId w:val="23"/>
        </w:numPr>
        <w:spacing w:before="60" w:after="60"/>
        <w:ind w:left="709" w:hanging="709"/>
      </w:pPr>
      <w:r w:rsidRPr="00AE3FC7">
        <w:rPr>
          <w:szCs w:val="20"/>
        </w:rPr>
        <w:t>The PBAC considered that the claim of inferior comparative safety was reasonable.</w:t>
      </w:r>
      <w:bookmarkEnd w:id="43"/>
    </w:p>
    <w:p w14:paraId="093F387E" w14:textId="76FE516A" w:rsidR="00D8297B" w:rsidRPr="00D8297B" w:rsidRDefault="00D8297B" w:rsidP="00D8297B">
      <w:pPr>
        <w:pStyle w:val="4-SubsectionHeading"/>
        <w:rPr>
          <w:szCs w:val="24"/>
        </w:rPr>
      </w:pPr>
      <w:r>
        <w:t>Claim of codependence</w:t>
      </w:r>
    </w:p>
    <w:p w14:paraId="0996C2AF" w14:textId="77777777" w:rsidR="00D8297B" w:rsidRDefault="000866D7" w:rsidP="00D8297B">
      <w:pPr>
        <w:pStyle w:val="3-BodyText"/>
        <w:numPr>
          <w:ilvl w:val="1"/>
          <w:numId w:val="23"/>
        </w:numPr>
        <w:spacing w:before="60" w:after="60"/>
        <w:ind w:left="709" w:hanging="709"/>
      </w:pPr>
      <w:r w:rsidRPr="00EE0EEB">
        <w:t xml:space="preserve">Amyloid plaques are implicated in the pathophysiology of AD. Both Aβ-PET and Aβ42 concentration in the CSF appear to be predictive of amyloid status. </w:t>
      </w:r>
    </w:p>
    <w:p w14:paraId="77B76A58" w14:textId="77777777" w:rsidR="00D8297B" w:rsidRDefault="000866D7" w:rsidP="00D8297B">
      <w:pPr>
        <w:pStyle w:val="3-BodyText"/>
        <w:numPr>
          <w:ilvl w:val="1"/>
          <w:numId w:val="23"/>
        </w:numPr>
        <w:spacing w:before="60" w:after="60"/>
        <w:ind w:left="709" w:hanging="709"/>
      </w:pPr>
      <w:r w:rsidRPr="00EE0EEB">
        <w:t xml:space="preserve">There </w:t>
      </w:r>
      <w:r w:rsidR="00D8297B">
        <w:t>is</w:t>
      </w:r>
      <w:r w:rsidRPr="00EE0EEB">
        <w:t xml:space="preserve"> a clear interaction between the drug and the biomarker, as donanemab binds to a truncated form of A</w:t>
      </w:r>
      <w:r w:rsidRPr="00D8297B">
        <w:rPr>
          <w:rFonts w:cstheme="minorHAnsi"/>
        </w:rPr>
        <w:t>β that is</w:t>
      </w:r>
      <w:r w:rsidRPr="00EE0EEB">
        <w:t xml:space="preserve"> present only in established A</w:t>
      </w:r>
      <w:r w:rsidRPr="00D8297B">
        <w:rPr>
          <w:rFonts w:cstheme="minorHAnsi"/>
        </w:rPr>
        <w:t>β</w:t>
      </w:r>
      <w:r w:rsidRPr="00EE0EEB">
        <w:t xml:space="preserve"> plaques, and aids in their removal from the brain via microglial-mediated phagocytosis. There was a statistically significant reduction in abnormal amyloid pathology as detected by A</w:t>
      </w:r>
      <w:r w:rsidRPr="00D8297B">
        <w:rPr>
          <w:rFonts w:cstheme="minorHAnsi"/>
        </w:rPr>
        <w:t>β</w:t>
      </w:r>
      <w:r w:rsidRPr="00EE0EEB">
        <w:t>-PET in participants in the donanemab arm compared to those in the placebo arm; at 18 months 76.4% of participants receiving donanemab had clearance of A</w:t>
      </w:r>
      <w:r w:rsidRPr="00D8297B">
        <w:rPr>
          <w:rFonts w:cstheme="minorHAnsi"/>
        </w:rPr>
        <w:t>β</w:t>
      </w:r>
      <w:r w:rsidRPr="00EE0EEB">
        <w:t xml:space="preserve"> plaques (p&lt;0.001). Clearance was defined as an A</w:t>
      </w:r>
      <w:r w:rsidRPr="00D8297B">
        <w:rPr>
          <w:rFonts w:cstheme="minorHAnsi"/>
        </w:rPr>
        <w:t>β</w:t>
      </w:r>
      <w:r w:rsidRPr="00EE0EEB">
        <w:t xml:space="preserve">-PET level of </w:t>
      </w:r>
      <w:r>
        <w:t>&lt;</w:t>
      </w:r>
      <w:r w:rsidRPr="00EE0EEB">
        <w:t>24.1 Centiloid</w:t>
      </w:r>
      <w:r>
        <w:t>s</w:t>
      </w:r>
      <w:r w:rsidRPr="00EE0EEB">
        <w:t xml:space="preserve"> (CL).</w:t>
      </w:r>
    </w:p>
    <w:p w14:paraId="5277A9B4" w14:textId="6955CBC5" w:rsidR="00D8297B" w:rsidRDefault="000866D7" w:rsidP="00D8297B">
      <w:pPr>
        <w:pStyle w:val="3-BodyText"/>
        <w:numPr>
          <w:ilvl w:val="1"/>
          <w:numId w:val="23"/>
        </w:numPr>
        <w:spacing w:before="60" w:after="60"/>
        <w:ind w:left="709" w:hanging="709"/>
      </w:pPr>
      <w:r w:rsidRPr="00A26A0D">
        <w:t>However,</w:t>
      </w:r>
      <w:r>
        <w:t xml:space="preserve"> the ESCs considered that</w:t>
      </w:r>
      <w:r w:rsidRPr="00A26A0D">
        <w:t xml:space="preserve"> it </w:t>
      </w:r>
      <w:r w:rsidR="00D8297B">
        <w:t>was</w:t>
      </w:r>
      <w:r w:rsidRPr="00A26A0D">
        <w:t xml:space="preserve"> uncertain if </w:t>
      </w:r>
      <w:r>
        <w:t>the</w:t>
      </w:r>
      <w:r w:rsidRPr="00A26A0D">
        <w:t xml:space="preserve"> reduction in A</w:t>
      </w:r>
      <w:r w:rsidRPr="00D8297B">
        <w:rPr>
          <w:rFonts w:cstheme="minorHAnsi"/>
        </w:rPr>
        <w:t xml:space="preserve">β </w:t>
      </w:r>
      <w:r w:rsidRPr="00A26A0D">
        <w:t>burden, as measured by A</w:t>
      </w:r>
      <w:r w:rsidRPr="00D8297B">
        <w:rPr>
          <w:rFonts w:cstheme="minorHAnsi"/>
        </w:rPr>
        <w:t>β</w:t>
      </w:r>
      <w:r w:rsidRPr="00A26A0D">
        <w:t xml:space="preserve">-PET, </w:t>
      </w:r>
      <w:r w:rsidR="00D8297B">
        <w:t>was</w:t>
      </w:r>
      <w:r w:rsidRPr="00A26A0D">
        <w:t xml:space="preserve"> associated with a meaningful slowing in cognitive and functional decline in early AD. T</w:t>
      </w:r>
      <w:r>
        <w:t>he ESCs noted that t</w:t>
      </w:r>
      <w:r w:rsidRPr="00A26A0D">
        <w:t>here was a 22.3% slowing of disease progression associated with donanemab in the TB-2 trial</w:t>
      </w:r>
      <w:r>
        <w:t>, a</w:t>
      </w:r>
      <w:r w:rsidRPr="00A26A0D">
        <w:t xml:space="preserve"> difference </w:t>
      </w:r>
      <w:r>
        <w:t xml:space="preserve">that </w:t>
      </w:r>
      <w:r w:rsidRPr="00A26A0D">
        <w:t>appears modest as it equates to an estimated delay in progression of 1.38 months (approximately 6 weeks) over a 76-week period of treatment</w:t>
      </w:r>
      <w:r>
        <w:t>,</w:t>
      </w:r>
      <w:r w:rsidRPr="00A26A0D">
        <w:t xml:space="preserve"> compared to placebo.</w:t>
      </w:r>
    </w:p>
    <w:p w14:paraId="65CDC049" w14:textId="5EC2A6A9" w:rsidR="000866D7" w:rsidRPr="00AE3FC7" w:rsidRDefault="000866D7" w:rsidP="00D8297B">
      <w:pPr>
        <w:pStyle w:val="3-BodyText"/>
        <w:numPr>
          <w:ilvl w:val="1"/>
          <w:numId w:val="23"/>
        </w:numPr>
        <w:spacing w:before="60" w:after="60"/>
        <w:ind w:left="709" w:hanging="709"/>
      </w:pPr>
      <w:r>
        <w:t>The ESCs</w:t>
      </w:r>
      <w:r w:rsidRPr="00A26A0D">
        <w:t xml:space="preserve"> recognised that slowing of disease progression early in the disease course might be of the most benefit to patients and their carers in terms of their quality of life and ability to plan for the remainder of the disease course.</w:t>
      </w:r>
      <w:r>
        <w:t xml:space="preserve"> </w:t>
      </w:r>
      <w:r w:rsidRPr="00D125CA">
        <w:t xml:space="preserve">However, the ESCs were unsure if 6 weeks of delayed progression was considered </w:t>
      </w:r>
      <w:r>
        <w:t xml:space="preserve">clinically </w:t>
      </w:r>
      <w:r w:rsidRPr="00D125CA">
        <w:t>meaningful.</w:t>
      </w:r>
    </w:p>
    <w:p w14:paraId="114B1F79" w14:textId="77777777" w:rsidR="0008002E" w:rsidRPr="00AE3FC7" w:rsidRDefault="0008002E" w:rsidP="0008002E">
      <w:pPr>
        <w:pStyle w:val="4-SubsectionHeading"/>
      </w:pPr>
      <w:r w:rsidRPr="00AE3FC7">
        <w:t>Economic analysis</w:t>
      </w:r>
    </w:p>
    <w:p w14:paraId="0A032420" w14:textId="24FE2B85" w:rsidR="0008002E" w:rsidRPr="00EE0EEB" w:rsidRDefault="0008002E" w:rsidP="00DD02B1">
      <w:pPr>
        <w:pStyle w:val="3-BodyText"/>
        <w:numPr>
          <w:ilvl w:val="1"/>
          <w:numId w:val="23"/>
        </w:numPr>
        <w:spacing w:before="60" w:after="60"/>
        <w:ind w:left="709" w:hanging="709"/>
      </w:pPr>
      <w:r w:rsidRPr="00AE3FC7">
        <w:t>The submission presented</w:t>
      </w:r>
      <w:r w:rsidRPr="00EE0EEB">
        <w:t xml:space="preserve"> a modelled economic evaluation based on the treatment effect observed in the TB-2 trial which compared donanemab treatment to SOC in patients with early AD with a positive amyloid-beta biomarker test and who were not </w:t>
      </w:r>
      <w:r w:rsidRPr="00EE0EEB">
        <w:rPr>
          <w:i/>
          <w:iCs/>
        </w:rPr>
        <w:t>APOE4</w:t>
      </w:r>
      <w:r w:rsidRPr="00EE0EEB">
        <w:t xml:space="preserve"> homozygotes. The type of economic evaluation presented was a cost-utility analysis. Key components of the model are summarised in </w:t>
      </w:r>
      <w:r w:rsidR="00042B9E">
        <w:fldChar w:fldCharType="begin"/>
      </w:r>
      <w:r w:rsidR="00042B9E">
        <w:instrText xml:space="preserve"> REF _Ref204780126 \h </w:instrText>
      </w:r>
      <w:r w:rsidR="00042B9E">
        <w:fldChar w:fldCharType="separate"/>
      </w:r>
      <w:r w:rsidR="00392423">
        <w:t xml:space="preserve">Table </w:t>
      </w:r>
      <w:r w:rsidR="00392423">
        <w:rPr>
          <w:noProof/>
        </w:rPr>
        <w:t>18</w:t>
      </w:r>
      <w:r w:rsidR="00042B9E">
        <w:fldChar w:fldCharType="end"/>
      </w:r>
      <w:r w:rsidRPr="00EE0EEB">
        <w:t>.</w:t>
      </w:r>
    </w:p>
    <w:p w14:paraId="358D97D2" w14:textId="72F57885" w:rsidR="0008002E" w:rsidRPr="00EE0EEB" w:rsidRDefault="00042B9E" w:rsidP="00042B9E">
      <w:pPr>
        <w:pStyle w:val="Caption"/>
        <w:rPr>
          <w:lang w:val="en-AU"/>
        </w:rPr>
      </w:pPr>
      <w:bookmarkStart w:id="44" w:name="_Ref204780126"/>
      <w:r>
        <w:t xml:space="preserve">Table </w:t>
      </w:r>
      <w:r>
        <w:fldChar w:fldCharType="begin"/>
      </w:r>
      <w:r>
        <w:instrText xml:space="preserve"> SEQ Table \* ARABIC </w:instrText>
      </w:r>
      <w:r>
        <w:fldChar w:fldCharType="separate"/>
      </w:r>
      <w:r w:rsidR="00392423">
        <w:rPr>
          <w:noProof/>
        </w:rPr>
        <w:t>18</w:t>
      </w:r>
      <w:r>
        <w:fldChar w:fldCharType="end"/>
      </w:r>
      <w:bookmarkEnd w:id="44"/>
      <w:r w:rsidR="00CC40F2">
        <w:rPr>
          <w:lang w:val="en-AU"/>
        </w:rPr>
        <w:t xml:space="preserve">: </w:t>
      </w:r>
      <w:r w:rsidR="0008002E" w:rsidRPr="00EE0EEB">
        <w:rPr>
          <w:lang w:val="en-AU"/>
        </w:rPr>
        <w:t>Summary of model structure, key inputs and rationale</w:t>
      </w:r>
    </w:p>
    <w:tbl>
      <w:tblPr>
        <w:tblW w:w="496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8: Summary of model structure, key inputs and rationale"/>
      </w:tblPr>
      <w:tblGrid>
        <w:gridCol w:w="1239"/>
        <w:gridCol w:w="7712"/>
      </w:tblGrid>
      <w:tr w:rsidR="0008002E" w:rsidRPr="004A46DA" w14:paraId="431327E2" w14:textId="77777777" w:rsidTr="00E81465">
        <w:trPr>
          <w:tblHeader/>
        </w:trPr>
        <w:tc>
          <w:tcPr>
            <w:tcW w:w="692" w:type="pct"/>
            <w:vAlign w:val="center"/>
          </w:tcPr>
          <w:p w14:paraId="140635F9" w14:textId="77777777" w:rsidR="0008002E" w:rsidRPr="004A46DA" w:rsidRDefault="0008002E" w:rsidP="00E81465">
            <w:pPr>
              <w:pStyle w:val="In-tableHeading"/>
              <w:keepNext w:val="0"/>
              <w:rPr>
                <w:lang w:val="en-AU"/>
              </w:rPr>
            </w:pPr>
            <w:r w:rsidRPr="004A46DA">
              <w:rPr>
                <w:lang w:val="en-AU"/>
              </w:rPr>
              <w:t>Component</w:t>
            </w:r>
          </w:p>
        </w:tc>
        <w:tc>
          <w:tcPr>
            <w:tcW w:w="4308" w:type="pct"/>
            <w:vAlign w:val="center"/>
          </w:tcPr>
          <w:p w14:paraId="4D514D66" w14:textId="77777777" w:rsidR="0008002E" w:rsidRPr="004A46DA" w:rsidRDefault="0008002E" w:rsidP="00E81465">
            <w:pPr>
              <w:pStyle w:val="In-tableHeading"/>
              <w:keepNext w:val="0"/>
              <w:rPr>
                <w:lang w:val="en-AU"/>
              </w:rPr>
            </w:pPr>
            <w:r w:rsidRPr="004A46DA">
              <w:rPr>
                <w:lang w:val="en-AU"/>
              </w:rPr>
              <w:t>Summary</w:t>
            </w:r>
          </w:p>
        </w:tc>
      </w:tr>
      <w:tr w:rsidR="0008002E" w:rsidRPr="004A46DA" w14:paraId="5CC8CF84" w14:textId="77777777" w:rsidTr="00E81465">
        <w:tc>
          <w:tcPr>
            <w:tcW w:w="692" w:type="pct"/>
            <w:vAlign w:val="center"/>
          </w:tcPr>
          <w:p w14:paraId="50EDDD2C" w14:textId="77777777" w:rsidR="0008002E" w:rsidRPr="004A46DA" w:rsidRDefault="0008002E" w:rsidP="00E81465">
            <w:pPr>
              <w:pStyle w:val="TableText"/>
            </w:pPr>
            <w:r w:rsidRPr="004A46DA">
              <w:t>Comparison</w:t>
            </w:r>
          </w:p>
        </w:tc>
        <w:tc>
          <w:tcPr>
            <w:tcW w:w="4308" w:type="pct"/>
            <w:vAlign w:val="center"/>
          </w:tcPr>
          <w:p w14:paraId="504AB32E" w14:textId="77777777" w:rsidR="0008002E" w:rsidRPr="004A46DA" w:rsidRDefault="0008002E" w:rsidP="00E81465">
            <w:pPr>
              <w:pStyle w:val="TableText"/>
            </w:pPr>
            <w:r w:rsidRPr="004A46DA">
              <w:t xml:space="preserve">Donanemab with amyloid and </w:t>
            </w:r>
            <w:r w:rsidRPr="009F17BF">
              <w:rPr>
                <w:i/>
                <w:iCs/>
              </w:rPr>
              <w:t>APOE4</w:t>
            </w:r>
            <w:r w:rsidRPr="004A46DA">
              <w:t xml:space="preserve"> testing versus SOC. </w:t>
            </w:r>
          </w:p>
        </w:tc>
      </w:tr>
      <w:tr w:rsidR="0008002E" w:rsidRPr="004A46DA" w14:paraId="264BEA53" w14:textId="77777777" w:rsidTr="00E81465">
        <w:tc>
          <w:tcPr>
            <w:tcW w:w="692" w:type="pct"/>
            <w:vAlign w:val="center"/>
          </w:tcPr>
          <w:p w14:paraId="1ECDD2B2" w14:textId="77777777" w:rsidR="0008002E" w:rsidRPr="004A46DA" w:rsidRDefault="0008002E" w:rsidP="00E81465">
            <w:pPr>
              <w:pStyle w:val="TableText"/>
            </w:pPr>
            <w:r w:rsidRPr="004A46DA">
              <w:t>Outcomes</w:t>
            </w:r>
          </w:p>
        </w:tc>
        <w:tc>
          <w:tcPr>
            <w:tcW w:w="4308" w:type="pct"/>
            <w:vAlign w:val="center"/>
          </w:tcPr>
          <w:p w14:paraId="5918C50A" w14:textId="77777777" w:rsidR="0008002E" w:rsidRPr="004A46DA" w:rsidRDefault="0008002E" w:rsidP="00E81465">
            <w:pPr>
              <w:pStyle w:val="TableText"/>
            </w:pPr>
            <w:r w:rsidRPr="004A46DA">
              <w:t>QALYs.</w:t>
            </w:r>
          </w:p>
        </w:tc>
      </w:tr>
      <w:tr w:rsidR="0008002E" w:rsidRPr="004A46DA" w14:paraId="4BF9B78F" w14:textId="77777777" w:rsidTr="00E81465">
        <w:tc>
          <w:tcPr>
            <w:tcW w:w="692" w:type="pct"/>
            <w:vAlign w:val="center"/>
          </w:tcPr>
          <w:p w14:paraId="496935E3" w14:textId="77777777" w:rsidR="0008002E" w:rsidRPr="004A46DA" w:rsidRDefault="0008002E" w:rsidP="00E81465">
            <w:pPr>
              <w:pStyle w:val="TableText"/>
            </w:pPr>
            <w:r w:rsidRPr="004A46DA">
              <w:t>Time horizon</w:t>
            </w:r>
          </w:p>
        </w:tc>
        <w:tc>
          <w:tcPr>
            <w:tcW w:w="4308" w:type="pct"/>
            <w:vAlign w:val="center"/>
          </w:tcPr>
          <w:p w14:paraId="64452718" w14:textId="77777777" w:rsidR="0008002E" w:rsidRPr="004A46DA" w:rsidRDefault="0008002E" w:rsidP="00E81465">
            <w:pPr>
              <w:pStyle w:val="TableText"/>
            </w:pPr>
            <w:r w:rsidRPr="004A46DA">
              <w:t>Lifetime (26 years) in the model base case (versus 18 months in the key trial). A  shorter time horizon would be adequate to capture the differences between the arms. The majority of the modelled benefit was accrued during the extrapolated period. The duration of effect for donanemab was unknown.</w:t>
            </w:r>
          </w:p>
        </w:tc>
      </w:tr>
      <w:tr w:rsidR="0008002E" w:rsidRPr="004A46DA" w14:paraId="5E72BDC0" w14:textId="77777777" w:rsidTr="00E81465">
        <w:tc>
          <w:tcPr>
            <w:tcW w:w="692" w:type="pct"/>
            <w:vAlign w:val="center"/>
          </w:tcPr>
          <w:p w14:paraId="4603BBBF" w14:textId="77777777" w:rsidR="0008002E" w:rsidRPr="004A46DA" w:rsidRDefault="0008002E" w:rsidP="00E81465">
            <w:pPr>
              <w:pStyle w:val="TableText"/>
            </w:pPr>
            <w:r w:rsidRPr="004A46DA">
              <w:t>Methods used to generate results</w:t>
            </w:r>
          </w:p>
        </w:tc>
        <w:tc>
          <w:tcPr>
            <w:tcW w:w="4308" w:type="pct"/>
            <w:vAlign w:val="center"/>
          </w:tcPr>
          <w:p w14:paraId="18465D37" w14:textId="77777777" w:rsidR="0008002E" w:rsidRPr="004A46DA" w:rsidRDefault="0008002E" w:rsidP="00E81465">
            <w:pPr>
              <w:pStyle w:val="TableText"/>
            </w:pPr>
            <w:r w:rsidRPr="004A46DA">
              <w:t xml:space="preserve">State-transition Markov model. </w:t>
            </w:r>
          </w:p>
        </w:tc>
      </w:tr>
      <w:tr w:rsidR="0008002E" w:rsidRPr="004A46DA" w14:paraId="0BA310E3" w14:textId="77777777" w:rsidTr="00E81465">
        <w:tc>
          <w:tcPr>
            <w:tcW w:w="692" w:type="pct"/>
            <w:vAlign w:val="center"/>
          </w:tcPr>
          <w:p w14:paraId="72E6667C" w14:textId="77777777" w:rsidR="0008002E" w:rsidRPr="004A46DA" w:rsidRDefault="0008002E" w:rsidP="00E81465">
            <w:pPr>
              <w:pStyle w:val="TableText"/>
            </w:pPr>
            <w:r w:rsidRPr="004A46DA">
              <w:t>Health states</w:t>
            </w:r>
          </w:p>
        </w:tc>
        <w:tc>
          <w:tcPr>
            <w:tcW w:w="4308" w:type="pct"/>
            <w:vAlign w:val="center"/>
          </w:tcPr>
          <w:p w14:paraId="0BF686EE" w14:textId="77777777" w:rsidR="0008002E" w:rsidRPr="004A46DA" w:rsidRDefault="0008002E" w:rsidP="00E81465">
            <w:pPr>
              <w:pStyle w:val="TableText"/>
            </w:pPr>
            <w:r w:rsidRPr="004A46DA">
              <w:t xml:space="preserve">9 health states in two settings: MCI due to AD, mild AD, moderate AD and severe AD in the community and institutional setting and dead. </w:t>
            </w:r>
          </w:p>
        </w:tc>
      </w:tr>
      <w:tr w:rsidR="0008002E" w:rsidRPr="004A46DA" w14:paraId="622CA4AB" w14:textId="77777777" w:rsidTr="00E81465">
        <w:tc>
          <w:tcPr>
            <w:tcW w:w="692" w:type="pct"/>
            <w:vAlign w:val="center"/>
          </w:tcPr>
          <w:p w14:paraId="09CB7F54" w14:textId="77777777" w:rsidR="0008002E" w:rsidRPr="004A46DA" w:rsidRDefault="0008002E" w:rsidP="00E81465">
            <w:pPr>
              <w:pStyle w:val="TableText"/>
            </w:pPr>
            <w:r w:rsidRPr="004A46DA">
              <w:t>Cycle length</w:t>
            </w:r>
          </w:p>
        </w:tc>
        <w:tc>
          <w:tcPr>
            <w:tcW w:w="4308" w:type="pct"/>
            <w:vAlign w:val="center"/>
          </w:tcPr>
          <w:p w14:paraId="5EE06918" w14:textId="77777777" w:rsidR="0008002E" w:rsidRPr="004A46DA" w:rsidRDefault="0008002E" w:rsidP="00E81465">
            <w:pPr>
              <w:pStyle w:val="TableText"/>
            </w:pPr>
            <w:r w:rsidRPr="004A46DA">
              <w:t xml:space="preserve">Six months. </w:t>
            </w:r>
          </w:p>
        </w:tc>
      </w:tr>
      <w:tr w:rsidR="0008002E" w:rsidRPr="004A46DA" w14:paraId="777BBCE0" w14:textId="77777777" w:rsidTr="00E81465">
        <w:tc>
          <w:tcPr>
            <w:tcW w:w="692" w:type="pct"/>
            <w:vAlign w:val="center"/>
          </w:tcPr>
          <w:p w14:paraId="65B623FD" w14:textId="77777777" w:rsidR="0008002E" w:rsidRPr="004A46DA" w:rsidRDefault="0008002E" w:rsidP="00E81465">
            <w:pPr>
              <w:pStyle w:val="TableText"/>
            </w:pPr>
            <w:r w:rsidRPr="004A46DA">
              <w:t>Test parameters</w:t>
            </w:r>
          </w:p>
        </w:tc>
        <w:tc>
          <w:tcPr>
            <w:tcW w:w="4308" w:type="pct"/>
            <w:vAlign w:val="center"/>
          </w:tcPr>
          <w:p w14:paraId="178F8205" w14:textId="77777777" w:rsidR="0008002E" w:rsidRPr="004A46DA" w:rsidRDefault="0008002E" w:rsidP="00E81465">
            <w:pPr>
              <w:pStyle w:val="TableText"/>
            </w:pPr>
            <w:r w:rsidRPr="004A46DA">
              <w:t xml:space="preserve">Patients enter the model at the point of treatment initiation and each patient incurs the testing costs associated with the number required to identify one treated patient with donanemab, thus testing costs for </w:t>
            </w:r>
            <w:r w:rsidRPr="004A46DA">
              <w:lastRenderedPageBreak/>
              <w:t xml:space="preserve">all patients considered for the medicine are included in the model. </w:t>
            </w:r>
          </w:p>
        </w:tc>
      </w:tr>
      <w:tr w:rsidR="0008002E" w:rsidRPr="004A46DA" w14:paraId="51D21FFB" w14:textId="77777777" w:rsidTr="00E81465">
        <w:tc>
          <w:tcPr>
            <w:tcW w:w="692" w:type="pct"/>
            <w:vAlign w:val="center"/>
          </w:tcPr>
          <w:p w14:paraId="6109CD04" w14:textId="77777777" w:rsidR="0008002E" w:rsidRPr="004A46DA" w:rsidRDefault="0008002E" w:rsidP="00E81465">
            <w:pPr>
              <w:pStyle w:val="TableText"/>
            </w:pPr>
            <w:r w:rsidRPr="004A46DA">
              <w:lastRenderedPageBreak/>
              <w:t>Implications of false positive and false negative results</w:t>
            </w:r>
          </w:p>
        </w:tc>
        <w:tc>
          <w:tcPr>
            <w:tcW w:w="4308" w:type="pct"/>
            <w:vAlign w:val="center"/>
          </w:tcPr>
          <w:p w14:paraId="500B052B" w14:textId="77777777" w:rsidR="0008002E" w:rsidRPr="004A46DA" w:rsidRDefault="0008002E" w:rsidP="00E81465">
            <w:pPr>
              <w:pStyle w:val="TableText"/>
            </w:pPr>
            <w:r w:rsidRPr="004A46DA">
              <w:t>Not considered in the economic evaluation. While this was reasonable for PET scans (as these were used in the trial and would have the same performance in practice), CSF assays, which were not used in the trial and can be used in practice, have a 6 – 28% false positive rate when compared to PET. The submission has not considered that in clinical practice a proportion of patients with false positive CSF assays would be eligible for donanemab treatment which would affect the overall treatment effect of donanemab.</w:t>
            </w:r>
          </w:p>
        </w:tc>
      </w:tr>
      <w:tr w:rsidR="0008002E" w:rsidRPr="004A46DA" w14:paraId="5321FCAD" w14:textId="77777777" w:rsidTr="00E81465">
        <w:trPr>
          <w:cantSplit/>
        </w:trPr>
        <w:tc>
          <w:tcPr>
            <w:tcW w:w="692" w:type="pct"/>
            <w:vAlign w:val="center"/>
          </w:tcPr>
          <w:p w14:paraId="0521C677" w14:textId="77777777" w:rsidR="0008002E" w:rsidRPr="004A46DA" w:rsidRDefault="0008002E" w:rsidP="00E81465">
            <w:pPr>
              <w:pStyle w:val="TableText"/>
            </w:pPr>
            <w:r w:rsidRPr="004A46DA">
              <w:t xml:space="preserve">Transition probabilities </w:t>
            </w:r>
          </w:p>
        </w:tc>
        <w:tc>
          <w:tcPr>
            <w:tcW w:w="4308" w:type="pct"/>
            <w:vAlign w:val="center"/>
          </w:tcPr>
          <w:p w14:paraId="7BC77461" w14:textId="77777777" w:rsidR="0008002E" w:rsidRPr="004A46DA" w:rsidRDefault="0008002E" w:rsidP="00E81465">
            <w:pPr>
              <w:pStyle w:val="TableText"/>
            </w:pPr>
            <w:r w:rsidRPr="004A46DA">
              <w:t>In the SOC arm, for the entire duration of the model, transition probabilities were informed by natural history data from the NACC database. In the donanemab arm, a treatment effect was applied to the natural history transition probabilities (discussed below). These transition probabilities were not able to be verified during the evaluation.</w:t>
            </w:r>
          </w:p>
          <w:p w14:paraId="2DC8B370" w14:textId="77777777" w:rsidR="0008002E" w:rsidRPr="004A46DA" w:rsidRDefault="0008002E" w:rsidP="00E81465">
            <w:pPr>
              <w:pStyle w:val="TableText"/>
            </w:pPr>
          </w:p>
          <w:p w14:paraId="07988F75" w14:textId="77777777" w:rsidR="0008002E" w:rsidRPr="004A46DA" w:rsidRDefault="0008002E" w:rsidP="00E81465">
            <w:pPr>
              <w:pStyle w:val="TableText"/>
            </w:pPr>
            <w:r w:rsidRPr="004A46DA">
              <w:t>Mortality was modelled through the ABS life tables, adjusted for an additional risk of death due to AD sourced from the UK ONS.</w:t>
            </w:r>
            <w:r w:rsidRPr="004A46DA">
              <w:rPr>
                <w:rStyle w:val="FootnoteReference"/>
              </w:rPr>
              <w:footnoteReference w:id="47"/>
            </w:r>
            <w:r w:rsidRPr="004A46DA">
              <w:t xml:space="preserve"> The ESCs noted that this was not reasonable as a single HR (2.55) for patients in the mild, moderate and severe AD health states was applied and the literature indicates increased mortality risk with worsening symptoms of AD.  </w:t>
            </w:r>
          </w:p>
          <w:p w14:paraId="02C41EB9" w14:textId="77777777" w:rsidR="0008002E" w:rsidRPr="004A46DA" w:rsidRDefault="0008002E" w:rsidP="00E81465">
            <w:pPr>
              <w:pStyle w:val="TableText"/>
            </w:pPr>
          </w:p>
          <w:p w14:paraId="38DB60EB" w14:textId="77777777" w:rsidR="0008002E" w:rsidRPr="004A46DA" w:rsidRDefault="0008002E" w:rsidP="00E81465">
            <w:pPr>
              <w:pStyle w:val="TableText"/>
            </w:pPr>
            <w:r w:rsidRPr="004A46DA">
              <w:t xml:space="preserve">Institutionalisation risks were derived from the prevalence of institutionalised dementia patients reported by the AIHW. The approach used to convert institutionalisation prevalence to incidence was not appropriate for the model as it was based on a fixed duration of institutionalisation which was different to the duration applied in the model. </w:t>
            </w:r>
          </w:p>
        </w:tc>
      </w:tr>
      <w:tr w:rsidR="0008002E" w:rsidRPr="004A46DA" w14:paraId="5C69697D" w14:textId="77777777" w:rsidTr="00E81465">
        <w:tc>
          <w:tcPr>
            <w:tcW w:w="692" w:type="pct"/>
            <w:vAlign w:val="center"/>
          </w:tcPr>
          <w:p w14:paraId="59E75981" w14:textId="77777777" w:rsidR="0008002E" w:rsidRPr="004A46DA" w:rsidRDefault="0008002E" w:rsidP="00E81465">
            <w:pPr>
              <w:pStyle w:val="TableText"/>
            </w:pPr>
            <w:r w:rsidRPr="004A46DA">
              <w:t>Donanemab treatment effect</w:t>
            </w:r>
          </w:p>
        </w:tc>
        <w:tc>
          <w:tcPr>
            <w:tcW w:w="4308" w:type="pct"/>
            <w:vAlign w:val="center"/>
          </w:tcPr>
          <w:p w14:paraId="1B618FD8" w14:textId="77777777" w:rsidR="0008002E" w:rsidRPr="004A46DA" w:rsidRDefault="0008002E" w:rsidP="00E81465">
            <w:pPr>
              <w:pStyle w:val="TableText"/>
            </w:pPr>
            <w:r w:rsidRPr="004A46DA">
              <w:t xml:space="preserve">The donanemab treatment effect was applied as a HR (0.64) for patients in the MCI due to AD, mild and moderate AD health states. The HR was derived from the secondary outcome, CDR-SB for the subgroup of patients were not </w:t>
            </w:r>
            <w:r w:rsidRPr="001E28FA">
              <w:rPr>
                <w:i/>
                <w:iCs/>
              </w:rPr>
              <w:t>APOE4</w:t>
            </w:r>
            <w:r w:rsidRPr="004A46DA">
              <w:t xml:space="preserve"> homozygous. The ESCs considered that the use of a hazard ratio from a subgroup analysis of a secondary outcome to inform the transition probabilities was inappropriate and was not adequately justified in the submission. The ESCs considered that the iADRS outcome for the overall population, which was the primary outcome of the trial, should have been applied. The ESCs noted that the model did not allow for changing of the hazard ratio. Further, the ESCs noted that the inclusion of a treatment effect for moderate AD patients was not justified given that these patients were not included in the proposed restriction. </w:t>
            </w:r>
          </w:p>
          <w:p w14:paraId="08D80D1E" w14:textId="77777777" w:rsidR="0008002E" w:rsidRPr="004A46DA" w:rsidRDefault="0008002E" w:rsidP="00E81465">
            <w:pPr>
              <w:pStyle w:val="TableText"/>
            </w:pPr>
          </w:p>
          <w:p w14:paraId="637BDB7D" w14:textId="77777777" w:rsidR="0008002E" w:rsidRPr="004A46DA" w:rsidRDefault="0008002E" w:rsidP="00E81465">
            <w:pPr>
              <w:pStyle w:val="TableText"/>
            </w:pPr>
            <w:r w:rsidRPr="004A46DA">
              <w:t>For patients who complete the full treatment course (18 months) or cease treatment early due to amyloid clearance, the full treatment effect was applied until Year 5.5, after this it was assumed to wane linearly over 9.5 years based on amyloid removal and re-accumulation rates. The submission has not robustly established a link between amyloid removal and AD progression. Additionally, the ESCs considered that the assumption that a 1.38 month delay in disease progression, as measured with the iADRS, after 76 weeks of treatment would result in a modelled treatment benefit at 15 years was highly implausible. The treatment effect of donanemab vs SOC beyond the trial duration is unknown.</w:t>
            </w:r>
          </w:p>
          <w:p w14:paraId="21A02EF7" w14:textId="77777777" w:rsidR="0008002E" w:rsidRPr="004A46DA" w:rsidRDefault="0008002E" w:rsidP="00E81465">
            <w:pPr>
              <w:pStyle w:val="TableText"/>
            </w:pPr>
          </w:p>
          <w:p w14:paraId="19368A6E" w14:textId="77777777" w:rsidR="0008002E" w:rsidRPr="004A46DA" w:rsidRDefault="0008002E" w:rsidP="00E81465">
            <w:pPr>
              <w:pStyle w:val="TableText"/>
            </w:pPr>
            <w:r w:rsidRPr="004A46DA">
              <w:t>For patients who discontinue donanemab due to AEs in the first six months (13% of patients based on the TB-2 trial), the full treatment effect was applied until Year 1 and then assumed to wane over 2.5 years. Given these patients discontinue treatment within six months it is unlikely they will sustain any treatment effect beyond their treatment period.</w:t>
            </w:r>
          </w:p>
        </w:tc>
      </w:tr>
      <w:tr w:rsidR="0008002E" w:rsidRPr="004A46DA" w14:paraId="55047EA9" w14:textId="77777777" w:rsidTr="00E81465">
        <w:tc>
          <w:tcPr>
            <w:tcW w:w="692" w:type="pct"/>
            <w:vAlign w:val="center"/>
          </w:tcPr>
          <w:p w14:paraId="5300BDD8" w14:textId="77777777" w:rsidR="0008002E" w:rsidRPr="004A46DA" w:rsidRDefault="0008002E" w:rsidP="00E81465">
            <w:pPr>
              <w:pStyle w:val="TableText"/>
            </w:pPr>
            <w:r w:rsidRPr="004A46DA">
              <w:t>Health related quality of life</w:t>
            </w:r>
          </w:p>
        </w:tc>
        <w:tc>
          <w:tcPr>
            <w:tcW w:w="4308" w:type="pct"/>
            <w:vAlign w:val="center"/>
          </w:tcPr>
          <w:p w14:paraId="5E7FF4B6" w14:textId="77777777" w:rsidR="0008002E" w:rsidRPr="004A46DA" w:rsidRDefault="0008002E" w:rsidP="00E81465">
            <w:pPr>
              <w:pStyle w:val="TableText"/>
            </w:pPr>
            <w:r w:rsidRPr="004A46DA">
              <w:t>Patient health state utility values were not treatment-arm specific and were not dependent on whether patients were institutionalised or in the community. The utility values were sourced from Landeiro et al</w:t>
            </w:r>
            <w:r w:rsidRPr="004A46DA">
              <w:rPr>
                <w:rStyle w:val="FootnoteReference"/>
              </w:rPr>
              <w:footnoteReference w:id="48"/>
            </w:r>
            <w:r w:rsidRPr="004A46DA">
              <w:t xml:space="preserve">: MCI due to AD: 0.86; Mild AD: 0.74; Moderate AD: 0.59 and Severe AD: 0.36. AE disutilities for ARIA events and anaphylactic reactions were also included. </w:t>
            </w:r>
          </w:p>
          <w:p w14:paraId="6DDBE3E0" w14:textId="77777777" w:rsidR="0008002E" w:rsidRPr="004A46DA" w:rsidRDefault="0008002E" w:rsidP="00E81465">
            <w:pPr>
              <w:pStyle w:val="TableText"/>
            </w:pPr>
            <w:r w:rsidRPr="004A46DA">
              <w:t xml:space="preserve"> </w:t>
            </w:r>
          </w:p>
          <w:p w14:paraId="27C1E896" w14:textId="77777777" w:rsidR="0008002E" w:rsidRPr="004A46DA" w:rsidRDefault="0008002E" w:rsidP="00E81465">
            <w:pPr>
              <w:pStyle w:val="TableText"/>
            </w:pPr>
            <w:r w:rsidRPr="004A46DA">
              <w:t xml:space="preserve">Carer utilities were included in the base case for 50% of patients. The inclusion of carer utilities in the </w:t>
            </w:r>
            <w:r w:rsidRPr="004A46DA">
              <w:lastRenderedPageBreak/>
              <w:t xml:space="preserve">base case analysis was inappropriate and inconsistent with the PBAC guidelines which stipulate to only include outcomes associated with the patient. </w:t>
            </w:r>
          </w:p>
        </w:tc>
      </w:tr>
      <w:tr w:rsidR="0008002E" w:rsidRPr="004A46DA" w14:paraId="5569A0F7" w14:textId="77777777" w:rsidTr="00E81465">
        <w:tc>
          <w:tcPr>
            <w:tcW w:w="692" w:type="pct"/>
            <w:vAlign w:val="center"/>
          </w:tcPr>
          <w:p w14:paraId="287BEDC4" w14:textId="77777777" w:rsidR="0008002E" w:rsidRPr="004A46DA" w:rsidRDefault="0008002E" w:rsidP="00E81465">
            <w:pPr>
              <w:pStyle w:val="TableText"/>
            </w:pPr>
            <w:r w:rsidRPr="004A46DA">
              <w:lastRenderedPageBreak/>
              <w:t xml:space="preserve">Costs </w:t>
            </w:r>
          </w:p>
        </w:tc>
        <w:tc>
          <w:tcPr>
            <w:tcW w:w="4308" w:type="pct"/>
            <w:vAlign w:val="center"/>
          </w:tcPr>
          <w:p w14:paraId="355D3FE9" w14:textId="77777777" w:rsidR="0008002E" w:rsidRPr="004A46DA" w:rsidRDefault="0008002E" w:rsidP="00E81465">
            <w:pPr>
              <w:pStyle w:val="TableText"/>
            </w:pPr>
            <w:r w:rsidRPr="004A46DA">
              <w:t>Costs include donanemab diagnostic, acquisition, administration and monitoring costs as well as costs associated with AE, disease management, institutional residency and terminal care costs. The entire aged care residential fee (which was based on the total cost for aged care residents in Australia) may fall outside of the scope of the economic evaluation as specified in the PBAC guidelines (as many aged care costs may not be direct medical costs).</w:t>
            </w:r>
          </w:p>
        </w:tc>
      </w:tr>
    </w:tbl>
    <w:p w14:paraId="5050FCF8" w14:textId="77777777" w:rsidR="0008002E" w:rsidRPr="00EE0EEB" w:rsidRDefault="0008002E" w:rsidP="0008002E">
      <w:pPr>
        <w:pStyle w:val="TableFigureFooter"/>
      </w:pPr>
      <w:r w:rsidRPr="00EE0EEB">
        <w:t xml:space="preserve">Source: </w:t>
      </w:r>
      <w:r w:rsidRPr="002D4D61">
        <w:t>Constructed during the evaluation from the</w:t>
      </w:r>
      <w:r w:rsidRPr="00EE0EEB">
        <w:t xml:space="preserve"> “3.3_Donanemab cost effectiveness model” attachment provided with the submission.</w:t>
      </w:r>
    </w:p>
    <w:p w14:paraId="4E059CBF" w14:textId="1C0780FB" w:rsidR="0008002E" w:rsidRPr="00EE0EEB" w:rsidRDefault="0008002E" w:rsidP="0008002E">
      <w:pPr>
        <w:pStyle w:val="TableFigureFooter"/>
      </w:pPr>
      <w:r w:rsidRPr="00EE0EEB">
        <w:t>ABS = Australian Bureau of Statistics; AD = Alzheimer</w:t>
      </w:r>
      <w:r w:rsidR="00F4444C">
        <w:t>’s</w:t>
      </w:r>
      <w:r w:rsidRPr="00EE0EEB">
        <w:t xml:space="preserve"> Disease; AE = adverse events; AIHW = Australian Institute for Health and Welfare; </w:t>
      </w:r>
      <w:r w:rsidRPr="00EE0EEB">
        <w:rPr>
          <w:i/>
        </w:rPr>
        <w:t>APOE</w:t>
      </w:r>
      <w:r w:rsidRPr="00EE0EEB">
        <w:t xml:space="preserve"> = Apolipoprotein E gene;</w:t>
      </w:r>
      <w:r>
        <w:t xml:space="preserve"> ARIA = a</w:t>
      </w:r>
      <w:r w:rsidRPr="007A21DA">
        <w:t>myloid-related imaging abnormalities</w:t>
      </w:r>
      <w:r>
        <w:t>;</w:t>
      </w:r>
      <w:r w:rsidRPr="00EE0EEB">
        <w:t xml:space="preserve"> HR = hazard ratio; MCI = mild cognitive impairment; MRI = magnetic resonance imaging; NACC = National Alzheimer</w:t>
      </w:r>
      <w:r w:rsidR="00F4444C">
        <w:t>’s</w:t>
      </w:r>
      <w:r w:rsidRPr="00EE0EEB">
        <w:t xml:space="preserve"> Coordinating Center; ONS = Office for National Statistics; PBAC = Pharmaceutical Benefits Advisory Committee; QALY = qualify-adjusted life year; SOC = Standard of Care; TB-2 = TRAILBLAZER-2; UK = United Kingdom.</w:t>
      </w:r>
    </w:p>
    <w:p w14:paraId="485B1F62" w14:textId="77777777" w:rsidR="0008002E" w:rsidRPr="00FA2A19" w:rsidRDefault="0008002E" w:rsidP="00DD02B1">
      <w:pPr>
        <w:pStyle w:val="3-BodyText"/>
        <w:numPr>
          <w:ilvl w:val="1"/>
          <w:numId w:val="23"/>
        </w:numPr>
        <w:spacing w:before="60" w:after="60"/>
        <w:ind w:left="709" w:hanging="709"/>
      </w:pPr>
      <w:r w:rsidRPr="00FA2A19">
        <w:t xml:space="preserve">The Markov state-transition model adopts a lifetime (26 year) time horizon and incorporates two settings (community and institutional) and four health states (MCI due to AD, mild, moderate and severe AD) in each setting based on AD disease severity (as per CDR-SB) and a dead health state. Patients enter the model at the point of treatment initiation and testing costs (for amyloid and </w:t>
      </w:r>
      <w:r w:rsidRPr="00FA2A19">
        <w:rPr>
          <w:i/>
        </w:rPr>
        <w:t>APOE</w:t>
      </w:r>
      <w:r w:rsidRPr="002D4D61">
        <w:rPr>
          <w:i/>
          <w:iCs/>
        </w:rPr>
        <w:t>4</w:t>
      </w:r>
      <w:r w:rsidRPr="0070272E">
        <w:t>)</w:t>
      </w:r>
      <w:r w:rsidRPr="00FA2A19">
        <w:t xml:space="preserve"> are applied at model entry, weighted by the number of patients who would test per treated patient.</w:t>
      </w:r>
      <w:r w:rsidRPr="00FA2A19" w:rsidDel="002D4D61">
        <w:t xml:space="preserve"> </w:t>
      </w:r>
    </w:p>
    <w:p w14:paraId="6ACFBDD4" w14:textId="77777777" w:rsidR="0008002E" w:rsidRPr="0070272E" w:rsidRDefault="0008002E" w:rsidP="00DD02B1">
      <w:pPr>
        <w:pStyle w:val="3-BodyText"/>
        <w:numPr>
          <w:ilvl w:val="1"/>
          <w:numId w:val="23"/>
        </w:numPr>
        <w:spacing w:before="60" w:after="60"/>
        <w:ind w:left="709" w:hanging="709"/>
        <w:rPr>
          <w:color w:val="3366FF"/>
        </w:rPr>
      </w:pPr>
      <w:r w:rsidRPr="0070272E">
        <w:t>The submission assumed that 61% and 91% of patients with MCI due to AD and mild AD would be A</w:t>
      </w:r>
      <w:r w:rsidRPr="0070272E">
        <w:rPr>
          <w:rFonts w:cstheme="minorHAnsi"/>
        </w:rPr>
        <w:t>β</w:t>
      </w:r>
      <w:r w:rsidRPr="0070272E">
        <w:t xml:space="preserve"> positive and calculated a weighted positivity rate of 85% (weighted by the proportion of MCI versus mild patients at model entry). The calculated number of A</w:t>
      </w:r>
      <w:r w:rsidRPr="0070272E">
        <w:rPr>
          <w:rFonts w:cstheme="minorHAnsi"/>
        </w:rPr>
        <w:t xml:space="preserve">β tests per treated patient was 1.18 (1/85%). A similar approach was taken for </w:t>
      </w:r>
      <w:r w:rsidRPr="002D4D61">
        <w:rPr>
          <w:i/>
          <w:iCs/>
        </w:rPr>
        <w:t>APOE4</w:t>
      </w:r>
      <w:r w:rsidRPr="0070272E">
        <w:t xml:space="preserve"> tests. A non-</w:t>
      </w:r>
      <w:r w:rsidRPr="002D4D61">
        <w:rPr>
          <w:i/>
          <w:iCs/>
        </w:rPr>
        <w:t>APOE4</w:t>
      </w:r>
      <w:r w:rsidRPr="0070272E">
        <w:t xml:space="preserve"> homozygote prevalence rate of 64% was assumed, equating to 1.57 </w:t>
      </w:r>
      <w:r w:rsidRPr="002D4D61">
        <w:rPr>
          <w:i/>
          <w:iCs/>
        </w:rPr>
        <w:t>APOE4</w:t>
      </w:r>
      <w:r w:rsidRPr="0070272E">
        <w:t xml:space="preserve"> tests per treated patient. The sources</w:t>
      </w:r>
      <w:r w:rsidRPr="0070272E">
        <w:rPr>
          <w:rFonts w:cstheme="minorHAnsi"/>
        </w:rPr>
        <w:t xml:space="preserve"> of both these prevalence rates (</w:t>
      </w:r>
      <w:r w:rsidRPr="0070272E">
        <w:t>A</w:t>
      </w:r>
      <w:r w:rsidRPr="0070272E">
        <w:rPr>
          <w:rFonts w:cstheme="minorHAnsi"/>
        </w:rPr>
        <w:t xml:space="preserve">β and </w:t>
      </w:r>
      <w:r w:rsidRPr="002D4D61">
        <w:rPr>
          <w:i/>
          <w:iCs/>
        </w:rPr>
        <w:t>APOE4</w:t>
      </w:r>
      <w:r w:rsidRPr="0070272E">
        <w:t>)</w:t>
      </w:r>
      <w:r w:rsidRPr="0070272E">
        <w:rPr>
          <w:rFonts w:cstheme="minorHAnsi"/>
        </w:rPr>
        <w:t xml:space="preserve"> were not able to be verified during the evaluation. </w:t>
      </w:r>
    </w:p>
    <w:p w14:paraId="3EB255F1" w14:textId="6FAFE3AC" w:rsidR="0008002E" w:rsidRPr="0070272E" w:rsidRDefault="0008002E" w:rsidP="00DD02B1">
      <w:pPr>
        <w:pStyle w:val="3-BodyText"/>
        <w:numPr>
          <w:ilvl w:val="1"/>
          <w:numId w:val="23"/>
        </w:numPr>
        <w:spacing w:before="60" w:after="60"/>
        <w:ind w:left="709" w:hanging="709"/>
        <w:rPr>
          <w:color w:val="3366FF"/>
        </w:rPr>
      </w:pPr>
      <w:r w:rsidRPr="0070272E">
        <w:t xml:space="preserve">Patients enter the model in the MCI due to AD or mild AD health state in the community setting (21% MCI due to AD and 79% mild AD as per the baseline characteristics of patients in TB-2). The same transition probabilities were applied </w:t>
      </w:r>
      <w:r>
        <w:t xml:space="preserve">to each health state </w:t>
      </w:r>
      <w:r w:rsidRPr="0070272E">
        <w:t>in the community and institutional settings and patients and each model cycle (six months) patients could remain within their health state, progress to any worsening health or die. In the SOC arm, transition probabilities for all health states were informed by an analysis of the National Alzheimer</w:t>
      </w:r>
      <w:r w:rsidR="00D058AF">
        <w:t>’s</w:t>
      </w:r>
      <w:r w:rsidRPr="00DA012C">
        <w:t xml:space="preserve"> Coordinating Center (NACC) database. However,</w:t>
      </w:r>
      <w:r w:rsidRPr="00DA012C" w:rsidDel="00093F81">
        <w:t xml:space="preserve"> these transition probabilities </w:t>
      </w:r>
      <w:r w:rsidRPr="00DA012C">
        <w:t>could not be verified. The submission also provided natural history transition probabilities reported in Potashman et al.</w:t>
      </w:r>
      <w:r w:rsidRPr="0070272E">
        <w:rPr>
          <w:rStyle w:val="FootnoteReference"/>
        </w:rPr>
        <w:footnoteReference w:id="49"/>
      </w:r>
      <w:r w:rsidRPr="00DA012C">
        <w:t xml:space="preserve"> which appeared to be relatively similar to those applied in the base case. Applying the Potashman et al. transition probabilities increased the ICER by </w:t>
      </w:r>
      <w:r w:rsidR="00CD4EA9" w:rsidRPr="00CD4EA9">
        <w:rPr>
          <w:color w:val="000000"/>
          <w:w w:val="61"/>
          <w:shd w:val="solid" w:color="000000" w:fill="000000"/>
          <w:fitText w:val="472" w:id="-632121337"/>
          <w14:textFill>
            <w14:solidFill>
              <w14:srgbClr w14:val="000000">
                <w14:alpha w14:val="100000"/>
              </w14:srgbClr>
            </w14:solidFill>
          </w14:textFill>
        </w:rPr>
        <w:t>|||  ||</w:t>
      </w:r>
      <w:r w:rsidR="00CD4EA9" w:rsidRPr="00CD4EA9">
        <w:rPr>
          <w:color w:val="000000"/>
          <w:spacing w:val="2"/>
          <w:w w:val="61"/>
          <w:shd w:val="solid" w:color="000000" w:fill="000000"/>
          <w:fitText w:val="472" w:id="-632121337"/>
          <w14:textFill>
            <w14:solidFill>
              <w14:srgbClr w14:val="000000">
                <w14:alpha w14:val="100000"/>
              </w14:srgbClr>
            </w14:solidFill>
          </w14:textFill>
        </w:rPr>
        <w:t>|</w:t>
      </w:r>
      <w:r w:rsidRPr="00DA012C">
        <w:t xml:space="preserve">% (from </w:t>
      </w:r>
      <w:r w:rsidR="000A295A" w:rsidRPr="000A295A">
        <w:t>$35,000 to &lt; $45,000</w:t>
      </w:r>
      <w:r w:rsidRPr="00DA012C">
        <w:t xml:space="preserve"> per quality-adjusted life year (QALY) gained to </w:t>
      </w:r>
      <w:r w:rsidR="000A295A" w:rsidRPr="000A295A">
        <w:t>$35,000 to &lt; $45,000</w:t>
      </w:r>
      <w:r w:rsidRPr="00DA012C">
        <w:t xml:space="preserve"> per QALY gained).</w:t>
      </w:r>
    </w:p>
    <w:p w14:paraId="5A97D5FE" w14:textId="583E2518" w:rsidR="0008002E" w:rsidRPr="004A46DA" w:rsidRDefault="0008002E" w:rsidP="00DD02B1">
      <w:pPr>
        <w:pStyle w:val="3-BodyText"/>
        <w:numPr>
          <w:ilvl w:val="1"/>
          <w:numId w:val="23"/>
        </w:numPr>
        <w:spacing w:before="60" w:after="60"/>
        <w:ind w:left="709" w:hanging="709"/>
      </w:pPr>
      <w:bookmarkStart w:id="45" w:name="_Ref204247567"/>
      <w:r w:rsidRPr="0070272E">
        <w:t xml:space="preserve">In the intervention arm, a </w:t>
      </w:r>
      <w:r>
        <w:t>hazard ratio</w:t>
      </w:r>
      <w:r w:rsidRPr="0070272E">
        <w:t xml:space="preserve"> of 0.64 was applied to the SOC transition probabilities to estimate transitions to worsening health states for patients in the MCI due to AD, mild and moderate AD health states. The</w:t>
      </w:r>
      <w:r w:rsidRPr="0070272E" w:rsidDel="006D2AC5">
        <w:t xml:space="preserve"> </w:t>
      </w:r>
      <w:r>
        <w:t>hazard ratio</w:t>
      </w:r>
      <w:r w:rsidRPr="0070272E">
        <w:t xml:space="preserve"> was derived from a </w:t>
      </w:r>
      <w:r w:rsidRPr="0070272E">
        <w:lastRenderedPageBreak/>
        <w:t xml:space="preserve">survival analysis of patients having clinical progression as per </w:t>
      </w:r>
      <w:r>
        <w:t xml:space="preserve">the </w:t>
      </w:r>
      <w:r w:rsidRPr="004A46DA">
        <w:t xml:space="preserve">secondary outcome, CDR-SB, in the TB-2 trial for the subgroup of patients who were not </w:t>
      </w:r>
      <w:r w:rsidRPr="009E07A4">
        <w:rPr>
          <w:i/>
          <w:iCs/>
        </w:rPr>
        <w:t>APOE4</w:t>
      </w:r>
      <w:r w:rsidRPr="004A46DA">
        <w:t xml:space="preserve"> homozygotes. The ESCs noted that no cohort level evidence was provided to support the implicit claim that CDR-SB (or any other the TB-2 outcome instrument) is a reliable </w:t>
      </w:r>
      <w:r w:rsidRPr="00AE3FC7">
        <w:t xml:space="preserve">proposed surrogate measure (see Appendix 5 of the PBAC Guidelines) for the natural history of AD </w:t>
      </w:r>
      <w:r w:rsidR="001F12AD" w:rsidRPr="00AE3FC7">
        <w:t xml:space="preserve">. </w:t>
      </w:r>
      <w:r w:rsidRPr="00AE3FC7">
        <w:t>Similarly, no comparative cohort level evidence was provided for the key implied relationship between the MCID of CDR-SB (predefined by its perceptibility to a patient as a within-patient change rather than as a between-group assessment) as being a reliable surrogate threshold effect for a change in the level of severity of AD. Therefore, the ESCs considered that there</w:t>
      </w:r>
      <w:r w:rsidRPr="004A46DA">
        <w:t xml:space="preserve"> was no </w:t>
      </w:r>
      <w:r w:rsidR="007E31D4" w:rsidRPr="004A46DA">
        <w:t xml:space="preserve">evidence to </w:t>
      </w:r>
      <w:r w:rsidRPr="004A46DA">
        <w:t>support </w:t>
      </w:r>
      <w:r w:rsidR="007E31D4" w:rsidRPr="004A46DA">
        <w:t xml:space="preserve">the application </w:t>
      </w:r>
      <w:r w:rsidR="00494C3D" w:rsidRPr="004A46DA">
        <w:t>of</w:t>
      </w:r>
      <w:r w:rsidRPr="004A46DA">
        <w:t xml:space="preserve"> the hazard ratio of time to an MCID change in the CDR-SB as the basis for assuming the same hazard ratio would predict quantified changes in the times to progression across AD health states in the economic model.</w:t>
      </w:r>
      <w:bookmarkEnd w:id="45"/>
      <w:r w:rsidRPr="004A46DA">
        <w:t xml:space="preserve"> </w:t>
      </w:r>
    </w:p>
    <w:p w14:paraId="0DF94A24" w14:textId="46C83EB6" w:rsidR="0008002E" w:rsidRPr="004A46DA" w:rsidRDefault="0008002E" w:rsidP="00DD02B1">
      <w:pPr>
        <w:pStyle w:val="3-BodyText"/>
        <w:numPr>
          <w:ilvl w:val="1"/>
          <w:numId w:val="23"/>
        </w:numPr>
        <w:spacing w:before="60" w:after="60"/>
        <w:ind w:left="709" w:hanging="709"/>
      </w:pPr>
      <w:bookmarkStart w:id="46" w:name="_Ref204247605"/>
      <w:r w:rsidRPr="004A46DA">
        <w:t xml:space="preserve">Furthermore, the ESCs considered that not using the iADRS outcome for the overall population, which was the primary outcome of the trial was not justified. Other outcomes and subgroup populations could have also been presented as sensitivity analyses. The ESCs further noted that the application of a treatment effect for moderate AD patients was not reasonable </w:t>
      </w:r>
      <w:r w:rsidRPr="004A46DA" w:rsidDel="00082DF8">
        <w:t xml:space="preserve">given </w:t>
      </w:r>
      <w:r w:rsidRPr="004A46DA">
        <w:t xml:space="preserve">insufficient trial evidence. Removal of the treatment effect for moderate AD patients increased the ICER by </w:t>
      </w:r>
      <w:r w:rsidR="00CD4EA9" w:rsidRPr="00CD4EA9">
        <w:rPr>
          <w:color w:val="000000"/>
          <w:w w:val="61"/>
          <w:shd w:val="solid" w:color="000000" w:fill="000000"/>
          <w:fitText w:val="472" w:id="-632121336"/>
          <w14:textFill>
            <w14:solidFill>
              <w14:srgbClr w14:val="000000">
                <w14:alpha w14:val="100000"/>
              </w14:srgbClr>
            </w14:solidFill>
          </w14:textFill>
        </w:rPr>
        <w:t>|||  ||</w:t>
      </w:r>
      <w:r w:rsidR="00CD4EA9" w:rsidRPr="00CD4EA9">
        <w:rPr>
          <w:color w:val="000000"/>
          <w:spacing w:val="2"/>
          <w:w w:val="61"/>
          <w:shd w:val="solid" w:color="000000" w:fill="000000"/>
          <w:fitText w:val="472" w:id="-632121336"/>
          <w14:textFill>
            <w14:solidFill>
              <w14:srgbClr w14:val="000000">
                <w14:alpha w14:val="100000"/>
              </w14:srgbClr>
            </w14:solidFill>
          </w14:textFill>
        </w:rPr>
        <w:t>|</w:t>
      </w:r>
      <w:r w:rsidRPr="004A46DA">
        <w:t>% (from $</w:t>
      </w:r>
      <w:r w:rsidR="00DD074C" w:rsidRPr="00DD074C">
        <w:t xml:space="preserve">35,000 to &lt; $45,000 </w:t>
      </w:r>
      <w:r w:rsidRPr="004A46DA">
        <w:t xml:space="preserve"> per QALY gained to $</w:t>
      </w:r>
      <w:r w:rsidR="00DD074C" w:rsidRPr="00DD074C">
        <w:t>45,000 to &lt; $55,000</w:t>
      </w:r>
      <w:r w:rsidRPr="004A46DA">
        <w:t xml:space="preserve"> per QALY gained).</w:t>
      </w:r>
      <w:bookmarkEnd w:id="46"/>
      <w:r w:rsidRPr="004A46DA">
        <w:t xml:space="preserve"> </w:t>
      </w:r>
    </w:p>
    <w:p w14:paraId="2F9E0AE4" w14:textId="37E5CA36" w:rsidR="0008002E" w:rsidRPr="00CA0AD2" w:rsidRDefault="0008002E" w:rsidP="00DD02B1">
      <w:pPr>
        <w:pStyle w:val="3-BodyText"/>
        <w:numPr>
          <w:ilvl w:val="1"/>
          <w:numId w:val="23"/>
        </w:numPr>
        <w:spacing w:before="60" w:after="60"/>
        <w:ind w:left="709" w:hanging="709"/>
        <w:rPr>
          <w:color w:val="3366FF"/>
        </w:rPr>
      </w:pPr>
      <w:r w:rsidRPr="0070272E">
        <w:t xml:space="preserve">Different treatment effect maintenance and waning assumptions were applied to donanemab patients depending on if they (1) achieved amyloid clearance early or completed the full treatment course (18 months) or (2) discontinued treatment prematurely due to AEs after 6 months of treatment (13% of donanemab patients). For patients who discontinued due to AEs </w:t>
      </w:r>
      <w:r>
        <w:t xml:space="preserve">it was assumed that they </w:t>
      </w:r>
      <w:r w:rsidRPr="0070272E">
        <w:t xml:space="preserve">retained the full treatment effect </w:t>
      </w:r>
      <w:r>
        <w:t xml:space="preserve">for </w:t>
      </w:r>
      <w:r w:rsidRPr="0070272E">
        <w:t xml:space="preserve">six months after discontinuation (until Year 1) and then </w:t>
      </w:r>
      <w:r>
        <w:t xml:space="preserve">that </w:t>
      </w:r>
      <w:r w:rsidRPr="0070272E">
        <w:t xml:space="preserve">the treatment effect </w:t>
      </w:r>
      <w:r>
        <w:t xml:space="preserve">would </w:t>
      </w:r>
      <w:r w:rsidRPr="0070272E">
        <w:t>linearly wane over 2.5 years, until the HR equal</w:t>
      </w:r>
      <w:r>
        <w:t>led</w:t>
      </w:r>
      <w:r w:rsidRPr="0070272E">
        <w:t xml:space="preserve"> 1. Six months’ worth of treatment may not be sufficient to warrant any treatment effect beyond the treatment period. Removing all treatment effect immediately upon treatment cessation for these patients increased the ICER by </w:t>
      </w:r>
      <w:r w:rsidR="00CD4EA9" w:rsidRPr="00CD4EA9">
        <w:rPr>
          <w:color w:val="000000"/>
          <w:w w:val="61"/>
          <w:shd w:val="solid" w:color="000000" w:fill="000000"/>
          <w:fitText w:val="472" w:id="-632121335"/>
          <w14:textFill>
            <w14:solidFill>
              <w14:srgbClr w14:val="000000">
                <w14:alpha w14:val="100000"/>
              </w14:srgbClr>
            </w14:solidFill>
          </w14:textFill>
        </w:rPr>
        <w:t>|||  ||</w:t>
      </w:r>
      <w:r w:rsidR="00CD4EA9" w:rsidRPr="00CD4EA9">
        <w:rPr>
          <w:color w:val="000000"/>
          <w:spacing w:val="2"/>
          <w:w w:val="61"/>
          <w:shd w:val="solid" w:color="000000" w:fill="000000"/>
          <w:fitText w:val="472" w:id="-632121335"/>
          <w14:textFill>
            <w14:solidFill>
              <w14:srgbClr w14:val="000000">
                <w14:alpha w14:val="100000"/>
              </w14:srgbClr>
            </w14:solidFill>
          </w14:textFill>
        </w:rPr>
        <w:t>|</w:t>
      </w:r>
      <w:r w:rsidRPr="0070272E">
        <w:t>% (from $</w:t>
      </w:r>
      <w:r w:rsidR="0092000F" w:rsidRPr="0092000F">
        <w:t>35,000 to &lt; $45,000</w:t>
      </w:r>
      <w:r w:rsidR="0092000F">
        <w:t xml:space="preserve"> </w:t>
      </w:r>
      <w:r w:rsidRPr="0070272E">
        <w:t>per QALY gained to $</w:t>
      </w:r>
      <w:r w:rsidR="0092000F" w:rsidRPr="0092000F">
        <w:t>35,000 to &lt; $45,000</w:t>
      </w:r>
      <w:r w:rsidR="0092000F">
        <w:t xml:space="preserve"> </w:t>
      </w:r>
      <w:r w:rsidRPr="0070272E">
        <w:t xml:space="preserve">per QALY gained). </w:t>
      </w:r>
    </w:p>
    <w:p w14:paraId="5D148F10" w14:textId="206AE0A8" w:rsidR="0008002E" w:rsidRPr="004A46DA" w:rsidRDefault="0008002E" w:rsidP="00DD02B1">
      <w:pPr>
        <w:pStyle w:val="3-BodyText"/>
        <w:numPr>
          <w:ilvl w:val="1"/>
          <w:numId w:val="23"/>
        </w:numPr>
        <w:spacing w:before="60" w:after="60"/>
        <w:ind w:left="709" w:hanging="709"/>
        <w:rPr>
          <w:color w:val="3366FF"/>
        </w:rPr>
      </w:pPr>
      <w:bookmarkStart w:id="47" w:name="_Ref204247630"/>
      <w:r w:rsidRPr="0070272E">
        <w:t xml:space="preserve">For patients who achieve amyloid clearance or complete the full treatment course, the full treatment effect was applied until Year 5.5 (four years after the maximum treatment duration) and then it </w:t>
      </w:r>
      <w:r>
        <w:t xml:space="preserve">was assumed to </w:t>
      </w:r>
      <w:r w:rsidRPr="0070272E">
        <w:t>linearly wane over 9.5 years (until Year 15) until the HR equal</w:t>
      </w:r>
      <w:r>
        <w:t>led</w:t>
      </w:r>
      <w:r w:rsidRPr="0070272E">
        <w:t xml:space="preserve"> 1. The submission justified the long</w:t>
      </w:r>
      <w:r w:rsidRPr="0070272E" w:rsidDel="00CA0AD2">
        <w:t xml:space="preserve"> </w:t>
      </w:r>
      <w:r w:rsidRPr="0070272E">
        <w:t>treatment effect on the basis of amyloid clearance and re-accumulation</w:t>
      </w:r>
      <w:r>
        <w:t xml:space="preserve"> rates</w:t>
      </w:r>
      <w:r w:rsidRPr="0070272E">
        <w:t xml:space="preserve">. No evidence was provided in the submission that would robustly estimate the magnitude of the effect associated with amyloid removal or its re-accumulation and disease progression. A number of different treatment waning assumptions were explored during the evaluation (see </w:t>
      </w:r>
      <w:r w:rsidR="000C0464">
        <w:fldChar w:fldCharType="begin"/>
      </w:r>
      <w:r w:rsidR="000C0464">
        <w:instrText xml:space="preserve"> REF _Ref204780803 \h </w:instrText>
      </w:r>
      <w:r w:rsidR="000C0464">
        <w:fldChar w:fldCharType="separate"/>
      </w:r>
      <w:r w:rsidR="00392423">
        <w:t xml:space="preserve">Figure </w:t>
      </w:r>
      <w:r w:rsidR="00392423">
        <w:rPr>
          <w:noProof/>
        </w:rPr>
        <w:t>17</w:t>
      </w:r>
      <w:r w:rsidR="000C0464">
        <w:fldChar w:fldCharType="end"/>
      </w:r>
      <w:r w:rsidRPr="0070272E">
        <w:t>).</w:t>
      </w:r>
      <w:r w:rsidRPr="0070272E">
        <w:rPr>
          <w:color w:val="3366FF"/>
        </w:rPr>
        <w:t xml:space="preserve"> </w:t>
      </w:r>
      <w:r w:rsidRPr="0070272E">
        <w:t>Although these resulted in small differences in health state membership, they had a large impact on the ICER (</w:t>
      </w:r>
      <w:r w:rsidRPr="00D204B2">
        <w:t xml:space="preserve">see </w:t>
      </w:r>
      <w:r w:rsidR="0072747E" w:rsidRPr="00D204B2">
        <w:fldChar w:fldCharType="begin"/>
      </w:r>
      <w:r w:rsidR="0072747E" w:rsidRPr="00D204B2">
        <w:instrText xml:space="preserve"> REF _Ref204780241 \h </w:instrText>
      </w:r>
      <w:r w:rsidR="00D204B2">
        <w:instrText xml:space="preserve"> \* MERGEFORMAT </w:instrText>
      </w:r>
      <w:r w:rsidR="0072747E" w:rsidRPr="00D204B2">
        <w:fldChar w:fldCharType="separate"/>
      </w:r>
      <w:r w:rsidR="00392423">
        <w:t xml:space="preserve">Table </w:t>
      </w:r>
      <w:r w:rsidR="00392423">
        <w:rPr>
          <w:noProof/>
        </w:rPr>
        <w:t>22</w:t>
      </w:r>
      <w:r w:rsidR="0072747E" w:rsidRPr="00D204B2">
        <w:fldChar w:fldCharType="end"/>
      </w:r>
      <w:r w:rsidRPr="0070272E">
        <w:t xml:space="preserve">). These analyses increased the ICER by </w:t>
      </w:r>
      <w:r w:rsidR="00CD4EA9" w:rsidRPr="00CD4EA9">
        <w:rPr>
          <w:color w:val="000000"/>
          <w:w w:val="61"/>
          <w:shd w:val="solid" w:color="000000" w:fill="000000"/>
          <w:fitText w:val="472" w:id="-632121334"/>
          <w14:textFill>
            <w14:solidFill>
              <w14:srgbClr w14:val="000000">
                <w14:alpha w14:val="100000"/>
              </w14:srgbClr>
            </w14:solidFill>
          </w14:textFill>
        </w:rPr>
        <w:t>|||  ||</w:t>
      </w:r>
      <w:r w:rsidR="00CD4EA9" w:rsidRPr="00CD4EA9">
        <w:rPr>
          <w:color w:val="000000"/>
          <w:spacing w:val="2"/>
          <w:w w:val="61"/>
          <w:shd w:val="solid" w:color="000000" w:fill="000000"/>
          <w:fitText w:val="472" w:id="-632121334"/>
          <w14:textFill>
            <w14:solidFill>
              <w14:srgbClr w14:val="000000">
                <w14:alpha w14:val="100000"/>
              </w14:srgbClr>
            </w14:solidFill>
          </w14:textFill>
        </w:rPr>
        <w:t>|</w:t>
      </w:r>
      <w:r w:rsidRPr="0070272E">
        <w:t>%</w:t>
      </w:r>
      <w:r w:rsidRPr="0070272E" w:rsidDel="00CA0AD2">
        <w:t xml:space="preserve"> </w:t>
      </w:r>
      <w:r>
        <w:t xml:space="preserve">to </w:t>
      </w:r>
      <w:r w:rsidR="00CD4EA9" w:rsidRPr="00CD4EA9">
        <w:rPr>
          <w:color w:val="000000"/>
          <w:w w:val="61"/>
          <w:shd w:val="solid" w:color="000000" w:fill="000000"/>
          <w:fitText w:val="472" w:id="-632121333"/>
          <w14:textFill>
            <w14:solidFill>
              <w14:srgbClr w14:val="000000">
                <w14:alpha w14:val="100000"/>
              </w14:srgbClr>
            </w14:solidFill>
          </w14:textFill>
        </w:rPr>
        <w:t>|||  ||</w:t>
      </w:r>
      <w:r w:rsidR="00CD4EA9" w:rsidRPr="00CD4EA9">
        <w:rPr>
          <w:color w:val="000000"/>
          <w:spacing w:val="2"/>
          <w:w w:val="61"/>
          <w:shd w:val="solid" w:color="000000" w:fill="000000"/>
          <w:fitText w:val="472" w:id="-632121333"/>
          <w14:textFill>
            <w14:solidFill>
              <w14:srgbClr w14:val="000000">
                <w14:alpha w14:val="100000"/>
              </w14:srgbClr>
            </w14:solidFill>
          </w14:textFill>
        </w:rPr>
        <w:t>|</w:t>
      </w:r>
      <w:r w:rsidRPr="0070272E">
        <w:t>% (from $</w:t>
      </w:r>
      <w:r w:rsidR="00E17E44" w:rsidRPr="00E17E44">
        <w:t>35,000 to &lt; $45,000</w:t>
      </w:r>
      <w:r w:rsidRPr="0070272E">
        <w:t xml:space="preserve"> per QALY gained to $</w:t>
      </w:r>
      <w:r w:rsidR="00E17E44" w:rsidRPr="00E17E44">
        <w:t>45,000 to &lt; $55,000</w:t>
      </w:r>
      <w:r w:rsidRPr="0070272E">
        <w:t xml:space="preserve"> </w:t>
      </w:r>
      <w:r>
        <w:t>to</w:t>
      </w:r>
      <w:r w:rsidRPr="0070272E">
        <w:t xml:space="preserve"> $</w:t>
      </w:r>
      <w:r w:rsidR="00E17E44" w:rsidRPr="00E17E44">
        <w:t>75,000 to &lt; $95,000</w:t>
      </w:r>
      <w:r w:rsidRPr="0070272E">
        <w:t xml:space="preserve"> per QALY gained). </w:t>
      </w:r>
      <w:r w:rsidRPr="004A46DA">
        <w:t>The ESCs considered that the assumption that a 1.38 month delay in disease progression, as measured with the iADRS, after 76 weeks of treatment would result in a treatment benefit</w:t>
      </w:r>
      <w:r w:rsidR="004227B0" w:rsidRPr="004A46DA">
        <w:t xml:space="preserve"> of the magnitude produced </w:t>
      </w:r>
      <w:r w:rsidR="000119AF" w:rsidRPr="004A46DA">
        <w:t>by the model</w:t>
      </w:r>
      <w:r w:rsidRPr="004A46DA">
        <w:t xml:space="preserve"> at 15 years was highly implausible.</w:t>
      </w:r>
      <w:bookmarkEnd w:id="47"/>
    </w:p>
    <w:p w14:paraId="78C14887" w14:textId="0C344C9D" w:rsidR="0008002E" w:rsidRPr="00EE0EEB" w:rsidRDefault="000C0464" w:rsidP="000C0464">
      <w:pPr>
        <w:pStyle w:val="Caption"/>
        <w:rPr>
          <w:color w:val="3366FF"/>
        </w:rPr>
      </w:pPr>
      <w:bookmarkStart w:id="48" w:name="_Ref204780803"/>
      <w:r>
        <w:lastRenderedPageBreak/>
        <w:t xml:space="preserve">Figure </w:t>
      </w:r>
      <w:r>
        <w:fldChar w:fldCharType="begin"/>
      </w:r>
      <w:r>
        <w:instrText xml:space="preserve"> SEQ Figure \* ARABIC </w:instrText>
      </w:r>
      <w:r>
        <w:fldChar w:fldCharType="separate"/>
      </w:r>
      <w:r w:rsidR="00392423">
        <w:rPr>
          <w:noProof/>
        </w:rPr>
        <w:t>17</w:t>
      </w:r>
      <w:r>
        <w:fldChar w:fldCharType="end"/>
      </w:r>
      <w:bookmarkEnd w:id="48"/>
      <w:r w:rsidR="0008002E" w:rsidRPr="00EE0EEB">
        <w:fldChar w:fldCharType="begin"/>
      </w:r>
      <w:r w:rsidR="0008002E" w:rsidRPr="00EE0EEB">
        <w:instrText xml:space="preserve"> SEQ Figure_PBAC. \* ARABIC </w:instrText>
      </w:r>
      <w:r w:rsidR="0008002E" w:rsidRPr="00EE0EEB">
        <w:fldChar w:fldCharType="separate"/>
      </w:r>
      <w:r w:rsidR="00392423">
        <w:rPr>
          <w:noProof/>
        </w:rPr>
        <w:t>5</w:t>
      </w:r>
      <w:r w:rsidR="0008002E" w:rsidRPr="00EE0EEB">
        <w:fldChar w:fldCharType="end"/>
      </w:r>
      <w:r w:rsidR="0008002E" w:rsidRPr="00EE0EEB">
        <w:t>: The effect of different treatment waning assumptions on the MCI due to AD and mild AD health state membership</w:t>
      </w:r>
    </w:p>
    <w:p w14:paraId="2A085C94" w14:textId="77777777" w:rsidR="0008002E" w:rsidRPr="00EE0EEB" w:rsidRDefault="0008002E" w:rsidP="0008002E">
      <w:pPr>
        <w:keepNext/>
      </w:pPr>
      <w:r w:rsidRPr="00EE0EEB">
        <w:rPr>
          <w:noProof/>
        </w:rPr>
        <w:drawing>
          <wp:inline distT="0" distB="0" distL="0" distR="0" wp14:anchorId="55A357DD" wp14:editId="3D53FCFE">
            <wp:extent cx="5842660" cy="3477765"/>
            <wp:effectExtent l="0" t="0" r="5715" b="8890"/>
            <wp:docPr id="2103098197" name="Picture 2103098197" descr="Figure 17: The effect of different treatment waning assumptions on the MCI due to AD and mild AD health state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98197" name="Picture 2103098197" descr="Figure 17: The effect of different treatment waning assumptions on the MCI due to AD and mild AD health state membershi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61749" cy="3489128"/>
                    </a:xfrm>
                    <a:prstGeom prst="rect">
                      <a:avLst/>
                    </a:prstGeom>
                    <a:noFill/>
                  </pic:spPr>
                </pic:pic>
              </a:graphicData>
            </a:graphic>
          </wp:inline>
        </w:drawing>
      </w:r>
    </w:p>
    <w:p w14:paraId="1DD46539" w14:textId="77777777" w:rsidR="0008002E" w:rsidRPr="00EE0EEB" w:rsidRDefault="0008002E" w:rsidP="0008002E">
      <w:pPr>
        <w:pStyle w:val="TableFigureFooter"/>
        <w:keepNext/>
      </w:pPr>
      <w:r w:rsidRPr="00EE0EEB">
        <w:t xml:space="preserve">Source: </w:t>
      </w:r>
      <w:r w:rsidRPr="00476B3B">
        <w:t>Constructed during the evaluation</w:t>
      </w:r>
      <w:r w:rsidRPr="00EE0EEB">
        <w:t xml:space="preserve"> </w:t>
      </w:r>
      <w:r w:rsidRPr="00476B3B">
        <w:t>from the</w:t>
      </w:r>
      <w:r w:rsidRPr="00EE0EEB">
        <w:t xml:space="preserve"> “3.3_Donanemab cost effectiveness model” attachment provided with the submission.</w:t>
      </w:r>
    </w:p>
    <w:p w14:paraId="783BEBCF" w14:textId="09E4E832" w:rsidR="0008002E" w:rsidRPr="00EE0EEB" w:rsidRDefault="0008002E" w:rsidP="0008002E">
      <w:pPr>
        <w:pStyle w:val="TableFigureFooter"/>
        <w:keepNext/>
      </w:pPr>
      <w:r w:rsidRPr="00EE0EEB">
        <w:t>AD = Alzheimer</w:t>
      </w:r>
      <w:r w:rsidR="00D058AF">
        <w:t>’s</w:t>
      </w:r>
      <w:r w:rsidRPr="00EE0EEB">
        <w:t xml:space="preserve"> Disease; AE = adverse events; MCI = mild cognitive impairment; SOC = standard of care; Tx = treatment.</w:t>
      </w:r>
    </w:p>
    <w:p w14:paraId="2DD25591" w14:textId="77777777" w:rsidR="0008002E" w:rsidRPr="00EE0EEB" w:rsidRDefault="0008002E" w:rsidP="0008002E">
      <w:pPr>
        <w:pStyle w:val="TableFigureFooter"/>
        <w:keepNext/>
      </w:pPr>
      <w:r w:rsidRPr="00EE0EEB">
        <w:t xml:space="preserve">* Treatment effect assumptions applied for patients who complete the full 18-month treatment course or those who cease early due to amyloid clearance in the MCI due to AD or mild AD health state. Patients who cease treatment due to AEs are assumed to have no treatment effect after stopping treatment in these analyses.  </w:t>
      </w:r>
    </w:p>
    <w:p w14:paraId="79296EC5" w14:textId="1EF17A9D" w:rsidR="0008002E" w:rsidRPr="004A46DA" w:rsidRDefault="0008002E" w:rsidP="00DD02B1">
      <w:pPr>
        <w:pStyle w:val="3-BodyText"/>
        <w:numPr>
          <w:ilvl w:val="1"/>
          <w:numId w:val="23"/>
        </w:numPr>
        <w:spacing w:before="60" w:after="60"/>
        <w:ind w:left="709" w:hanging="709"/>
        <w:rPr>
          <w:iCs/>
        </w:rPr>
      </w:pPr>
      <w:bookmarkStart w:id="49" w:name="_Ref204247657"/>
      <w:r w:rsidRPr="0070272E">
        <w:t xml:space="preserve">Mortality was modelled though </w:t>
      </w:r>
      <w:r>
        <w:t>hazard ratio</w:t>
      </w:r>
      <w:r w:rsidRPr="0070272E">
        <w:t xml:space="preserve">s being applied to background mortality (Australian Bureau of Statistics [ABS] lifetables). In the MCI due to AD health state, a </w:t>
      </w:r>
      <w:r>
        <w:t>hazard ratio</w:t>
      </w:r>
      <w:r w:rsidRPr="0070272E">
        <w:t xml:space="preserve"> of 1 was applied (i.e. no additional risk of death due to AD). However, for the mild, moderate and severe AD health state, the same </w:t>
      </w:r>
      <w:r>
        <w:t>hazard ratio</w:t>
      </w:r>
      <w:r w:rsidRPr="0070272E">
        <w:t xml:space="preserve"> (2.55) was applied for all of these health states sourced from a UK Office of National Statistics (ONS) analysis of dementia versus non-dementia deaths in the UK from 2020 to 2022.</w:t>
      </w:r>
      <w:r w:rsidR="00D66B13" w:rsidRPr="0070272E">
        <w:t xml:space="preserve"> </w:t>
      </w:r>
      <w:r w:rsidRPr="0070272E">
        <w:t xml:space="preserve">The submission considered this was appropriate as there was a lack of evidence to suggest the presence of a survival benefit associated with amyloid targeting therapies and the application of health state specific </w:t>
      </w:r>
      <w:r>
        <w:t>hazard ratio</w:t>
      </w:r>
      <w:r w:rsidRPr="0070272E">
        <w:t>s would imply a survival benefit as donanemab slows disease progression. This assumption</w:t>
      </w:r>
      <w:r w:rsidRPr="0070272E" w:rsidDel="00CF4F0D">
        <w:t xml:space="preserve"> </w:t>
      </w:r>
      <w:r w:rsidRPr="0070272E">
        <w:t>may not be reasonable and contradicts the large body of evidence which indicates increased mortality risk with worsening symptoms of AD.</w:t>
      </w:r>
      <w:r w:rsidRPr="0070272E">
        <w:rPr>
          <w:rStyle w:val="FootnoteReference"/>
        </w:rPr>
        <w:footnoteReference w:id="50"/>
      </w:r>
      <w:r w:rsidRPr="0070272E">
        <w:t xml:space="preserve"> Crowell et al. </w:t>
      </w:r>
      <w:r>
        <w:t xml:space="preserve">(2023) </w:t>
      </w:r>
      <w:r w:rsidRPr="0070272E">
        <w:t xml:space="preserve">estimated mortality </w:t>
      </w:r>
      <w:r>
        <w:t>hazard ratio</w:t>
      </w:r>
      <w:r w:rsidRPr="0070272E">
        <w:t xml:space="preserve">s of 2.43, 3.77 and 8.53 for mild, moderate and severe AD patients (using the CDR-SB), respectively. Applying these </w:t>
      </w:r>
      <w:r>
        <w:t>hazard ratio</w:t>
      </w:r>
      <w:r w:rsidRPr="0070272E">
        <w:t xml:space="preserve">s in the economic model decreased the mean life expectancy for modelled patients from 84.5 years in both arms to 82.2 and 81.6 years in the donanemab and SOC arms, respectively. This resulted in a </w:t>
      </w:r>
      <w:r w:rsidR="00CD4EA9" w:rsidRPr="00CD4EA9">
        <w:rPr>
          <w:color w:val="000000"/>
          <w:w w:val="61"/>
          <w:shd w:val="solid" w:color="000000" w:fill="000000"/>
          <w:fitText w:val="472" w:id="-632121332"/>
          <w14:textFill>
            <w14:solidFill>
              <w14:srgbClr w14:val="000000">
                <w14:alpha w14:val="100000"/>
              </w14:srgbClr>
            </w14:solidFill>
          </w14:textFill>
        </w:rPr>
        <w:t>|||  ||</w:t>
      </w:r>
      <w:r w:rsidR="00CD4EA9" w:rsidRPr="00CD4EA9">
        <w:rPr>
          <w:color w:val="000000"/>
          <w:spacing w:val="2"/>
          <w:w w:val="61"/>
          <w:shd w:val="solid" w:color="000000" w:fill="000000"/>
          <w:fitText w:val="472" w:id="-632121332"/>
          <w14:textFill>
            <w14:solidFill>
              <w14:srgbClr w14:val="000000">
                <w14:alpha w14:val="100000"/>
              </w14:srgbClr>
            </w14:solidFill>
          </w14:textFill>
        </w:rPr>
        <w:t>|</w:t>
      </w:r>
      <w:r w:rsidRPr="0070272E">
        <w:t>% increase in the ICER (from $</w:t>
      </w:r>
      <w:r w:rsidR="00C10B98" w:rsidRPr="00C10B98">
        <w:t>35,000 to &lt; $45,000</w:t>
      </w:r>
      <w:r w:rsidRPr="0070272E">
        <w:t xml:space="preserve"> per QALY gained to $</w:t>
      </w:r>
      <w:r w:rsidR="00C10B98" w:rsidRPr="00C10B98">
        <w:t>75,000 to &lt; $95,000</w:t>
      </w:r>
      <w:r w:rsidR="00C10B98">
        <w:t xml:space="preserve"> </w:t>
      </w:r>
      <w:r w:rsidRPr="0070272E">
        <w:t xml:space="preserve">per </w:t>
      </w:r>
      <w:r w:rsidRPr="0070272E">
        <w:lastRenderedPageBreak/>
        <w:t>QALY gained).</w:t>
      </w:r>
      <w:r>
        <w:t xml:space="preserve"> </w:t>
      </w:r>
      <w:r w:rsidRPr="004A46DA">
        <w:rPr>
          <w:iCs/>
        </w:rPr>
        <w:t>The PSCR stated that Crowell et al. (2023) likely included other forms of dementia with higher mortality risks compared to AD. The ESC</w:t>
      </w:r>
      <w:r w:rsidR="004610B5">
        <w:rPr>
          <w:iCs/>
        </w:rPr>
        <w:t>s</w:t>
      </w:r>
      <w:r w:rsidRPr="004A46DA">
        <w:rPr>
          <w:iCs/>
        </w:rPr>
        <w:t xml:space="preserve"> noted that patients</w:t>
      </w:r>
      <w:r w:rsidRPr="004A46DA">
        <w:rPr>
          <w:iCs/>
          <w:lang w:val="en-US"/>
        </w:rPr>
        <w:t xml:space="preserve"> in the Crowell et al.</w:t>
      </w:r>
      <w:r w:rsidRPr="004A46DA">
        <w:rPr>
          <w:iCs/>
        </w:rPr>
        <w:t xml:space="preserve"> (2023)</w:t>
      </w:r>
      <w:r w:rsidRPr="004A46DA">
        <w:rPr>
          <w:iCs/>
          <w:lang w:val="en-US"/>
        </w:rPr>
        <w:t xml:space="preserve"> study were required to have a presumptive primary etiologic diagnosis of AD at index and no record of a non-AD etiologic diagnosis potentially causing cognitive impairment before or at index. In contrast, the ONS data included patients with a dementia diagnosis (i.e. not restricted to AD). Hence, the Crowell et al. study population </w:t>
      </w:r>
      <w:r w:rsidRPr="004A46DA">
        <w:rPr>
          <w:iCs/>
        </w:rPr>
        <w:t>was likely more</w:t>
      </w:r>
      <w:r w:rsidRPr="004A46DA">
        <w:rPr>
          <w:iCs/>
          <w:lang w:val="en-US"/>
        </w:rPr>
        <w:t xml:space="preserve"> representative of the intended treated population than the ONS data.</w:t>
      </w:r>
      <w:bookmarkEnd w:id="49"/>
    </w:p>
    <w:p w14:paraId="458B6644" w14:textId="0F6839C9" w:rsidR="0008002E" w:rsidRPr="0070272E" w:rsidRDefault="0008002E" w:rsidP="00DD02B1">
      <w:pPr>
        <w:pStyle w:val="3-BodyText"/>
        <w:numPr>
          <w:ilvl w:val="1"/>
          <w:numId w:val="23"/>
        </w:numPr>
        <w:spacing w:before="60" w:after="60"/>
        <w:ind w:left="709" w:hanging="709"/>
      </w:pPr>
      <w:r w:rsidRPr="0070272E">
        <w:t xml:space="preserve">Patients in the mild, moderate and severe AD health states </w:t>
      </w:r>
      <w:r>
        <w:t xml:space="preserve">who entered the model in the community setting </w:t>
      </w:r>
      <w:r w:rsidRPr="0070272E">
        <w:t>could be institutionalised</w:t>
      </w:r>
      <w:r>
        <w:t>,</w:t>
      </w:r>
      <w:r w:rsidRPr="0070272E">
        <w:t xml:space="preserve"> and once they were, they could no longer return to the community setting.</w:t>
      </w:r>
      <w:r w:rsidRPr="0070272E" w:rsidDel="00447BE6">
        <w:t xml:space="preserve"> </w:t>
      </w:r>
      <w:r w:rsidRPr="0070272E">
        <w:t>The risk of institutionalisation (which was health state specific) was derived from the 2012 Dementia in Australia Australian Institute of Health and Welfare (AIHW) report which outlined the number of dementia patients by severity in community or in care settings.</w:t>
      </w:r>
      <w:r w:rsidRPr="0070272E">
        <w:rPr>
          <w:rStyle w:val="FootnoteReference"/>
        </w:rPr>
        <w:footnoteReference w:id="51"/>
      </w:r>
      <w:r w:rsidRPr="0070272E">
        <w:t xml:space="preserve"> The proportion of patients within each severity type (mild, moderate, severe) that were institutionalised (at a single time point) were then divided by the average length of stay in residential care (2.3 years as estimated by the AIHW in 2024)</w:t>
      </w:r>
      <w:r w:rsidRPr="0070272E">
        <w:rPr>
          <w:rStyle w:val="FootnoteReference"/>
        </w:rPr>
        <w:footnoteReference w:id="52"/>
      </w:r>
      <w:r w:rsidRPr="0070272E">
        <w:t xml:space="preserve"> to calculate an annual incidence of institutionalisation</w:t>
      </w:r>
      <w:r>
        <w:t>.</w:t>
      </w:r>
      <w:r w:rsidRPr="0070272E" w:rsidDel="00447BE6">
        <w:t xml:space="preserve"> </w:t>
      </w:r>
      <w:r w:rsidRPr="0070272E">
        <w:t xml:space="preserve">This approach was not appropriate for the model as it was based on a fixed duration which differed from the duration of institutionalisation in the model. Applying </w:t>
      </w:r>
      <w:r>
        <w:t>different</w:t>
      </w:r>
      <w:r w:rsidRPr="0070272E">
        <w:t xml:space="preserve"> institutionalisation rates from the literature: Knapp et al.</w:t>
      </w:r>
      <w:r w:rsidRPr="0070272E">
        <w:rPr>
          <w:rStyle w:val="FootnoteReference"/>
        </w:rPr>
        <w:footnoteReference w:id="53"/>
      </w:r>
      <w:r w:rsidRPr="0070272E">
        <w:t xml:space="preserve"> (estimated for the UK setting) and Belger et al.</w:t>
      </w:r>
      <w:r w:rsidRPr="0070272E">
        <w:rPr>
          <w:rStyle w:val="FootnoteReference"/>
        </w:rPr>
        <w:footnoteReference w:id="54"/>
      </w:r>
      <w:r w:rsidRPr="0070272E">
        <w:t xml:space="preserve"> (estimated across the UK, France and Germany) resulted in a </w:t>
      </w:r>
      <w:r w:rsidR="00CD4EA9" w:rsidRPr="00CD4EA9">
        <w:rPr>
          <w:color w:val="000000"/>
          <w:w w:val="61"/>
          <w:shd w:val="solid" w:color="000000" w:fill="000000"/>
          <w:fitText w:val="472" w:id="-632121331"/>
          <w14:textFill>
            <w14:solidFill>
              <w14:srgbClr w14:val="000000">
                <w14:alpha w14:val="100000"/>
              </w14:srgbClr>
            </w14:solidFill>
          </w14:textFill>
        </w:rPr>
        <w:t>|||  ||</w:t>
      </w:r>
      <w:r w:rsidR="00CD4EA9" w:rsidRPr="00CD4EA9">
        <w:rPr>
          <w:color w:val="000000"/>
          <w:spacing w:val="2"/>
          <w:w w:val="61"/>
          <w:shd w:val="solid" w:color="000000" w:fill="000000"/>
          <w:fitText w:val="472" w:id="-632121331"/>
          <w14:textFill>
            <w14:solidFill>
              <w14:srgbClr w14:val="000000">
                <w14:alpha w14:val="100000"/>
              </w14:srgbClr>
            </w14:solidFill>
          </w14:textFill>
        </w:rPr>
        <w:t>|</w:t>
      </w:r>
      <w:r w:rsidRPr="0070272E">
        <w:t xml:space="preserve">% and </w:t>
      </w:r>
      <w:r w:rsidR="00CD4EA9" w:rsidRPr="00CD4EA9">
        <w:rPr>
          <w:color w:val="000000"/>
          <w:w w:val="60"/>
          <w:shd w:val="solid" w:color="000000" w:fill="000000"/>
          <w:fitText w:val="466" w:id="-632121330"/>
          <w14:textFill>
            <w14:solidFill>
              <w14:srgbClr w14:val="000000">
                <w14:alpha w14:val="100000"/>
              </w14:srgbClr>
            </w14:solidFill>
          </w14:textFill>
        </w:rPr>
        <w:t>|||  ||</w:t>
      </w:r>
      <w:r w:rsidR="00CD4EA9" w:rsidRPr="00CD4EA9">
        <w:rPr>
          <w:color w:val="000000"/>
          <w:spacing w:val="2"/>
          <w:w w:val="60"/>
          <w:shd w:val="solid" w:color="000000" w:fill="000000"/>
          <w:fitText w:val="466" w:id="-632121330"/>
          <w14:textFill>
            <w14:solidFill>
              <w14:srgbClr w14:val="000000">
                <w14:alpha w14:val="100000"/>
              </w14:srgbClr>
            </w14:solidFill>
          </w14:textFill>
        </w:rPr>
        <w:t>|</w:t>
      </w:r>
      <w:r w:rsidRPr="0070272E">
        <w:t>% increase in the ICER, respectively (from $</w:t>
      </w:r>
      <w:r w:rsidR="00C5130D" w:rsidRPr="00C5130D">
        <w:t>35,000 to &lt; $45,000</w:t>
      </w:r>
      <w:r w:rsidRPr="0070272E">
        <w:t xml:space="preserve"> per QALY gained to $</w:t>
      </w:r>
      <w:r w:rsidR="00C5130D" w:rsidRPr="00C5130D">
        <w:t>75,000 to &lt; $95,000</w:t>
      </w:r>
      <w:r w:rsidRPr="0070272E">
        <w:t xml:space="preserve"> and $</w:t>
      </w:r>
      <w:r w:rsidR="00C5130D" w:rsidRPr="00C5130D">
        <w:t>95,000 to &lt; $115,000</w:t>
      </w:r>
      <w:r w:rsidRPr="0070272E">
        <w:t xml:space="preserve"> per QALY gained, respectively).</w:t>
      </w:r>
    </w:p>
    <w:p w14:paraId="0FDF0B5C" w14:textId="6398E8EE" w:rsidR="0008002E" w:rsidRPr="008F4189" w:rsidRDefault="0008002E" w:rsidP="00DD02B1">
      <w:pPr>
        <w:pStyle w:val="3-BodyText"/>
        <w:numPr>
          <w:ilvl w:val="1"/>
          <w:numId w:val="23"/>
        </w:numPr>
        <w:spacing w:before="60" w:after="60"/>
        <w:ind w:left="709" w:hanging="709"/>
      </w:pPr>
      <w:bookmarkStart w:id="50" w:name="_Ref201333306"/>
      <w:r w:rsidRPr="0070272E">
        <w:t>As the TB-2 trial did not collect EQ-5D data, the submission drew on published studies to estimate utility values for patients. For the MCI due to AD health state, a utility value of 0.859 was applied based on the background utility of Australian patients, adjusted for age and sex (sourced from Redwood et al.).</w:t>
      </w:r>
      <w:r w:rsidRPr="0070272E">
        <w:rPr>
          <w:rStyle w:val="FootnoteReference"/>
        </w:rPr>
        <w:footnoteReference w:id="55"/>
      </w:r>
      <w:r w:rsidRPr="0070272E">
        <w:t xml:space="preserve"> </w:t>
      </w:r>
      <w:r>
        <w:t>U</w:t>
      </w:r>
      <w:r w:rsidRPr="0070272E">
        <w:t>tility values of 0.740, 0.590 and 0.360 were applied to the mild, moderate and severe AD health state sourced from Landeiro et al.</w:t>
      </w:r>
      <w:r w:rsidR="00910633" w:rsidRPr="0070272E">
        <w:t xml:space="preserve"> </w:t>
      </w:r>
      <w:r w:rsidRPr="0070272E">
        <w:t>These were not dependent on if patients were in the community or institutional setting.</w:t>
      </w:r>
      <w:bookmarkEnd w:id="50"/>
      <w:r w:rsidRPr="0070272E">
        <w:t xml:space="preserve"> </w:t>
      </w:r>
    </w:p>
    <w:p w14:paraId="7AC374ED" w14:textId="6144358D" w:rsidR="0008002E" w:rsidRPr="0070272E" w:rsidRDefault="0008002E" w:rsidP="00DD02B1">
      <w:pPr>
        <w:pStyle w:val="3-BodyText"/>
        <w:numPr>
          <w:ilvl w:val="1"/>
          <w:numId w:val="23"/>
        </w:numPr>
        <w:spacing w:before="60" w:after="60"/>
        <w:ind w:left="709" w:hanging="709"/>
      </w:pPr>
      <w:r>
        <w:t>T</w:t>
      </w:r>
      <w:r w:rsidRPr="0070272E">
        <w:t>he submission also included carer utilities for 50% of patients</w:t>
      </w:r>
      <w:r>
        <w:t xml:space="preserve"> (based on Brown 2017</w:t>
      </w:r>
      <w:r>
        <w:rPr>
          <w:rStyle w:val="FootnoteReference"/>
        </w:rPr>
        <w:footnoteReference w:id="56"/>
      </w:r>
      <w:r>
        <w:t>)</w:t>
      </w:r>
      <w:r w:rsidRPr="0070272E">
        <w:t xml:space="preserve">. </w:t>
      </w:r>
      <w:r w:rsidRPr="008F4189">
        <w:t xml:space="preserve"> Utilities for spouse and child carers for patients in the MCI due to AD health state were sourced from general population utilities</w:t>
      </w:r>
      <w:r>
        <w:t>, using</w:t>
      </w:r>
      <w:r w:rsidRPr="008F4189">
        <w:t xml:space="preserve"> </w:t>
      </w:r>
      <w:r>
        <w:t xml:space="preserve">the </w:t>
      </w:r>
      <w:r w:rsidRPr="008F4189">
        <w:t xml:space="preserve">age and gender </w:t>
      </w:r>
      <w:r w:rsidRPr="008F4189">
        <w:lastRenderedPageBreak/>
        <w:t>distribution of the carers were sourced from Reed 2014</w:t>
      </w:r>
      <w:r>
        <w:rPr>
          <w:rStyle w:val="FootnoteReference"/>
        </w:rPr>
        <w:footnoteReference w:id="57"/>
      </w:r>
      <w:r>
        <w:t xml:space="preserve">. </w:t>
      </w:r>
      <w:r w:rsidRPr="008F4189">
        <w:t>Carer utilities for the mild, moderate and severe AD health states were sourced from two vignette time trade-off utility studies</w:t>
      </w:r>
      <w:r>
        <w:t>.</w:t>
      </w:r>
      <w:r w:rsidRPr="008F4189">
        <w:t xml:space="preserve"> </w:t>
      </w:r>
      <w:r w:rsidRPr="00EE0EEB">
        <w:t>When patients were in the community setting, carer utilities were sourced from Matza 2024</w:t>
      </w:r>
      <w:r>
        <w:rPr>
          <w:rStyle w:val="FootnoteReference"/>
        </w:rPr>
        <w:footnoteReference w:id="58"/>
      </w:r>
      <w:r w:rsidRPr="00EE0EEB">
        <w:t>.</w:t>
      </w:r>
      <w:r>
        <w:t xml:space="preserve"> P</w:t>
      </w:r>
      <w:r w:rsidRPr="008F4189">
        <w:t xml:space="preserve">atients in the mild AD health state but institutionalised, carers received the same utilities as if the patients were in the mild AD community health state. When patients were institutionalised in the moderate and severe AD health states, carer utilities were sourced from Belger </w:t>
      </w:r>
      <w:r>
        <w:t>2022</w:t>
      </w:r>
      <w:r>
        <w:rPr>
          <w:rStyle w:val="FootnoteReference"/>
        </w:rPr>
        <w:footnoteReference w:id="59"/>
      </w:r>
      <w:r w:rsidRPr="008F4189">
        <w:t xml:space="preserve">. </w:t>
      </w:r>
      <w:r>
        <w:t>Inclusion of carer utilities in the base case</w:t>
      </w:r>
      <w:r w:rsidRPr="0070272E">
        <w:t xml:space="preserve"> was not appropriate as the PBAC guidelines state that the base case economic evaluation should only include outcomes “associated with the patient”. However, given the nature of AD and its impact on family members, it is reasonable to consider the impact on carers in a supplementary analysis. Excluding carer QALYs from the base case analysis increased the ICER by </w:t>
      </w:r>
      <w:r w:rsidR="00CD4EA9" w:rsidRPr="00CD4EA9">
        <w:rPr>
          <w:color w:val="000000"/>
          <w:w w:val="60"/>
          <w:shd w:val="solid" w:color="000000" w:fill="000000"/>
          <w:fitText w:val="466" w:id="-632121329"/>
          <w14:textFill>
            <w14:solidFill>
              <w14:srgbClr w14:val="000000">
                <w14:alpha w14:val="100000"/>
              </w14:srgbClr>
            </w14:solidFill>
          </w14:textFill>
        </w:rPr>
        <w:t>|||  ||</w:t>
      </w:r>
      <w:r w:rsidR="00CD4EA9" w:rsidRPr="00CD4EA9">
        <w:rPr>
          <w:color w:val="000000"/>
          <w:spacing w:val="2"/>
          <w:w w:val="60"/>
          <w:shd w:val="solid" w:color="000000" w:fill="000000"/>
          <w:fitText w:val="466" w:id="-632121329"/>
          <w14:textFill>
            <w14:solidFill>
              <w14:srgbClr w14:val="000000">
                <w14:alpha w14:val="100000"/>
              </w14:srgbClr>
            </w14:solidFill>
          </w14:textFill>
        </w:rPr>
        <w:t>|</w:t>
      </w:r>
      <w:r w:rsidRPr="0070272E">
        <w:t>% (from $</w:t>
      </w:r>
      <w:r w:rsidR="00C52A18" w:rsidRPr="00C52A18">
        <w:t>35,000 to &lt; $45,000</w:t>
      </w:r>
      <w:r w:rsidRPr="0070272E">
        <w:t xml:space="preserve"> per QALY gained to $</w:t>
      </w:r>
      <w:r w:rsidR="00E43B0B" w:rsidRPr="00E43B0B">
        <w:t>45,000 to &lt; $55,000</w:t>
      </w:r>
      <w:r w:rsidR="00E43B0B">
        <w:t xml:space="preserve"> </w:t>
      </w:r>
      <w:r w:rsidRPr="0070272E">
        <w:t>per QALY gained).</w:t>
      </w:r>
    </w:p>
    <w:p w14:paraId="3769A441" w14:textId="77777777" w:rsidR="0008002E" w:rsidRPr="0070272E" w:rsidRDefault="0008002E" w:rsidP="00DD02B1">
      <w:pPr>
        <w:pStyle w:val="3-BodyText"/>
        <w:numPr>
          <w:ilvl w:val="1"/>
          <w:numId w:val="23"/>
        </w:numPr>
        <w:spacing w:before="60" w:after="60"/>
        <w:ind w:left="709" w:hanging="709"/>
      </w:pPr>
      <w:r w:rsidRPr="0070272E">
        <w:t>The economic model included costs for donanemab diagnosis, acquisition, administration, monitoring and adverse events as well as costs associated with disease management, institutional residency and terminal care costs. A number of costing issues were identified during the evaluation:</w:t>
      </w:r>
    </w:p>
    <w:p w14:paraId="6ACF2AB3" w14:textId="59BC2023" w:rsidR="0008002E" w:rsidRPr="0070272E" w:rsidRDefault="0008002E" w:rsidP="0008002E">
      <w:pPr>
        <w:pStyle w:val="Bullet"/>
        <w:jc w:val="both"/>
        <w:rPr>
          <w:sz w:val="24"/>
          <w:szCs w:val="24"/>
        </w:rPr>
      </w:pPr>
      <w:r w:rsidRPr="0070272E">
        <w:rPr>
          <w:sz w:val="24"/>
          <w:szCs w:val="24"/>
        </w:rPr>
        <w:t>The submission assumed 40% of donanemab patients would undergo the treat to clear treatment strategy where patients would monitor amyloid levels at 6 and 12 months and cease treatment if amyloid clearance was observed. The rate of screening for amyloid during treatment applied in the model was not supported by data. Amyloid monitoring at 6 and 12 months occurred as a part of the TB-2 protocol</w:t>
      </w:r>
      <w:r>
        <w:rPr>
          <w:sz w:val="24"/>
          <w:szCs w:val="24"/>
        </w:rPr>
        <w:t>;</w:t>
      </w:r>
      <w:r w:rsidRPr="0070272E">
        <w:rPr>
          <w:sz w:val="24"/>
          <w:szCs w:val="24"/>
        </w:rPr>
        <w:t xml:space="preserve"> however</w:t>
      </w:r>
      <w:r>
        <w:rPr>
          <w:sz w:val="24"/>
          <w:szCs w:val="24"/>
        </w:rPr>
        <w:t>,</w:t>
      </w:r>
      <w:r w:rsidRPr="0070272E">
        <w:rPr>
          <w:sz w:val="24"/>
          <w:szCs w:val="24"/>
        </w:rPr>
        <w:t xml:space="preserve"> in clinical practice it may not be as common as in TB-2. Based on the non-</w:t>
      </w:r>
      <w:r w:rsidRPr="009F3543">
        <w:rPr>
          <w:i/>
          <w:iCs/>
          <w:sz w:val="24"/>
          <w:szCs w:val="24"/>
        </w:rPr>
        <w:t>APOE4</w:t>
      </w:r>
      <w:r w:rsidRPr="0070272E">
        <w:rPr>
          <w:sz w:val="24"/>
          <w:szCs w:val="24"/>
        </w:rPr>
        <w:t xml:space="preserve"> homozygotes enrolled in TB-2 trial, 32% and 37% of modelled treat to clear donanemab patients would cease treatment at 6 and 12 months</w:t>
      </w:r>
      <w:r>
        <w:rPr>
          <w:sz w:val="24"/>
          <w:szCs w:val="24"/>
        </w:rPr>
        <w:t xml:space="preserve"> respectively</w:t>
      </w:r>
      <w:r w:rsidRPr="0070272E">
        <w:rPr>
          <w:sz w:val="24"/>
          <w:szCs w:val="24"/>
        </w:rPr>
        <w:t>. As the treatment cessation rate due to amyloid clearance may be considerably different in the Australian setting and the main effect of treatment cessation is to lower the cost of treatment, modelling treatment cessation for amyloid clearance represents a</w:t>
      </w:r>
      <w:r>
        <w:rPr>
          <w:sz w:val="24"/>
          <w:szCs w:val="24"/>
        </w:rPr>
        <w:t>n</w:t>
      </w:r>
      <w:r w:rsidRPr="0070272E">
        <w:rPr>
          <w:sz w:val="24"/>
          <w:szCs w:val="24"/>
        </w:rPr>
        <w:t xml:space="preserve"> applicability issue. Alternative values were explored in sensitivity analyses (</w:t>
      </w:r>
      <w:r w:rsidRPr="00D204B2">
        <w:rPr>
          <w:sz w:val="24"/>
          <w:szCs w:val="24"/>
        </w:rPr>
        <w:t xml:space="preserve">see </w:t>
      </w:r>
      <w:r w:rsidR="0072747E" w:rsidRPr="00D204B2">
        <w:rPr>
          <w:sz w:val="24"/>
          <w:szCs w:val="24"/>
        </w:rPr>
        <w:fldChar w:fldCharType="begin"/>
      </w:r>
      <w:r w:rsidR="0072747E" w:rsidRPr="00D204B2">
        <w:rPr>
          <w:sz w:val="24"/>
          <w:szCs w:val="24"/>
        </w:rPr>
        <w:instrText xml:space="preserve"> REF _Ref204780241 \h </w:instrText>
      </w:r>
      <w:r w:rsidR="00D204B2">
        <w:rPr>
          <w:sz w:val="24"/>
          <w:szCs w:val="24"/>
        </w:rPr>
        <w:instrText xml:space="preserve"> \* MERGEFORMAT </w:instrText>
      </w:r>
      <w:r w:rsidR="0072747E" w:rsidRPr="00D204B2">
        <w:rPr>
          <w:sz w:val="24"/>
          <w:szCs w:val="24"/>
        </w:rPr>
      </w:r>
      <w:r w:rsidR="0072747E" w:rsidRPr="00D204B2">
        <w:rPr>
          <w:sz w:val="24"/>
          <w:szCs w:val="24"/>
        </w:rPr>
        <w:fldChar w:fldCharType="separate"/>
      </w:r>
      <w:r w:rsidR="00392423">
        <w:t xml:space="preserve">Table </w:t>
      </w:r>
      <w:r w:rsidR="00392423">
        <w:rPr>
          <w:noProof/>
        </w:rPr>
        <w:t>22</w:t>
      </w:r>
      <w:r w:rsidR="0072747E" w:rsidRPr="00D204B2">
        <w:rPr>
          <w:sz w:val="24"/>
          <w:szCs w:val="24"/>
        </w:rPr>
        <w:fldChar w:fldCharType="end"/>
      </w:r>
      <w:r w:rsidRPr="0070272E">
        <w:rPr>
          <w:sz w:val="24"/>
          <w:szCs w:val="24"/>
        </w:rPr>
        <w:t xml:space="preserve">). </w:t>
      </w:r>
    </w:p>
    <w:p w14:paraId="28A6141C" w14:textId="47BB3D18" w:rsidR="0008002E" w:rsidRPr="004A46DA" w:rsidRDefault="0008002E" w:rsidP="0008002E">
      <w:pPr>
        <w:pStyle w:val="Bullet"/>
        <w:jc w:val="both"/>
        <w:rPr>
          <w:sz w:val="24"/>
          <w:szCs w:val="24"/>
        </w:rPr>
      </w:pPr>
      <w:r w:rsidRPr="0070272E">
        <w:rPr>
          <w:sz w:val="24"/>
          <w:szCs w:val="24"/>
        </w:rPr>
        <w:t>Institutionalisation costs ($105,434 per year, regardless of AD stage) were based on the outdated Aged Care Funding Instrument and basic subsidy rates for dementia patients in Australia, reported by Gnanamanickam et al.</w:t>
      </w:r>
      <w:r w:rsidRPr="0070272E">
        <w:rPr>
          <w:rStyle w:val="FootnoteReference"/>
          <w:sz w:val="24"/>
          <w:szCs w:val="24"/>
        </w:rPr>
        <w:footnoteReference w:id="60"/>
      </w:r>
      <w:r w:rsidRPr="0070272E">
        <w:rPr>
          <w:sz w:val="24"/>
          <w:szCs w:val="24"/>
        </w:rPr>
        <w:t xml:space="preserve"> The entire aged care residential fee may not constitute direct medical costs (as specified in the PBAC guidelines). A more reasonable approach would be to apply the </w:t>
      </w:r>
      <w:r w:rsidRPr="0070272E">
        <w:rPr>
          <w:sz w:val="24"/>
          <w:szCs w:val="24"/>
        </w:rPr>
        <w:lastRenderedPageBreak/>
        <w:t>Australian National Aged Care Classification funding, excluding the fixed component (which are fixed costs shared across all residents, i.e. basic living costs) and the fixed, once-off entry cost for new residents. This leaves only the variable component cost which, among other factors, differs based on the residents’ level of cognition.</w:t>
      </w:r>
      <w:r w:rsidRPr="0070272E">
        <w:rPr>
          <w:rStyle w:val="FootnoteReference"/>
          <w:sz w:val="24"/>
          <w:szCs w:val="24"/>
        </w:rPr>
        <w:t xml:space="preserve"> </w:t>
      </w:r>
      <w:r w:rsidRPr="0070272E">
        <w:rPr>
          <w:rStyle w:val="FootnoteReference"/>
          <w:sz w:val="24"/>
          <w:szCs w:val="24"/>
        </w:rPr>
        <w:footnoteReference w:id="61"/>
      </w:r>
      <w:r w:rsidRPr="0070272E">
        <w:rPr>
          <w:sz w:val="24"/>
          <w:szCs w:val="24"/>
        </w:rPr>
        <w:t xml:space="preserve"> This approach increased the ICER by </w:t>
      </w:r>
      <w:r w:rsidR="00CD4EA9" w:rsidRPr="00CD4EA9">
        <w:rPr>
          <w:color w:val="000000"/>
          <w:w w:val="61"/>
          <w:sz w:val="24"/>
          <w:szCs w:val="24"/>
          <w:shd w:val="solid" w:color="000000" w:fill="000000"/>
          <w:fitText w:val="472" w:id="-632121328"/>
          <w14:textFill>
            <w14:solidFill>
              <w14:srgbClr w14:val="000000">
                <w14:alpha w14:val="100000"/>
              </w14:srgbClr>
            </w14:solidFill>
          </w14:textFill>
        </w:rPr>
        <w:t>|||  ||</w:t>
      </w:r>
      <w:r w:rsidR="00CD4EA9" w:rsidRPr="00CD4EA9">
        <w:rPr>
          <w:color w:val="000000"/>
          <w:spacing w:val="2"/>
          <w:w w:val="61"/>
          <w:sz w:val="24"/>
          <w:szCs w:val="24"/>
          <w:shd w:val="solid" w:color="000000" w:fill="000000"/>
          <w:fitText w:val="472" w:id="-632121328"/>
          <w14:textFill>
            <w14:solidFill>
              <w14:srgbClr w14:val="000000">
                <w14:alpha w14:val="100000"/>
              </w14:srgbClr>
            </w14:solidFill>
          </w14:textFill>
        </w:rPr>
        <w:t>|</w:t>
      </w:r>
      <w:r w:rsidRPr="0070272E">
        <w:rPr>
          <w:sz w:val="24"/>
          <w:szCs w:val="24"/>
        </w:rPr>
        <w:t>% (from $</w:t>
      </w:r>
      <w:r w:rsidR="000020D3" w:rsidRPr="000020D3">
        <w:rPr>
          <w:sz w:val="24"/>
          <w:szCs w:val="24"/>
        </w:rPr>
        <w:t>35,000 to &lt; $45,000</w:t>
      </w:r>
      <w:r w:rsidRPr="0070272E">
        <w:rPr>
          <w:sz w:val="24"/>
          <w:szCs w:val="24"/>
        </w:rPr>
        <w:t xml:space="preserve"> per QALY gained to $</w:t>
      </w:r>
      <w:r w:rsidR="000020D3" w:rsidRPr="000020D3">
        <w:rPr>
          <w:sz w:val="24"/>
          <w:szCs w:val="24"/>
        </w:rPr>
        <w:t>5,000 to &lt; $95,000</w:t>
      </w:r>
      <w:r w:rsidRPr="0070272E">
        <w:rPr>
          <w:sz w:val="24"/>
          <w:szCs w:val="24"/>
        </w:rPr>
        <w:t xml:space="preserve"> per QALY gained).</w:t>
      </w:r>
      <w:r>
        <w:rPr>
          <w:sz w:val="24"/>
          <w:szCs w:val="24"/>
        </w:rPr>
        <w:t xml:space="preserve"> </w:t>
      </w:r>
      <w:r w:rsidRPr="004A46DA">
        <w:rPr>
          <w:sz w:val="24"/>
          <w:szCs w:val="24"/>
        </w:rPr>
        <w:t>The PSCR disagreed, stating that the costing of residential care should include the variable component and the basic daily care fee. The ESCs considered that regardless of whether the variable component was included or not, the cost of institutionalisation should be based on disease stage, rather than an average cost applied for all patients.</w:t>
      </w:r>
    </w:p>
    <w:p w14:paraId="065E2C0D" w14:textId="66EE3234" w:rsidR="0008002E" w:rsidRPr="0070272E" w:rsidRDefault="0008002E" w:rsidP="00DD02B1">
      <w:pPr>
        <w:pStyle w:val="3-BodyText"/>
        <w:numPr>
          <w:ilvl w:val="1"/>
          <w:numId w:val="23"/>
        </w:numPr>
        <w:spacing w:before="60" w:after="60"/>
        <w:ind w:left="709" w:hanging="709"/>
      </w:pPr>
      <w:r w:rsidRPr="0070272E">
        <w:t xml:space="preserve">The key model drivers are presented in </w:t>
      </w:r>
      <w:r w:rsidR="00131043">
        <w:fldChar w:fldCharType="begin"/>
      </w:r>
      <w:r w:rsidR="00131043">
        <w:instrText xml:space="preserve"> REF _Ref204780168 \h </w:instrText>
      </w:r>
      <w:r w:rsidR="00131043">
        <w:fldChar w:fldCharType="separate"/>
      </w:r>
      <w:r w:rsidR="00392423">
        <w:t xml:space="preserve">Table </w:t>
      </w:r>
      <w:r w:rsidR="00392423">
        <w:rPr>
          <w:noProof/>
        </w:rPr>
        <w:t>19</w:t>
      </w:r>
      <w:r w:rsidR="00131043">
        <w:fldChar w:fldCharType="end"/>
      </w:r>
      <w:r w:rsidRPr="0070272E">
        <w:t>.</w:t>
      </w:r>
    </w:p>
    <w:p w14:paraId="65CC92D6" w14:textId="7F8A18FD" w:rsidR="0008002E" w:rsidRPr="0070272E" w:rsidRDefault="00131043" w:rsidP="00131043">
      <w:pPr>
        <w:pStyle w:val="Caption"/>
      </w:pPr>
      <w:bookmarkStart w:id="51" w:name="_Ref204780168"/>
      <w:r>
        <w:lastRenderedPageBreak/>
        <w:t xml:space="preserve">Table </w:t>
      </w:r>
      <w:r>
        <w:fldChar w:fldCharType="begin"/>
      </w:r>
      <w:r>
        <w:instrText xml:space="preserve"> SEQ Table \* ARABIC </w:instrText>
      </w:r>
      <w:r>
        <w:fldChar w:fldCharType="separate"/>
      </w:r>
      <w:r w:rsidR="00392423">
        <w:rPr>
          <w:noProof/>
        </w:rPr>
        <w:t>19</w:t>
      </w:r>
      <w:r>
        <w:fldChar w:fldCharType="end"/>
      </w:r>
      <w:bookmarkEnd w:id="51"/>
      <w:r w:rsidR="00CC40F2">
        <w:t xml:space="preserve">: </w:t>
      </w:r>
      <w:r w:rsidR="0008002E" w:rsidRPr="0070272E">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drivers of the model"/>
      </w:tblPr>
      <w:tblGrid>
        <w:gridCol w:w="1413"/>
        <w:gridCol w:w="4678"/>
        <w:gridCol w:w="2925"/>
      </w:tblGrid>
      <w:tr w:rsidR="0008002E" w:rsidRPr="0070272E" w14:paraId="1AB1FE67" w14:textId="77777777" w:rsidTr="00E81465">
        <w:trPr>
          <w:tblHeader/>
        </w:trPr>
        <w:tc>
          <w:tcPr>
            <w:tcW w:w="784" w:type="pct"/>
            <w:vAlign w:val="center"/>
          </w:tcPr>
          <w:p w14:paraId="742A0AB5" w14:textId="77777777" w:rsidR="0008002E" w:rsidRPr="0070272E" w:rsidRDefault="0008002E" w:rsidP="00E81465">
            <w:pPr>
              <w:pStyle w:val="In-tableHeading"/>
              <w:jc w:val="center"/>
              <w:rPr>
                <w:lang w:val="en-AU"/>
              </w:rPr>
            </w:pPr>
            <w:r w:rsidRPr="0070272E">
              <w:rPr>
                <w:lang w:val="en-AU"/>
              </w:rPr>
              <w:t>Description</w:t>
            </w:r>
          </w:p>
        </w:tc>
        <w:tc>
          <w:tcPr>
            <w:tcW w:w="2594" w:type="pct"/>
            <w:vAlign w:val="center"/>
          </w:tcPr>
          <w:p w14:paraId="0BE9C256" w14:textId="77777777" w:rsidR="0008002E" w:rsidRPr="0070272E" w:rsidRDefault="0008002E" w:rsidP="00E81465">
            <w:pPr>
              <w:pStyle w:val="In-tableHeading"/>
              <w:jc w:val="center"/>
              <w:rPr>
                <w:lang w:val="en-AU"/>
              </w:rPr>
            </w:pPr>
            <w:r w:rsidRPr="0070272E">
              <w:rPr>
                <w:lang w:val="en-AU"/>
              </w:rPr>
              <w:t>Method/Value</w:t>
            </w:r>
          </w:p>
        </w:tc>
        <w:tc>
          <w:tcPr>
            <w:tcW w:w="1622" w:type="pct"/>
            <w:vAlign w:val="center"/>
          </w:tcPr>
          <w:p w14:paraId="21D10508" w14:textId="77777777" w:rsidR="0008002E" w:rsidRPr="0070272E" w:rsidRDefault="0008002E" w:rsidP="00E81465">
            <w:pPr>
              <w:pStyle w:val="In-tableHeading"/>
              <w:jc w:val="center"/>
              <w:rPr>
                <w:lang w:val="en-AU"/>
              </w:rPr>
            </w:pPr>
            <w:r w:rsidRPr="0070272E">
              <w:rPr>
                <w:lang w:val="en-AU"/>
              </w:rPr>
              <w:t>Impact</w:t>
            </w:r>
          </w:p>
          <w:p w14:paraId="6ABAC8B0" w14:textId="3FAF119D" w:rsidR="0008002E" w:rsidRPr="0070272E" w:rsidRDefault="0008002E" w:rsidP="00E81465">
            <w:pPr>
              <w:pStyle w:val="In-tableHeading"/>
              <w:jc w:val="center"/>
              <w:rPr>
                <w:lang w:val="en-AU"/>
              </w:rPr>
            </w:pPr>
            <w:r w:rsidRPr="0070272E">
              <w:rPr>
                <w:rFonts w:cs="Arial"/>
                <w:szCs w:val="20"/>
                <w:lang w:val="en-AU"/>
              </w:rPr>
              <w:t>Base case: $</w:t>
            </w:r>
            <w:r w:rsidR="00CD4EA9" w:rsidRPr="00CD4EA9">
              <w:rPr>
                <w:rFonts w:cs="Arial"/>
                <w:color w:val="000000"/>
                <w:spacing w:val="56"/>
                <w:szCs w:val="20"/>
                <w:shd w:val="solid" w:color="000000" w:fill="000000"/>
                <w:fitText w:val="354" w:id="-632121344"/>
                <w:lang w:val="en-AU"/>
                <w14:textFill>
                  <w14:solidFill>
                    <w14:srgbClr w14:val="000000">
                      <w14:alpha w14:val="100000"/>
                    </w14:srgbClr>
                  </w14:solidFill>
                </w14:textFill>
              </w:rPr>
              <w:t>|||</w:t>
            </w:r>
            <w:r w:rsidR="00CD4EA9" w:rsidRPr="00CD4EA9">
              <w:rPr>
                <w:rFonts w:cs="Arial"/>
                <w:color w:val="000000"/>
                <w:spacing w:val="3"/>
                <w:szCs w:val="20"/>
                <w:shd w:val="solid" w:color="000000" w:fill="000000"/>
                <w:fitText w:val="354" w:id="-632121344"/>
                <w:lang w:val="en-AU"/>
                <w14:textFill>
                  <w14:solidFill>
                    <w14:srgbClr w14:val="000000">
                      <w14:alpha w14:val="100000"/>
                    </w14:srgbClr>
                  </w14:solidFill>
                </w14:textFill>
              </w:rPr>
              <w:t>|</w:t>
            </w:r>
            <w:r w:rsidR="00C76A5B">
              <w:rPr>
                <w:rFonts w:cs="Arial"/>
                <w:szCs w:val="20"/>
                <w:vertAlign w:val="superscript"/>
                <w:lang w:val="en-AU"/>
              </w:rPr>
              <w:t>1</w:t>
            </w:r>
            <w:r w:rsidRPr="0070272E">
              <w:rPr>
                <w:rFonts w:cs="Arial"/>
                <w:szCs w:val="20"/>
                <w:lang w:val="en-AU"/>
              </w:rPr>
              <w:t>/QALY gained</w:t>
            </w:r>
          </w:p>
        </w:tc>
      </w:tr>
      <w:tr w:rsidR="0008002E" w:rsidRPr="0070272E" w14:paraId="25C61220" w14:textId="77777777" w:rsidTr="00E81465">
        <w:tc>
          <w:tcPr>
            <w:tcW w:w="784" w:type="pct"/>
            <w:vAlign w:val="center"/>
          </w:tcPr>
          <w:p w14:paraId="39796F90" w14:textId="77777777" w:rsidR="0008002E" w:rsidRPr="0070272E" w:rsidRDefault="0008002E" w:rsidP="00E81465">
            <w:pPr>
              <w:pStyle w:val="TableText"/>
              <w:keepNext/>
            </w:pPr>
            <w:r w:rsidRPr="0070272E">
              <w:t>Institutionalisation rate</w:t>
            </w:r>
          </w:p>
        </w:tc>
        <w:tc>
          <w:tcPr>
            <w:tcW w:w="2594" w:type="pct"/>
            <w:vAlign w:val="center"/>
          </w:tcPr>
          <w:p w14:paraId="02B9BF5B" w14:textId="2940BD7C" w:rsidR="0008002E" w:rsidRPr="0070272E" w:rsidRDefault="0008002E" w:rsidP="00E81465">
            <w:pPr>
              <w:pStyle w:val="TableText"/>
              <w:keepNext/>
            </w:pPr>
            <w:r w:rsidRPr="0070272E">
              <w:t>Derived from the prevalence of institutionalised dementia patients reported by the AIHW.</w:t>
            </w:r>
            <w:r w:rsidR="00D74779" w:rsidRPr="0070272E">
              <w:t xml:space="preserve"> </w:t>
            </w:r>
            <w:r w:rsidRPr="0070272E">
              <w:t>The approach used to convert institutionalisation prevalence to incidence was not appropriate for the model as it was based on a fixed duration of institutionalisation which was different to the duration applied in the model.</w:t>
            </w:r>
          </w:p>
        </w:tc>
        <w:tc>
          <w:tcPr>
            <w:tcW w:w="1622" w:type="pct"/>
            <w:vAlign w:val="center"/>
          </w:tcPr>
          <w:p w14:paraId="2AEEC9F2" w14:textId="60045031" w:rsidR="0008002E" w:rsidRPr="0070272E" w:rsidRDefault="0008002E" w:rsidP="00E81465">
            <w:pPr>
              <w:pStyle w:val="TableText"/>
              <w:keepNext/>
            </w:pPr>
            <w:r w:rsidRPr="0070272E">
              <w:t>High, favours donanemab. Using institutionalisation rates derived from Belger et al.</w:t>
            </w:r>
            <w:r w:rsidR="00D74779" w:rsidRPr="0070272E">
              <w:t xml:space="preserve"> </w:t>
            </w:r>
            <w:r w:rsidRPr="0070272E">
              <w:t>increased the ICER to $</w:t>
            </w:r>
            <w:r w:rsidR="00CD4EA9" w:rsidRPr="00CD4EA9">
              <w:rPr>
                <w:color w:val="000000"/>
                <w:spacing w:val="53"/>
                <w:shd w:val="solid" w:color="000000" w:fill="000000"/>
                <w:fitText w:val="330" w:id="-632121343"/>
                <w14:textFill>
                  <w14:solidFill>
                    <w14:srgbClr w14:val="000000">
                      <w14:alpha w14:val="100000"/>
                    </w14:srgbClr>
                  </w14:solidFill>
                </w14:textFill>
              </w:rPr>
              <w:t>|||</w:t>
            </w:r>
            <w:r w:rsidR="00CD4EA9" w:rsidRPr="00CD4EA9">
              <w:rPr>
                <w:color w:val="000000"/>
                <w:spacing w:val="1"/>
                <w:shd w:val="solid" w:color="000000" w:fill="000000"/>
                <w:fitText w:val="330" w:id="-632121343"/>
                <w14:textFill>
                  <w14:solidFill>
                    <w14:srgbClr w14:val="000000">
                      <w14:alpha w14:val="100000"/>
                    </w14:srgbClr>
                  </w14:solidFill>
                </w14:textFill>
              </w:rPr>
              <w:t>|</w:t>
            </w:r>
            <w:r w:rsidR="00B27E82" w:rsidRPr="00B27E82">
              <w:rPr>
                <w:vertAlign w:val="superscript"/>
              </w:rPr>
              <w:t>2</w:t>
            </w:r>
            <w:r w:rsidRPr="0070272E">
              <w:t>/QALY gained</w:t>
            </w:r>
            <w:r w:rsidRPr="0070272E">
              <w:rPr>
                <w:color w:val="3366FF"/>
              </w:rPr>
              <w:t>.</w:t>
            </w:r>
          </w:p>
        </w:tc>
      </w:tr>
      <w:tr w:rsidR="0008002E" w:rsidRPr="0070272E" w14:paraId="34BBBF99" w14:textId="77777777" w:rsidTr="00E81465">
        <w:tc>
          <w:tcPr>
            <w:tcW w:w="784" w:type="pct"/>
            <w:vAlign w:val="center"/>
          </w:tcPr>
          <w:p w14:paraId="3AB20B80" w14:textId="77777777" w:rsidR="0008002E" w:rsidRPr="0070272E" w:rsidRDefault="0008002E" w:rsidP="00E81465">
            <w:pPr>
              <w:pStyle w:val="TableText"/>
              <w:keepNext/>
            </w:pPr>
            <w:r w:rsidRPr="0070272E">
              <w:t>Mortality modelling</w:t>
            </w:r>
          </w:p>
        </w:tc>
        <w:tc>
          <w:tcPr>
            <w:tcW w:w="2594" w:type="pct"/>
            <w:vAlign w:val="center"/>
          </w:tcPr>
          <w:p w14:paraId="5B6FF7FA" w14:textId="6A9C5722" w:rsidR="0008002E" w:rsidRPr="0070272E" w:rsidRDefault="0008002E" w:rsidP="00E81465">
            <w:pPr>
              <w:pStyle w:val="TableText"/>
              <w:keepNext/>
            </w:pPr>
            <w:r w:rsidRPr="0070272E">
              <w:t>Mortality was modelled through the ABS life tables, adjusted for an additional risk of death due to AD (in the mild, moderate and severe AD health state) sourced from the UK ONS.</w:t>
            </w:r>
            <w:r w:rsidR="00D74779" w:rsidRPr="0070272E">
              <w:t xml:space="preserve"> </w:t>
            </w:r>
            <w:r w:rsidRPr="0070272E">
              <w:t xml:space="preserve">This was not reasonable as a single </w:t>
            </w:r>
            <w:r>
              <w:t>hazard ratio</w:t>
            </w:r>
            <w:r w:rsidRPr="0070272E">
              <w:t xml:space="preserve"> (2.55) for patients in the mild, moderate and severe AD health states was applied whereas the literature indicates increased mortality risk with worsening symptoms of AD.  </w:t>
            </w:r>
          </w:p>
        </w:tc>
        <w:tc>
          <w:tcPr>
            <w:tcW w:w="1622" w:type="pct"/>
            <w:vAlign w:val="center"/>
          </w:tcPr>
          <w:p w14:paraId="718920C9" w14:textId="0AC7AEB0" w:rsidR="0008002E" w:rsidRPr="0070272E" w:rsidRDefault="0008002E" w:rsidP="00E81465">
            <w:pPr>
              <w:pStyle w:val="TableText"/>
              <w:keepNext/>
            </w:pPr>
            <w:r w:rsidRPr="0070272E">
              <w:t xml:space="preserve">High, favours donanemab. Using health state specific mortality </w:t>
            </w:r>
            <w:r>
              <w:t>hazard ratio</w:t>
            </w:r>
            <w:r w:rsidRPr="0070272E">
              <w:t>s, sourced from Crowell et al. increased the ICER to $</w:t>
            </w:r>
            <w:r w:rsidR="00CD4EA9" w:rsidRPr="00CD4EA9">
              <w:rPr>
                <w:color w:val="000000"/>
                <w:spacing w:val="53"/>
                <w:shd w:val="solid" w:color="000000" w:fill="000000"/>
                <w:fitText w:val="330" w:id="-632121342"/>
                <w14:textFill>
                  <w14:solidFill>
                    <w14:srgbClr w14:val="000000">
                      <w14:alpha w14:val="100000"/>
                    </w14:srgbClr>
                  </w14:solidFill>
                </w14:textFill>
              </w:rPr>
              <w:t>|||</w:t>
            </w:r>
            <w:r w:rsidR="00CD4EA9" w:rsidRPr="00CD4EA9">
              <w:rPr>
                <w:color w:val="000000"/>
                <w:spacing w:val="1"/>
                <w:shd w:val="solid" w:color="000000" w:fill="000000"/>
                <w:fitText w:val="330" w:id="-632121342"/>
                <w14:textFill>
                  <w14:solidFill>
                    <w14:srgbClr w14:val="000000">
                      <w14:alpha w14:val="100000"/>
                    </w14:srgbClr>
                  </w14:solidFill>
                </w14:textFill>
              </w:rPr>
              <w:t>|</w:t>
            </w:r>
            <w:r w:rsidR="008178BF">
              <w:rPr>
                <w:vertAlign w:val="superscript"/>
              </w:rPr>
              <w:t>3</w:t>
            </w:r>
            <w:r w:rsidRPr="0070272E">
              <w:t>/QALY gained.</w:t>
            </w:r>
          </w:p>
        </w:tc>
      </w:tr>
      <w:tr w:rsidR="0008002E" w:rsidRPr="0070272E" w14:paraId="344F9014" w14:textId="77777777" w:rsidTr="00E81465">
        <w:tc>
          <w:tcPr>
            <w:tcW w:w="784" w:type="pct"/>
            <w:vAlign w:val="center"/>
          </w:tcPr>
          <w:p w14:paraId="21B21EBC" w14:textId="77777777" w:rsidR="0008002E" w:rsidRPr="0070272E" w:rsidRDefault="0008002E" w:rsidP="00E81465">
            <w:pPr>
              <w:pStyle w:val="TableText"/>
              <w:keepNext/>
            </w:pPr>
            <w:r w:rsidRPr="0070272E">
              <w:t>Treatment waning</w:t>
            </w:r>
          </w:p>
        </w:tc>
        <w:tc>
          <w:tcPr>
            <w:tcW w:w="2594" w:type="pct"/>
            <w:vAlign w:val="center"/>
          </w:tcPr>
          <w:p w14:paraId="4951D715" w14:textId="77777777" w:rsidR="0008002E" w:rsidRPr="0070272E" w:rsidRDefault="0008002E" w:rsidP="00E81465">
            <w:pPr>
              <w:pStyle w:val="TableText"/>
              <w:keepNext/>
            </w:pPr>
            <w:r w:rsidRPr="0070272E">
              <w:t xml:space="preserve">For patients who achieve amyloid clearance or complete the full treatment course, the full treatment effect was applied until Year 5.5 (four years after the maximum treatment duration followed by linear waning over 9.5 years until the </w:t>
            </w:r>
            <w:r>
              <w:t>hazard ratio</w:t>
            </w:r>
            <w:r w:rsidRPr="0070272E">
              <w:t xml:space="preserve"> is equal to 1. The submission justified the long-term treatment effect on the basis of amyloid removal and accumulation. No evidence was provided that would robustly estimate the magnitude of the effect associated with amyloid removal or its re-accumulation and disease progression.</w:t>
            </w:r>
            <w:r>
              <w:t xml:space="preserve"> </w:t>
            </w:r>
            <w:r w:rsidRPr="007E185B">
              <w:t>The ESCs considered that the assumption that a 1.38 month delay in iADRS after 76 weeks would result in a modelled treatment benefit at 15 years was highly implausible.</w:t>
            </w:r>
          </w:p>
        </w:tc>
        <w:tc>
          <w:tcPr>
            <w:tcW w:w="1622" w:type="pct"/>
            <w:vAlign w:val="center"/>
          </w:tcPr>
          <w:p w14:paraId="63B510BA" w14:textId="428803EF" w:rsidR="0008002E" w:rsidRPr="0070272E" w:rsidRDefault="0008002E" w:rsidP="00E81465">
            <w:pPr>
              <w:pStyle w:val="TableText"/>
              <w:keepNext/>
            </w:pPr>
            <w:r w:rsidRPr="0070272E">
              <w:t>High, favours donanemab. Assuming the full treatment effect is applied until Year 2.5, followed by linear waning over five years increased the ICER to $</w:t>
            </w:r>
            <w:r w:rsidR="00CD4EA9" w:rsidRPr="00CD4EA9">
              <w:rPr>
                <w:color w:val="000000"/>
                <w:spacing w:val="53"/>
                <w:shd w:val="solid" w:color="000000" w:fill="000000"/>
                <w:fitText w:val="330" w:id="-632121341"/>
                <w14:textFill>
                  <w14:solidFill>
                    <w14:srgbClr w14:val="000000">
                      <w14:alpha w14:val="100000"/>
                    </w14:srgbClr>
                  </w14:solidFill>
                </w14:textFill>
              </w:rPr>
              <w:t>|||</w:t>
            </w:r>
            <w:r w:rsidR="00CD4EA9" w:rsidRPr="00CD4EA9">
              <w:rPr>
                <w:color w:val="000000"/>
                <w:spacing w:val="1"/>
                <w:shd w:val="solid" w:color="000000" w:fill="000000"/>
                <w:fitText w:val="330" w:id="-632121341"/>
                <w14:textFill>
                  <w14:solidFill>
                    <w14:srgbClr w14:val="000000">
                      <w14:alpha w14:val="100000"/>
                    </w14:srgbClr>
                  </w14:solidFill>
                </w14:textFill>
              </w:rPr>
              <w:t>|</w:t>
            </w:r>
            <w:r w:rsidR="009E4313" w:rsidRPr="009E4313">
              <w:rPr>
                <w:vertAlign w:val="superscript"/>
              </w:rPr>
              <w:t>3</w:t>
            </w:r>
            <w:r w:rsidRPr="0070272E">
              <w:t>/QALY gained.</w:t>
            </w:r>
          </w:p>
        </w:tc>
      </w:tr>
      <w:tr w:rsidR="0008002E" w:rsidRPr="0070272E" w14:paraId="5D1D5C00" w14:textId="77777777" w:rsidTr="00E81465">
        <w:tc>
          <w:tcPr>
            <w:tcW w:w="784" w:type="pct"/>
            <w:vAlign w:val="center"/>
          </w:tcPr>
          <w:p w14:paraId="6B57274E" w14:textId="77777777" w:rsidR="0008002E" w:rsidRPr="0070272E" w:rsidRDefault="0008002E" w:rsidP="00E81465">
            <w:pPr>
              <w:pStyle w:val="TableText"/>
              <w:keepNext/>
            </w:pPr>
            <w:r w:rsidRPr="0070272E">
              <w:t>Institutionalisation cost</w:t>
            </w:r>
          </w:p>
        </w:tc>
        <w:tc>
          <w:tcPr>
            <w:tcW w:w="2594" w:type="pct"/>
            <w:vAlign w:val="center"/>
          </w:tcPr>
          <w:p w14:paraId="098BC597" w14:textId="77777777" w:rsidR="0008002E" w:rsidRPr="0070272E" w:rsidRDefault="0008002E" w:rsidP="00E81465">
            <w:pPr>
              <w:pStyle w:val="TableText"/>
              <w:keepNext/>
            </w:pPr>
            <w:r w:rsidRPr="0070272E">
              <w:t xml:space="preserve">Institutionalisation costs ($105,434 per year, regardless of AD stage) were based on the Aged Care Funding Instrument and basic subsidy rates for dementia patients in Australia. The entire aged care residential fee may not constitute direct medical costs (as specified in the PBAC guidelines). The variable component of the AN-ACC, which differs based on the level of the residents’ cognition may be a more reasonable cost. </w:t>
            </w:r>
          </w:p>
        </w:tc>
        <w:tc>
          <w:tcPr>
            <w:tcW w:w="1622" w:type="pct"/>
            <w:vAlign w:val="center"/>
          </w:tcPr>
          <w:p w14:paraId="5227D4D9" w14:textId="24B8705F" w:rsidR="0008002E" w:rsidRPr="0070272E" w:rsidRDefault="0008002E" w:rsidP="00E81465">
            <w:pPr>
              <w:pStyle w:val="TableText"/>
              <w:keepNext/>
            </w:pPr>
            <w:r w:rsidRPr="0070272E">
              <w:t>High, favours donanemab. Applying the variable component of the AN-ACC to different institutionalised health states increased the ICER to $</w:t>
            </w:r>
            <w:r w:rsidR="00CD4EA9" w:rsidRPr="00CD4EA9">
              <w:rPr>
                <w:color w:val="000000"/>
                <w:spacing w:val="53"/>
                <w:shd w:val="solid" w:color="000000" w:fill="000000"/>
                <w:fitText w:val="330" w:id="-632121340"/>
                <w14:textFill>
                  <w14:solidFill>
                    <w14:srgbClr w14:val="000000">
                      <w14:alpha w14:val="100000"/>
                    </w14:srgbClr>
                  </w14:solidFill>
                </w14:textFill>
              </w:rPr>
              <w:t>|||</w:t>
            </w:r>
            <w:r w:rsidR="00CD4EA9" w:rsidRPr="00CD4EA9">
              <w:rPr>
                <w:color w:val="000000"/>
                <w:spacing w:val="1"/>
                <w:shd w:val="solid" w:color="000000" w:fill="000000"/>
                <w:fitText w:val="330" w:id="-632121340"/>
                <w14:textFill>
                  <w14:solidFill>
                    <w14:srgbClr w14:val="000000">
                      <w14:alpha w14:val="100000"/>
                    </w14:srgbClr>
                  </w14:solidFill>
                </w14:textFill>
              </w:rPr>
              <w:t>|</w:t>
            </w:r>
            <w:r w:rsidR="00BA482C">
              <w:rPr>
                <w:vertAlign w:val="superscript"/>
              </w:rPr>
              <w:t>3</w:t>
            </w:r>
            <w:r w:rsidRPr="0070272E">
              <w:t>/QALY gained.</w:t>
            </w:r>
          </w:p>
        </w:tc>
      </w:tr>
    </w:tbl>
    <w:p w14:paraId="4A5F5DAA" w14:textId="77777777" w:rsidR="0008002E" w:rsidRPr="00755ADC" w:rsidRDefault="0008002E" w:rsidP="0008002E">
      <w:pPr>
        <w:pStyle w:val="TableFigureFooter"/>
      </w:pPr>
      <w:r w:rsidRPr="00755ADC">
        <w:t>Source: Constructed during the evaluation.</w:t>
      </w:r>
    </w:p>
    <w:p w14:paraId="479931A7" w14:textId="7DB58A22" w:rsidR="0008002E" w:rsidRPr="00EE0EEB" w:rsidRDefault="0008002E" w:rsidP="0008002E">
      <w:pPr>
        <w:pStyle w:val="TableFigureFooter"/>
        <w:rPr>
          <w:i/>
          <w:iCs/>
        </w:rPr>
      </w:pPr>
      <w:r w:rsidRPr="00EE0EEB">
        <w:t>ABS = Australian Bureau of Statistics; AD = Alzheimer</w:t>
      </w:r>
      <w:r w:rsidR="00D058AF">
        <w:t>’s</w:t>
      </w:r>
      <w:r w:rsidRPr="00EE0EEB">
        <w:t xml:space="preserve"> Disease; AN-ACC = Australian National Aged Care Classification; AIHW = Australian Institute of Health and Welfare; HR = hazard ratio; ICER = incremental cost-effectiveness ratio; ONS = Office of National Statistics; PBAC = Pharmaceutical Benefits Advisory Committee; QALY = qualify-adjusted life year; UK = United Kingdom</w:t>
      </w:r>
      <w:r w:rsidRPr="00EE0EEB">
        <w:rPr>
          <w:i/>
          <w:iCs/>
        </w:rPr>
        <w:t xml:space="preserve"> </w:t>
      </w:r>
    </w:p>
    <w:p w14:paraId="75FE3BAF" w14:textId="00AE8A7B" w:rsidR="00C76A5B" w:rsidRPr="00BA482C" w:rsidRDefault="00964E23" w:rsidP="00C76A5B">
      <w:pPr>
        <w:pStyle w:val="TableFooter"/>
        <w:rPr>
          <w:i/>
          <w:iCs/>
          <w:szCs w:val="18"/>
        </w:rPr>
      </w:pPr>
      <w:r w:rsidRPr="00BA482C">
        <w:rPr>
          <w:i/>
          <w:iCs/>
          <w:szCs w:val="18"/>
        </w:rPr>
        <w:t xml:space="preserve">The redacted values correspond to the following ranges: </w:t>
      </w:r>
    </w:p>
    <w:p w14:paraId="351BEC6D" w14:textId="6AF387F1" w:rsidR="0088699B" w:rsidRPr="00BA482C" w:rsidRDefault="00C76A5B" w:rsidP="006E6E92">
      <w:pPr>
        <w:pStyle w:val="TableFooter"/>
        <w:rPr>
          <w:i/>
          <w:iCs/>
          <w:szCs w:val="18"/>
        </w:rPr>
      </w:pPr>
      <w:r w:rsidRPr="00BA482C">
        <w:rPr>
          <w:i/>
          <w:iCs/>
          <w:szCs w:val="18"/>
          <w:vertAlign w:val="superscript"/>
        </w:rPr>
        <w:t>1</w:t>
      </w:r>
      <w:r w:rsidRPr="00BA482C">
        <w:rPr>
          <w:i/>
          <w:iCs/>
          <w:szCs w:val="18"/>
        </w:rPr>
        <w:t xml:space="preserve"> $35,000 to &lt; $45,000</w:t>
      </w:r>
    </w:p>
    <w:p w14:paraId="76BDFDDD" w14:textId="58820E76" w:rsidR="00E25FC7" w:rsidRPr="00BA482C" w:rsidRDefault="00E25FC7" w:rsidP="006E6E92">
      <w:pPr>
        <w:pStyle w:val="TableFooter"/>
        <w:rPr>
          <w:i/>
          <w:iCs/>
          <w:szCs w:val="18"/>
        </w:rPr>
      </w:pPr>
      <w:r w:rsidRPr="00BA482C">
        <w:rPr>
          <w:i/>
          <w:iCs/>
          <w:szCs w:val="18"/>
          <w:vertAlign w:val="superscript"/>
        </w:rPr>
        <w:t>2</w:t>
      </w:r>
      <w:r w:rsidRPr="00BA482C">
        <w:rPr>
          <w:i/>
          <w:iCs/>
          <w:szCs w:val="18"/>
        </w:rPr>
        <w:t xml:space="preserve"> 95,000 to &lt; $115,000</w:t>
      </w:r>
    </w:p>
    <w:p w14:paraId="5A9D5086" w14:textId="78B1A673" w:rsidR="00F66009" w:rsidRPr="006E6E92" w:rsidRDefault="00E25FC7" w:rsidP="006E6E92">
      <w:pPr>
        <w:pStyle w:val="TableFooter"/>
        <w:rPr>
          <w:sz w:val="16"/>
          <w:szCs w:val="16"/>
        </w:rPr>
      </w:pPr>
      <w:r w:rsidRPr="00BA482C">
        <w:rPr>
          <w:i/>
          <w:iCs/>
          <w:szCs w:val="18"/>
          <w:vertAlign w:val="superscript"/>
        </w:rPr>
        <w:t>3</w:t>
      </w:r>
      <w:r w:rsidR="007F2304" w:rsidRPr="00BA482C">
        <w:rPr>
          <w:i/>
          <w:iCs/>
          <w:szCs w:val="18"/>
          <w:vertAlign w:val="superscript"/>
        </w:rPr>
        <w:t xml:space="preserve"> </w:t>
      </w:r>
      <w:r w:rsidR="007F2304" w:rsidRPr="00BA482C">
        <w:rPr>
          <w:i/>
          <w:iCs/>
          <w:color w:val="333333"/>
          <w:szCs w:val="18"/>
          <w:lang w:eastAsia="en-AU"/>
        </w:rPr>
        <w:t>$75,000 to &lt; $95,000</w:t>
      </w:r>
    </w:p>
    <w:p w14:paraId="759A3147" w14:textId="3C9A9028" w:rsidR="0008002E" w:rsidRPr="0070272E" w:rsidRDefault="0008002E" w:rsidP="006E6E92">
      <w:pPr>
        <w:pStyle w:val="3-BodyText"/>
        <w:numPr>
          <w:ilvl w:val="1"/>
          <w:numId w:val="23"/>
        </w:numPr>
        <w:spacing w:after="0"/>
        <w:ind w:left="709" w:hanging="709"/>
      </w:pPr>
      <w:r w:rsidRPr="00FA7945">
        <w:rPr>
          <w:rFonts w:ascii="Calibri" w:hAnsi="Calibri" w:cs="Calibri"/>
        </w:rPr>
        <w:t>The submission presented a stepped</w:t>
      </w:r>
      <w:r w:rsidRPr="0070272E">
        <w:t xml:space="preserve"> economic analysis</w:t>
      </w:r>
      <w:r w:rsidRPr="0070272E" w:rsidDel="009F3543">
        <w:t xml:space="preserve">. </w:t>
      </w:r>
      <w:r w:rsidRPr="0070272E">
        <w:t>As the institutionalisation rates were substantially uncertain, these have been incorporated into the last step of the analysis along with carer QALYs (which fall outside the scope of a base case analysis) to allow their effect to be clearly observed</w:t>
      </w:r>
      <w:r w:rsidRPr="009D5595">
        <w:t xml:space="preserve"> </w:t>
      </w:r>
      <w:r w:rsidRPr="0070272E">
        <w:t xml:space="preserve">see </w:t>
      </w:r>
      <w:r w:rsidR="00131043">
        <w:fldChar w:fldCharType="begin"/>
      </w:r>
      <w:r w:rsidR="00131043">
        <w:instrText xml:space="preserve"> REF _Ref204780197 \h </w:instrText>
      </w:r>
      <w:r w:rsidR="00131043">
        <w:fldChar w:fldCharType="separate"/>
      </w:r>
      <w:r w:rsidR="00392423">
        <w:t xml:space="preserve">Table </w:t>
      </w:r>
      <w:r w:rsidR="00392423">
        <w:rPr>
          <w:noProof/>
        </w:rPr>
        <w:t>20</w:t>
      </w:r>
      <w:r w:rsidR="00131043">
        <w:fldChar w:fldCharType="end"/>
      </w:r>
      <w:r w:rsidRPr="0070272E">
        <w:t>. Incorporation of institutionalisation reduced the incremental costs by $</w:t>
      </w:r>
      <w:r w:rsidR="00F023BD" w:rsidRPr="00F023BD">
        <w:t>45,000 to &lt; $55,000</w:t>
      </w:r>
      <w:r w:rsidRPr="0070272E">
        <w:t xml:space="preserve">, whereas the inclusion of carer QALYs increased the incremental QALYs by 0.08. </w:t>
      </w:r>
    </w:p>
    <w:p w14:paraId="37615B91" w14:textId="6F9C10E0" w:rsidR="0008002E" w:rsidRPr="00EE0EEB" w:rsidRDefault="00131043" w:rsidP="00131043">
      <w:pPr>
        <w:pStyle w:val="Caption"/>
      </w:pPr>
      <w:bookmarkStart w:id="52" w:name="_Ref204780197"/>
      <w:r>
        <w:lastRenderedPageBreak/>
        <w:t xml:space="preserve">Table </w:t>
      </w:r>
      <w:r>
        <w:fldChar w:fldCharType="begin"/>
      </w:r>
      <w:r>
        <w:instrText xml:space="preserve"> SEQ Table \* ARABIC </w:instrText>
      </w:r>
      <w:r>
        <w:fldChar w:fldCharType="separate"/>
      </w:r>
      <w:r w:rsidR="00392423">
        <w:rPr>
          <w:noProof/>
        </w:rPr>
        <w:t>20</w:t>
      </w:r>
      <w:r>
        <w:fldChar w:fldCharType="end"/>
      </w:r>
      <w:bookmarkEnd w:id="52"/>
      <w:r w:rsidR="00CC40F2">
        <w:t xml:space="preserve">: </w:t>
      </w:r>
      <w:r w:rsidR="0008002E" w:rsidRPr="00EE0EEB">
        <w:t>Results of the stepped economic evaluation, performed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0: Results of the stepped economic evaluation, performed during the evaluation"/>
      </w:tblPr>
      <w:tblGrid>
        <w:gridCol w:w="2757"/>
        <w:gridCol w:w="2451"/>
        <w:gridCol w:w="2297"/>
        <w:gridCol w:w="1511"/>
      </w:tblGrid>
      <w:tr w:rsidR="0008002E" w:rsidRPr="0070272E" w14:paraId="6240ED34" w14:textId="77777777" w:rsidTr="00E81465">
        <w:trPr>
          <w:tblHeader/>
        </w:trPr>
        <w:tc>
          <w:tcPr>
            <w:tcW w:w="1529" w:type="pct"/>
            <w:vAlign w:val="center"/>
          </w:tcPr>
          <w:p w14:paraId="2D029D5F" w14:textId="77777777" w:rsidR="0008002E" w:rsidRPr="0070272E" w:rsidRDefault="0008002E" w:rsidP="00E81465">
            <w:pPr>
              <w:pStyle w:val="In-tableHeading"/>
              <w:rPr>
                <w:lang w:val="en-AU"/>
              </w:rPr>
            </w:pPr>
            <w:r w:rsidRPr="0070272E">
              <w:rPr>
                <w:lang w:val="en-AU"/>
              </w:rPr>
              <w:t>Step and component</w:t>
            </w:r>
          </w:p>
        </w:tc>
        <w:tc>
          <w:tcPr>
            <w:tcW w:w="1359" w:type="pct"/>
            <w:vAlign w:val="center"/>
          </w:tcPr>
          <w:p w14:paraId="585C1B3B" w14:textId="77777777" w:rsidR="0008002E" w:rsidRPr="0070272E" w:rsidRDefault="0008002E" w:rsidP="00E81465">
            <w:pPr>
              <w:pStyle w:val="In-tableHeading"/>
              <w:jc w:val="center"/>
              <w:rPr>
                <w:lang w:val="en-AU"/>
              </w:rPr>
            </w:pPr>
            <w:r w:rsidRPr="0070272E">
              <w:rPr>
                <w:lang w:val="en-AU"/>
              </w:rPr>
              <w:t>Donanemab</w:t>
            </w:r>
          </w:p>
        </w:tc>
        <w:tc>
          <w:tcPr>
            <w:tcW w:w="1274" w:type="pct"/>
            <w:vAlign w:val="center"/>
          </w:tcPr>
          <w:p w14:paraId="608D787A" w14:textId="77777777" w:rsidR="0008002E" w:rsidRPr="0070272E" w:rsidRDefault="0008002E" w:rsidP="00E81465">
            <w:pPr>
              <w:pStyle w:val="In-tableHeading"/>
              <w:jc w:val="center"/>
              <w:rPr>
                <w:lang w:val="en-AU"/>
              </w:rPr>
            </w:pPr>
            <w:r w:rsidRPr="0070272E">
              <w:rPr>
                <w:lang w:val="en-AU"/>
              </w:rPr>
              <w:t>SOC</w:t>
            </w:r>
          </w:p>
        </w:tc>
        <w:tc>
          <w:tcPr>
            <w:tcW w:w="838" w:type="pct"/>
            <w:vAlign w:val="center"/>
          </w:tcPr>
          <w:p w14:paraId="2E53DC8E" w14:textId="77777777" w:rsidR="0008002E" w:rsidRPr="0070272E" w:rsidRDefault="0008002E" w:rsidP="00E81465">
            <w:pPr>
              <w:pStyle w:val="In-tableHeading"/>
              <w:jc w:val="center"/>
              <w:rPr>
                <w:lang w:val="en-AU"/>
              </w:rPr>
            </w:pPr>
            <w:r w:rsidRPr="0070272E">
              <w:rPr>
                <w:lang w:val="en-AU"/>
              </w:rPr>
              <w:t>Increment</w:t>
            </w:r>
          </w:p>
        </w:tc>
      </w:tr>
      <w:tr w:rsidR="0008002E" w:rsidRPr="0070272E" w14:paraId="6CDEB378" w14:textId="77777777" w:rsidTr="00E81465">
        <w:tc>
          <w:tcPr>
            <w:tcW w:w="5000" w:type="pct"/>
            <w:gridSpan w:val="4"/>
            <w:vAlign w:val="center"/>
          </w:tcPr>
          <w:p w14:paraId="6FD8D7E1" w14:textId="77777777" w:rsidR="0008002E" w:rsidRPr="0070272E" w:rsidRDefault="0008002E" w:rsidP="00E81465">
            <w:pPr>
              <w:pStyle w:val="TableText"/>
              <w:keepNext/>
              <w:rPr>
                <w:b/>
                <w:bCs/>
              </w:rPr>
            </w:pPr>
            <w:r w:rsidRPr="0070272E">
              <w:rPr>
                <w:b/>
              </w:rPr>
              <w:t>Step 1: Trial based outcomes and costs (18-month time horizon)</w:t>
            </w:r>
          </w:p>
        </w:tc>
      </w:tr>
      <w:tr w:rsidR="0008002E" w:rsidRPr="0070272E" w14:paraId="1D895CBA" w14:textId="77777777" w:rsidTr="00E81465">
        <w:tc>
          <w:tcPr>
            <w:tcW w:w="1529" w:type="pct"/>
            <w:vAlign w:val="center"/>
          </w:tcPr>
          <w:p w14:paraId="3697EF9E" w14:textId="77777777" w:rsidR="0008002E" w:rsidRPr="0070272E" w:rsidRDefault="0008002E" w:rsidP="00E81465">
            <w:pPr>
              <w:pStyle w:val="TableText"/>
              <w:keepNext/>
              <w:rPr>
                <w:rFonts w:ascii="Times" w:hAnsi="Times"/>
                <w:vertAlign w:val="superscript"/>
              </w:rPr>
            </w:pPr>
            <w:r w:rsidRPr="0070272E">
              <w:t>Costs</w:t>
            </w:r>
            <w:r w:rsidRPr="0070272E">
              <w:rPr>
                <w:vertAlign w:val="superscript"/>
              </w:rPr>
              <w:t>a</w:t>
            </w:r>
          </w:p>
        </w:tc>
        <w:tc>
          <w:tcPr>
            <w:tcW w:w="1359" w:type="pct"/>
          </w:tcPr>
          <w:p w14:paraId="7DD03EF6" w14:textId="7B10D25D" w:rsidR="0008002E" w:rsidRPr="001E1E45" w:rsidRDefault="0008002E" w:rsidP="00E81465">
            <w:pPr>
              <w:pStyle w:val="TableText"/>
              <w:keepNext/>
              <w:jc w:val="center"/>
              <w:rPr>
                <w:rFonts w:ascii="Times" w:hAnsi="Times"/>
                <w:vertAlign w:val="superscript"/>
              </w:rPr>
            </w:pPr>
            <w:r w:rsidRPr="0070272E">
              <w:t>$</w:t>
            </w:r>
            <w:r w:rsidR="00CD4EA9" w:rsidRPr="00CD4EA9">
              <w:rPr>
                <w:color w:val="000000"/>
                <w:spacing w:val="53"/>
                <w:shd w:val="solid" w:color="000000" w:fill="000000"/>
                <w:fitText w:val="330" w:id="-632121339"/>
                <w14:textFill>
                  <w14:solidFill>
                    <w14:srgbClr w14:val="000000">
                      <w14:alpha w14:val="100000"/>
                    </w14:srgbClr>
                  </w14:solidFill>
                </w14:textFill>
              </w:rPr>
              <w:t>|||</w:t>
            </w:r>
            <w:r w:rsidR="00CD4EA9" w:rsidRPr="00CD4EA9">
              <w:rPr>
                <w:color w:val="000000"/>
                <w:spacing w:val="1"/>
                <w:shd w:val="solid" w:color="000000" w:fill="000000"/>
                <w:fitText w:val="330" w:id="-632121339"/>
                <w14:textFill>
                  <w14:solidFill>
                    <w14:srgbClr w14:val="000000">
                      <w14:alpha w14:val="100000"/>
                    </w14:srgbClr>
                  </w14:solidFill>
                </w14:textFill>
              </w:rPr>
              <w:t>|</w:t>
            </w:r>
          </w:p>
        </w:tc>
        <w:tc>
          <w:tcPr>
            <w:tcW w:w="1274" w:type="pct"/>
          </w:tcPr>
          <w:p w14:paraId="390C56E8" w14:textId="6C5D245C" w:rsidR="0008002E" w:rsidRPr="001E1E45" w:rsidRDefault="0008002E" w:rsidP="00E81465">
            <w:pPr>
              <w:pStyle w:val="TableText"/>
              <w:keepNext/>
              <w:jc w:val="center"/>
              <w:rPr>
                <w:rFonts w:ascii="Times" w:hAnsi="Times"/>
                <w:vertAlign w:val="superscript"/>
              </w:rPr>
            </w:pPr>
            <w:r w:rsidRPr="0070272E">
              <w:t>$</w:t>
            </w:r>
            <w:r w:rsidRPr="00C635B2">
              <w:t>619</w:t>
            </w:r>
          </w:p>
        </w:tc>
        <w:tc>
          <w:tcPr>
            <w:tcW w:w="838" w:type="pct"/>
          </w:tcPr>
          <w:p w14:paraId="296EDFB8" w14:textId="32B76FF0" w:rsidR="0008002E" w:rsidRPr="001E1E45" w:rsidRDefault="0008002E" w:rsidP="00E81465">
            <w:pPr>
              <w:pStyle w:val="TableText"/>
              <w:keepNext/>
              <w:jc w:val="center"/>
              <w:rPr>
                <w:rFonts w:ascii="Times" w:hAnsi="Times"/>
                <w:vertAlign w:val="superscript"/>
              </w:rPr>
            </w:pPr>
            <w:r w:rsidRPr="0070272E">
              <w:t>$</w:t>
            </w:r>
            <w:r w:rsidR="00CD4EA9" w:rsidRPr="00CD4EA9">
              <w:rPr>
                <w:color w:val="000000"/>
                <w:spacing w:val="51"/>
                <w:shd w:val="solid" w:color="000000" w:fill="000000"/>
                <w:fitText w:val="324" w:id="-632121338"/>
                <w14:textFill>
                  <w14:solidFill>
                    <w14:srgbClr w14:val="000000">
                      <w14:alpha w14:val="100000"/>
                    </w14:srgbClr>
                  </w14:solidFill>
                </w14:textFill>
              </w:rPr>
              <w:t>|||</w:t>
            </w:r>
            <w:r w:rsidR="00CD4EA9" w:rsidRPr="00CD4EA9">
              <w:rPr>
                <w:color w:val="000000"/>
                <w:spacing w:val="1"/>
                <w:shd w:val="solid" w:color="000000" w:fill="000000"/>
                <w:fitText w:val="324" w:id="-632121338"/>
                <w14:textFill>
                  <w14:solidFill>
                    <w14:srgbClr w14:val="000000">
                      <w14:alpha w14:val="100000"/>
                    </w14:srgbClr>
                  </w14:solidFill>
                </w14:textFill>
              </w:rPr>
              <w:t>|</w:t>
            </w:r>
          </w:p>
        </w:tc>
      </w:tr>
      <w:tr w:rsidR="0008002E" w:rsidRPr="0070272E" w14:paraId="6E7EBEAF" w14:textId="77777777" w:rsidTr="00E81465">
        <w:tc>
          <w:tcPr>
            <w:tcW w:w="1529" w:type="pct"/>
            <w:vAlign w:val="center"/>
          </w:tcPr>
          <w:p w14:paraId="39B71EF7" w14:textId="77777777" w:rsidR="0008002E" w:rsidRPr="0070272E" w:rsidRDefault="0008002E" w:rsidP="00E81465">
            <w:pPr>
              <w:pStyle w:val="TableText"/>
              <w:keepNext/>
              <w:rPr>
                <w:rFonts w:ascii="Times" w:hAnsi="Times"/>
              </w:rPr>
            </w:pPr>
            <w:r w:rsidRPr="0070272E">
              <w:t>% of patients with MCI due to AD</w:t>
            </w:r>
            <w:r w:rsidRPr="0070272E">
              <w:rPr>
                <w:vertAlign w:val="superscript"/>
              </w:rPr>
              <w:t>b</w:t>
            </w:r>
          </w:p>
        </w:tc>
        <w:tc>
          <w:tcPr>
            <w:tcW w:w="1359" w:type="pct"/>
          </w:tcPr>
          <w:p w14:paraId="412BC9F0" w14:textId="77777777" w:rsidR="0008002E" w:rsidRPr="0070272E" w:rsidRDefault="0008002E" w:rsidP="00E81465">
            <w:pPr>
              <w:pStyle w:val="TableText"/>
              <w:keepNext/>
              <w:jc w:val="center"/>
              <w:rPr>
                <w:rFonts w:ascii="Times" w:hAnsi="Times"/>
              </w:rPr>
            </w:pPr>
            <w:r w:rsidRPr="0070272E">
              <w:t>73%</w:t>
            </w:r>
          </w:p>
        </w:tc>
        <w:tc>
          <w:tcPr>
            <w:tcW w:w="1274" w:type="pct"/>
          </w:tcPr>
          <w:p w14:paraId="47EEDEB8" w14:textId="77777777" w:rsidR="0008002E" w:rsidRPr="0070272E" w:rsidRDefault="0008002E" w:rsidP="00E81465">
            <w:pPr>
              <w:pStyle w:val="TableText"/>
              <w:keepNext/>
              <w:jc w:val="center"/>
              <w:rPr>
                <w:rFonts w:ascii="Times" w:hAnsi="Times"/>
              </w:rPr>
            </w:pPr>
            <w:r w:rsidRPr="0070272E">
              <w:t>61%</w:t>
            </w:r>
          </w:p>
        </w:tc>
        <w:tc>
          <w:tcPr>
            <w:tcW w:w="838" w:type="pct"/>
          </w:tcPr>
          <w:p w14:paraId="31E30D37" w14:textId="77777777" w:rsidR="0008002E" w:rsidRPr="0070272E" w:rsidRDefault="0008002E" w:rsidP="00E81465">
            <w:pPr>
              <w:pStyle w:val="TableText"/>
              <w:keepNext/>
              <w:jc w:val="center"/>
            </w:pPr>
            <w:r w:rsidRPr="0070272E">
              <w:t>12%</w:t>
            </w:r>
          </w:p>
        </w:tc>
      </w:tr>
      <w:tr w:rsidR="0008002E" w:rsidRPr="0070272E" w14:paraId="1A2E4010" w14:textId="77777777" w:rsidTr="00E81465">
        <w:tc>
          <w:tcPr>
            <w:tcW w:w="1529" w:type="pct"/>
            <w:vAlign w:val="center"/>
          </w:tcPr>
          <w:p w14:paraId="0F663943" w14:textId="77777777" w:rsidR="0008002E" w:rsidRPr="0070272E" w:rsidRDefault="0008002E" w:rsidP="00E81465">
            <w:pPr>
              <w:pStyle w:val="TableText"/>
              <w:keepNext/>
            </w:pPr>
            <w:r w:rsidRPr="0070272E">
              <w:t>% of patients with mild AD</w:t>
            </w:r>
            <w:r w:rsidRPr="0070272E">
              <w:rPr>
                <w:vertAlign w:val="superscript"/>
              </w:rPr>
              <w:t>c</w:t>
            </w:r>
          </w:p>
        </w:tc>
        <w:tc>
          <w:tcPr>
            <w:tcW w:w="1359" w:type="pct"/>
          </w:tcPr>
          <w:p w14:paraId="5FAF7237" w14:textId="77777777" w:rsidR="0008002E" w:rsidRPr="0070272E" w:rsidRDefault="0008002E" w:rsidP="00E81465">
            <w:pPr>
              <w:pStyle w:val="TableText"/>
              <w:keepNext/>
              <w:jc w:val="center"/>
            </w:pPr>
            <w:r w:rsidRPr="0070272E">
              <w:t>83%</w:t>
            </w:r>
          </w:p>
        </w:tc>
        <w:tc>
          <w:tcPr>
            <w:tcW w:w="1274" w:type="pct"/>
          </w:tcPr>
          <w:p w14:paraId="68BD8EA1" w14:textId="77777777" w:rsidR="0008002E" w:rsidRPr="0070272E" w:rsidRDefault="0008002E" w:rsidP="00E81465">
            <w:pPr>
              <w:pStyle w:val="TableText"/>
              <w:keepNext/>
              <w:jc w:val="center"/>
            </w:pPr>
            <w:r w:rsidRPr="0070272E">
              <w:t>73%</w:t>
            </w:r>
          </w:p>
        </w:tc>
        <w:tc>
          <w:tcPr>
            <w:tcW w:w="838" w:type="pct"/>
          </w:tcPr>
          <w:p w14:paraId="4B15B0D9" w14:textId="77777777" w:rsidR="0008002E" w:rsidRPr="0070272E" w:rsidRDefault="0008002E" w:rsidP="00E81465">
            <w:pPr>
              <w:pStyle w:val="TableText"/>
              <w:keepNext/>
              <w:jc w:val="center"/>
            </w:pPr>
            <w:r w:rsidRPr="0070272E">
              <w:t>10%</w:t>
            </w:r>
          </w:p>
        </w:tc>
      </w:tr>
      <w:tr w:rsidR="0008002E" w:rsidRPr="0070272E" w14:paraId="6B2E0D91" w14:textId="77777777" w:rsidTr="00E81465">
        <w:tc>
          <w:tcPr>
            <w:tcW w:w="4162" w:type="pct"/>
            <w:gridSpan w:val="3"/>
            <w:vAlign w:val="center"/>
          </w:tcPr>
          <w:p w14:paraId="7B5C675F" w14:textId="77777777" w:rsidR="0008002E" w:rsidRPr="0070272E" w:rsidRDefault="0008002E" w:rsidP="00E81465">
            <w:pPr>
              <w:pStyle w:val="TableText"/>
              <w:keepNext/>
              <w:rPr>
                <w:rFonts w:ascii="Times" w:hAnsi="Times"/>
              </w:rPr>
            </w:pPr>
            <w:r w:rsidRPr="0070272E">
              <w:t>Incremental cost per MCI progression avoided</w:t>
            </w:r>
          </w:p>
        </w:tc>
        <w:tc>
          <w:tcPr>
            <w:tcW w:w="838" w:type="pct"/>
          </w:tcPr>
          <w:p w14:paraId="22F6A53E" w14:textId="5FFA653E" w:rsidR="0008002E" w:rsidRPr="00404945" w:rsidRDefault="0008002E" w:rsidP="00E81465">
            <w:pPr>
              <w:pStyle w:val="TableText"/>
              <w:keepNext/>
              <w:jc w:val="center"/>
              <w:rPr>
                <w:rFonts w:ascii="Times" w:hAnsi="Times"/>
                <w:vertAlign w:val="superscript"/>
              </w:rPr>
            </w:pPr>
            <w:r w:rsidRPr="0070272E">
              <w:t>$</w:t>
            </w:r>
            <w:r w:rsidR="00CD4EA9" w:rsidRPr="00CD4EA9">
              <w:rPr>
                <w:color w:val="000000"/>
                <w:spacing w:val="51"/>
                <w:shd w:val="solid" w:color="000000" w:fill="000000"/>
                <w:fitText w:val="324" w:id="-632121337"/>
                <w14:textFill>
                  <w14:solidFill>
                    <w14:srgbClr w14:val="000000">
                      <w14:alpha w14:val="100000"/>
                    </w14:srgbClr>
                  </w14:solidFill>
                </w14:textFill>
              </w:rPr>
              <w:t>|||</w:t>
            </w:r>
            <w:r w:rsidR="00CD4EA9" w:rsidRPr="00CD4EA9">
              <w:rPr>
                <w:color w:val="000000"/>
                <w:spacing w:val="1"/>
                <w:shd w:val="solid" w:color="000000" w:fill="000000"/>
                <w:fitText w:val="324" w:id="-632121337"/>
                <w14:textFill>
                  <w14:solidFill>
                    <w14:srgbClr w14:val="000000">
                      <w14:alpha w14:val="100000"/>
                    </w14:srgbClr>
                  </w14:solidFill>
                </w14:textFill>
              </w:rPr>
              <w:t>|</w:t>
            </w:r>
          </w:p>
        </w:tc>
      </w:tr>
      <w:tr w:rsidR="0008002E" w:rsidRPr="0070272E" w14:paraId="0F707913" w14:textId="77777777" w:rsidTr="00E81465">
        <w:tc>
          <w:tcPr>
            <w:tcW w:w="4162" w:type="pct"/>
            <w:gridSpan w:val="3"/>
            <w:vAlign w:val="center"/>
          </w:tcPr>
          <w:p w14:paraId="60CB6FE8" w14:textId="77777777" w:rsidR="0008002E" w:rsidRPr="0070272E" w:rsidRDefault="0008002E" w:rsidP="00E81465">
            <w:pPr>
              <w:pStyle w:val="TableText"/>
              <w:keepNext/>
            </w:pPr>
            <w:r w:rsidRPr="0070272E">
              <w:t>Incremental cost per mild progression avoided</w:t>
            </w:r>
          </w:p>
        </w:tc>
        <w:tc>
          <w:tcPr>
            <w:tcW w:w="838" w:type="pct"/>
          </w:tcPr>
          <w:p w14:paraId="7790F769" w14:textId="1E8AB5D3" w:rsidR="0008002E" w:rsidRPr="00404945" w:rsidRDefault="0008002E" w:rsidP="00E81465">
            <w:pPr>
              <w:pStyle w:val="TableText"/>
              <w:keepNext/>
              <w:jc w:val="center"/>
              <w:rPr>
                <w:vertAlign w:val="superscript"/>
              </w:rPr>
            </w:pPr>
            <w:r w:rsidRPr="0070272E">
              <w:t>$</w:t>
            </w:r>
            <w:r w:rsidR="00CD4EA9" w:rsidRPr="00CD4EA9">
              <w:rPr>
                <w:color w:val="000000"/>
                <w:spacing w:val="51"/>
                <w:shd w:val="solid" w:color="000000" w:fill="000000"/>
                <w:fitText w:val="324" w:id="-632121336"/>
                <w14:textFill>
                  <w14:solidFill>
                    <w14:srgbClr w14:val="000000">
                      <w14:alpha w14:val="100000"/>
                    </w14:srgbClr>
                  </w14:solidFill>
                </w14:textFill>
              </w:rPr>
              <w:t>|||</w:t>
            </w:r>
            <w:r w:rsidR="00CD4EA9" w:rsidRPr="00CD4EA9">
              <w:rPr>
                <w:color w:val="000000"/>
                <w:spacing w:val="1"/>
                <w:shd w:val="solid" w:color="000000" w:fill="000000"/>
                <w:fitText w:val="324" w:id="-632121336"/>
                <w14:textFill>
                  <w14:solidFill>
                    <w14:srgbClr w14:val="000000">
                      <w14:alpha w14:val="100000"/>
                    </w14:srgbClr>
                  </w14:solidFill>
                </w14:textFill>
              </w:rPr>
              <w:t>|</w:t>
            </w:r>
          </w:p>
        </w:tc>
      </w:tr>
      <w:tr w:rsidR="0008002E" w:rsidRPr="0070272E" w14:paraId="2DFF39FB" w14:textId="77777777" w:rsidTr="00E81465">
        <w:tc>
          <w:tcPr>
            <w:tcW w:w="5000" w:type="pct"/>
            <w:gridSpan w:val="4"/>
            <w:vAlign w:val="center"/>
          </w:tcPr>
          <w:p w14:paraId="68E1802D" w14:textId="77777777" w:rsidR="0008002E" w:rsidRPr="0070272E" w:rsidRDefault="0008002E" w:rsidP="00E81465">
            <w:pPr>
              <w:pStyle w:val="In-tableHeading"/>
              <w:rPr>
                <w:lang w:val="en-AU"/>
              </w:rPr>
            </w:pPr>
            <w:r w:rsidRPr="0070272E">
              <w:rPr>
                <w:lang w:val="en-AU"/>
              </w:rPr>
              <w:t>Step 2: Time horizon extended to 30 years and adding disease management costs</w:t>
            </w:r>
          </w:p>
        </w:tc>
      </w:tr>
      <w:tr w:rsidR="0008002E" w:rsidRPr="0070272E" w14:paraId="7510783E" w14:textId="77777777" w:rsidTr="00E81465">
        <w:tc>
          <w:tcPr>
            <w:tcW w:w="1529" w:type="pct"/>
            <w:vAlign w:val="center"/>
          </w:tcPr>
          <w:p w14:paraId="336020C9" w14:textId="77777777" w:rsidR="0008002E" w:rsidRPr="0070272E" w:rsidRDefault="0008002E" w:rsidP="00E81465">
            <w:pPr>
              <w:pStyle w:val="TableText"/>
              <w:keepNext/>
              <w:rPr>
                <w:rFonts w:ascii="Times" w:hAnsi="Times"/>
              </w:rPr>
            </w:pPr>
            <w:r w:rsidRPr="0070272E">
              <w:t>Costs</w:t>
            </w:r>
          </w:p>
        </w:tc>
        <w:tc>
          <w:tcPr>
            <w:tcW w:w="1359" w:type="pct"/>
          </w:tcPr>
          <w:p w14:paraId="09D68741" w14:textId="14365D33" w:rsidR="0008002E" w:rsidRPr="00A06D44" w:rsidRDefault="0008002E" w:rsidP="00E81465">
            <w:pPr>
              <w:pStyle w:val="TableText"/>
              <w:keepNext/>
              <w:jc w:val="center"/>
              <w:rPr>
                <w:vertAlign w:val="superscript"/>
              </w:rPr>
            </w:pPr>
            <w:r w:rsidRPr="0070272E">
              <w:t>$</w:t>
            </w:r>
            <w:r w:rsidR="00CD4EA9" w:rsidRPr="00CD4EA9">
              <w:rPr>
                <w:color w:val="000000"/>
                <w:spacing w:val="53"/>
                <w:shd w:val="solid" w:color="000000" w:fill="000000"/>
                <w:fitText w:val="330" w:id="-632121335"/>
                <w14:textFill>
                  <w14:solidFill>
                    <w14:srgbClr w14:val="000000">
                      <w14:alpha w14:val="100000"/>
                    </w14:srgbClr>
                  </w14:solidFill>
                </w14:textFill>
              </w:rPr>
              <w:t>|||</w:t>
            </w:r>
            <w:r w:rsidR="00CD4EA9" w:rsidRPr="00CD4EA9">
              <w:rPr>
                <w:color w:val="000000"/>
                <w:spacing w:val="1"/>
                <w:shd w:val="solid" w:color="000000" w:fill="000000"/>
                <w:fitText w:val="330" w:id="-632121335"/>
                <w14:textFill>
                  <w14:solidFill>
                    <w14:srgbClr w14:val="000000">
                      <w14:alpha w14:val="100000"/>
                    </w14:srgbClr>
                  </w14:solidFill>
                </w14:textFill>
              </w:rPr>
              <w:t>|</w:t>
            </w:r>
          </w:p>
        </w:tc>
        <w:tc>
          <w:tcPr>
            <w:tcW w:w="1274" w:type="pct"/>
          </w:tcPr>
          <w:p w14:paraId="060F7FFD" w14:textId="4C48C340" w:rsidR="0008002E" w:rsidRPr="00A06D44" w:rsidRDefault="0008002E" w:rsidP="00E81465">
            <w:pPr>
              <w:pStyle w:val="TableText"/>
              <w:keepNext/>
              <w:jc w:val="center"/>
              <w:rPr>
                <w:vertAlign w:val="superscript"/>
              </w:rPr>
            </w:pPr>
            <w:r w:rsidRPr="0070272E">
              <w:t>$</w:t>
            </w:r>
            <w:r w:rsidRPr="00C635B2">
              <w:t>103,238</w:t>
            </w:r>
          </w:p>
        </w:tc>
        <w:tc>
          <w:tcPr>
            <w:tcW w:w="838" w:type="pct"/>
          </w:tcPr>
          <w:p w14:paraId="1BADC94E" w14:textId="3169B06A" w:rsidR="0008002E" w:rsidRPr="00A06D44" w:rsidRDefault="0008002E" w:rsidP="00E81465">
            <w:pPr>
              <w:pStyle w:val="TableText"/>
              <w:keepNext/>
              <w:jc w:val="center"/>
              <w:rPr>
                <w:vertAlign w:val="superscript"/>
              </w:rPr>
            </w:pPr>
            <w:r w:rsidRPr="0070272E">
              <w:t>$</w:t>
            </w:r>
            <w:r w:rsidR="00CD4EA9" w:rsidRPr="00CD4EA9">
              <w:rPr>
                <w:color w:val="000000"/>
                <w:spacing w:val="51"/>
                <w:shd w:val="solid" w:color="000000" w:fill="000000"/>
                <w:fitText w:val="324" w:id="-632121334"/>
                <w14:textFill>
                  <w14:solidFill>
                    <w14:srgbClr w14:val="000000">
                      <w14:alpha w14:val="100000"/>
                    </w14:srgbClr>
                  </w14:solidFill>
                </w14:textFill>
              </w:rPr>
              <w:t>|||</w:t>
            </w:r>
            <w:r w:rsidR="00CD4EA9" w:rsidRPr="00CD4EA9">
              <w:rPr>
                <w:color w:val="000000"/>
                <w:spacing w:val="1"/>
                <w:shd w:val="solid" w:color="000000" w:fill="000000"/>
                <w:fitText w:val="324" w:id="-632121334"/>
                <w14:textFill>
                  <w14:solidFill>
                    <w14:srgbClr w14:val="000000">
                      <w14:alpha w14:val="100000"/>
                    </w14:srgbClr>
                  </w14:solidFill>
                </w14:textFill>
              </w:rPr>
              <w:t>|</w:t>
            </w:r>
          </w:p>
        </w:tc>
      </w:tr>
      <w:tr w:rsidR="0008002E" w:rsidRPr="0070272E" w14:paraId="1A2F944C" w14:textId="77777777" w:rsidTr="00E81465">
        <w:tc>
          <w:tcPr>
            <w:tcW w:w="1529" w:type="pct"/>
            <w:vAlign w:val="center"/>
          </w:tcPr>
          <w:p w14:paraId="13E1EA99" w14:textId="77777777" w:rsidR="0008002E" w:rsidRPr="0070272E" w:rsidRDefault="0008002E" w:rsidP="00E81465">
            <w:pPr>
              <w:pStyle w:val="TableText"/>
              <w:keepNext/>
              <w:rPr>
                <w:rFonts w:ascii="Times" w:hAnsi="Times"/>
              </w:rPr>
            </w:pPr>
            <w:r w:rsidRPr="0070272E">
              <w:t>LYs gained</w:t>
            </w:r>
          </w:p>
        </w:tc>
        <w:tc>
          <w:tcPr>
            <w:tcW w:w="1359" w:type="pct"/>
          </w:tcPr>
          <w:p w14:paraId="5CF19DA9" w14:textId="77777777" w:rsidR="0008002E" w:rsidRPr="0070272E" w:rsidRDefault="0008002E" w:rsidP="00E81465">
            <w:pPr>
              <w:pStyle w:val="TableText"/>
              <w:keepNext/>
              <w:jc w:val="center"/>
            </w:pPr>
            <w:r w:rsidRPr="0070272E">
              <w:t>10.77</w:t>
            </w:r>
          </w:p>
        </w:tc>
        <w:tc>
          <w:tcPr>
            <w:tcW w:w="1274" w:type="pct"/>
          </w:tcPr>
          <w:p w14:paraId="3C3A516F" w14:textId="77777777" w:rsidR="0008002E" w:rsidRPr="0070272E" w:rsidRDefault="0008002E" w:rsidP="00E81465">
            <w:pPr>
              <w:pStyle w:val="TableText"/>
              <w:keepNext/>
              <w:jc w:val="center"/>
            </w:pPr>
            <w:r w:rsidRPr="0070272E">
              <w:t>10.75</w:t>
            </w:r>
          </w:p>
        </w:tc>
        <w:tc>
          <w:tcPr>
            <w:tcW w:w="838" w:type="pct"/>
          </w:tcPr>
          <w:p w14:paraId="2452DE87" w14:textId="77777777" w:rsidR="0008002E" w:rsidRPr="0070272E" w:rsidRDefault="0008002E" w:rsidP="00E81465">
            <w:pPr>
              <w:pStyle w:val="TableText"/>
              <w:keepNext/>
              <w:jc w:val="center"/>
            </w:pPr>
            <w:r w:rsidRPr="0070272E">
              <w:t>0.02</w:t>
            </w:r>
          </w:p>
        </w:tc>
      </w:tr>
      <w:tr w:rsidR="0008002E" w:rsidRPr="0070272E" w14:paraId="20DD1997" w14:textId="77777777" w:rsidTr="00E81465">
        <w:trPr>
          <w:trHeight w:val="91"/>
        </w:trPr>
        <w:tc>
          <w:tcPr>
            <w:tcW w:w="4162" w:type="pct"/>
            <w:gridSpan w:val="3"/>
            <w:vAlign w:val="center"/>
          </w:tcPr>
          <w:p w14:paraId="2E58E461" w14:textId="77777777" w:rsidR="0008002E" w:rsidRPr="0070272E" w:rsidRDefault="0008002E" w:rsidP="00E81465">
            <w:pPr>
              <w:pStyle w:val="TableText"/>
              <w:keepNext/>
              <w:rPr>
                <w:b/>
                <w:bCs/>
              </w:rPr>
            </w:pPr>
            <w:r w:rsidRPr="0070272E">
              <w:rPr>
                <w:b/>
              </w:rPr>
              <w:t>Incremental cost/extra LYG gained</w:t>
            </w:r>
          </w:p>
        </w:tc>
        <w:tc>
          <w:tcPr>
            <w:tcW w:w="838" w:type="pct"/>
            <w:vAlign w:val="center"/>
          </w:tcPr>
          <w:p w14:paraId="233E1CA1" w14:textId="447BE055" w:rsidR="0008002E" w:rsidRPr="00573D91" w:rsidRDefault="0008002E" w:rsidP="00E81465">
            <w:pPr>
              <w:pStyle w:val="TableText"/>
              <w:keepNext/>
              <w:jc w:val="center"/>
              <w:rPr>
                <w:vertAlign w:val="superscript"/>
              </w:rPr>
            </w:pPr>
            <w:r w:rsidRPr="0070272E">
              <w:t>$</w:t>
            </w:r>
            <w:r w:rsidR="00CD4EA9" w:rsidRPr="00CD4EA9">
              <w:rPr>
                <w:color w:val="000000"/>
                <w:spacing w:val="51"/>
                <w:shd w:val="solid" w:color="000000" w:fill="000000"/>
                <w:fitText w:val="324" w:id="-632121333"/>
                <w14:textFill>
                  <w14:solidFill>
                    <w14:srgbClr w14:val="000000">
                      <w14:alpha w14:val="100000"/>
                    </w14:srgbClr>
                  </w14:solidFill>
                </w14:textFill>
              </w:rPr>
              <w:t>|||</w:t>
            </w:r>
            <w:r w:rsidR="00CD4EA9" w:rsidRPr="00CD4EA9">
              <w:rPr>
                <w:color w:val="000000"/>
                <w:spacing w:val="1"/>
                <w:shd w:val="solid" w:color="000000" w:fill="000000"/>
                <w:fitText w:val="324" w:id="-632121333"/>
                <w14:textFill>
                  <w14:solidFill>
                    <w14:srgbClr w14:val="000000">
                      <w14:alpha w14:val="100000"/>
                    </w14:srgbClr>
                  </w14:solidFill>
                </w14:textFill>
              </w:rPr>
              <w:t>|</w:t>
            </w:r>
            <w:r w:rsidR="00573D91">
              <w:rPr>
                <w:vertAlign w:val="superscript"/>
              </w:rPr>
              <w:t>1</w:t>
            </w:r>
          </w:p>
        </w:tc>
      </w:tr>
      <w:tr w:rsidR="0008002E" w:rsidRPr="0070272E" w14:paraId="6AAD5769" w14:textId="77777777" w:rsidTr="00E81465">
        <w:tc>
          <w:tcPr>
            <w:tcW w:w="5000" w:type="pct"/>
            <w:gridSpan w:val="4"/>
            <w:vAlign w:val="center"/>
          </w:tcPr>
          <w:p w14:paraId="5D2B8C2C" w14:textId="77777777" w:rsidR="0008002E" w:rsidRPr="0070272E" w:rsidRDefault="0008002E" w:rsidP="00E81465">
            <w:pPr>
              <w:pStyle w:val="In-tableHeading"/>
              <w:rPr>
                <w:lang w:val="en-AU"/>
              </w:rPr>
            </w:pPr>
            <w:r w:rsidRPr="0070272E">
              <w:rPr>
                <w:lang w:val="en-AU"/>
              </w:rPr>
              <w:t>Step 3: Transformation to QALYs, 5% p.a. discounting</w:t>
            </w:r>
          </w:p>
        </w:tc>
      </w:tr>
      <w:tr w:rsidR="0008002E" w:rsidRPr="0070272E" w14:paraId="107F6972" w14:textId="77777777" w:rsidTr="00E81465">
        <w:tc>
          <w:tcPr>
            <w:tcW w:w="1529" w:type="pct"/>
            <w:vAlign w:val="center"/>
          </w:tcPr>
          <w:p w14:paraId="16FF58C6" w14:textId="77777777" w:rsidR="0008002E" w:rsidRPr="0070272E" w:rsidRDefault="0008002E" w:rsidP="00E81465">
            <w:pPr>
              <w:pStyle w:val="TableText"/>
              <w:keepNext/>
              <w:rPr>
                <w:rFonts w:ascii="Times" w:hAnsi="Times"/>
              </w:rPr>
            </w:pPr>
            <w:r w:rsidRPr="0070272E">
              <w:t>Costs</w:t>
            </w:r>
          </w:p>
        </w:tc>
        <w:tc>
          <w:tcPr>
            <w:tcW w:w="1359" w:type="pct"/>
          </w:tcPr>
          <w:p w14:paraId="5CFD608C" w14:textId="0D1DB75B" w:rsidR="0008002E" w:rsidRPr="00A06D44" w:rsidRDefault="0008002E" w:rsidP="00E81465">
            <w:pPr>
              <w:pStyle w:val="TableText"/>
              <w:keepNext/>
              <w:jc w:val="center"/>
              <w:rPr>
                <w:rFonts w:ascii="Times" w:hAnsi="Times"/>
                <w:vertAlign w:val="superscript"/>
              </w:rPr>
            </w:pPr>
            <w:r w:rsidRPr="0070272E">
              <w:t>$</w:t>
            </w:r>
            <w:r w:rsidR="00CD4EA9" w:rsidRPr="00CD4EA9">
              <w:rPr>
                <w:color w:val="000000"/>
                <w:spacing w:val="53"/>
                <w:shd w:val="solid" w:color="000000" w:fill="000000"/>
                <w:fitText w:val="330" w:id="-632121332"/>
                <w14:textFill>
                  <w14:solidFill>
                    <w14:srgbClr w14:val="000000">
                      <w14:alpha w14:val="100000"/>
                    </w14:srgbClr>
                  </w14:solidFill>
                </w14:textFill>
              </w:rPr>
              <w:t>|||</w:t>
            </w:r>
            <w:r w:rsidR="00CD4EA9" w:rsidRPr="00CD4EA9">
              <w:rPr>
                <w:color w:val="000000"/>
                <w:spacing w:val="1"/>
                <w:shd w:val="solid" w:color="000000" w:fill="000000"/>
                <w:fitText w:val="330" w:id="-632121332"/>
                <w14:textFill>
                  <w14:solidFill>
                    <w14:srgbClr w14:val="000000">
                      <w14:alpha w14:val="100000"/>
                    </w14:srgbClr>
                  </w14:solidFill>
                </w14:textFill>
              </w:rPr>
              <w:t>|</w:t>
            </w:r>
          </w:p>
        </w:tc>
        <w:tc>
          <w:tcPr>
            <w:tcW w:w="1274" w:type="pct"/>
          </w:tcPr>
          <w:p w14:paraId="7F6DB2AC" w14:textId="6AA5B015" w:rsidR="0008002E" w:rsidRPr="0027449A" w:rsidRDefault="0008002E" w:rsidP="00E81465">
            <w:pPr>
              <w:pStyle w:val="TableText"/>
              <w:keepNext/>
              <w:jc w:val="center"/>
              <w:rPr>
                <w:rFonts w:ascii="Times" w:hAnsi="Times"/>
                <w:vertAlign w:val="superscript"/>
              </w:rPr>
            </w:pPr>
            <w:r w:rsidRPr="0070272E">
              <w:t>$</w:t>
            </w:r>
            <w:r w:rsidRPr="00D21CA5">
              <w:t>70,298</w:t>
            </w:r>
          </w:p>
        </w:tc>
        <w:tc>
          <w:tcPr>
            <w:tcW w:w="838" w:type="pct"/>
          </w:tcPr>
          <w:p w14:paraId="2E6C6C31" w14:textId="08C89B50" w:rsidR="0008002E" w:rsidRPr="0027449A" w:rsidRDefault="0008002E" w:rsidP="00E81465">
            <w:pPr>
              <w:pStyle w:val="TableText"/>
              <w:keepNext/>
              <w:jc w:val="center"/>
              <w:rPr>
                <w:rFonts w:ascii="Times" w:hAnsi="Times"/>
                <w:vertAlign w:val="superscript"/>
              </w:rPr>
            </w:pPr>
            <w:r w:rsidRPr="0070272E">
              <w:t>$</w:t>
            </w:r>
            <w:r w:rsidR="00CD4EA9" w:rsidRPr="00CD4EA9">
              <w:rPr>
                <w:color w:val="000000"/>
                <w:spacing w:val="51"/>
                <w:shd w:val="solid" w:color="000000" w:fill="000000"/>
                <w:fitText w:val="324" w:id="-632121331"/>
                <w14:textFill>
                  <w14:solidFill>
                    <w14:srgbClr w14:val="000000">
                      <w14:alpha w14:val="100000"/>
                    </w14:srgbClr>
                  </w14:solidFill>
                </w14:textFill>
              </w:rPr>
              <w:t>|||</w:t>
            </w:r>
            <w:r w:rsidR="00CD4EA9" w:rsidRPr="00CD4EA9">
              <w:rPr>
                <w:color w:val="000000"/>
                <w:spacing w:val="1"/>
                <w:shd w:val="solid" w:color="000000" w:fill="000000"/>
                <w:fitText w:val="324" w:id="-632121331"/>
                <w14:textFill>
                  <w14:solidFill>
                    <w14:srgbClr w14:val="000000">
                      <w14:alpha w14:val="100000"/>
                    </w14:srgbClr>
                  </w14:solidFill>
                </w14:textFill>
              </w:rPr>
              <w:t>|</w:t>
            </w:r>
          </w:p>
        </w:tc>
      </w:tr>
      <w:tr w:rsidR="0008002E" w:rsidRPr="0070272E" w14:paraId="0E64BB5F" w14:textId="77777777" w:rsidTr="00E81465">
        <w:tc>
          <w:tcPr>
            <w:tcW w:w="1529" w:type="pct"/>
            <w:vAlign w:val="center"/>
          </w:tcPr>
          <w:p w14:paraId="02FD057F" w14:textId="77777777" w:rsidR="0008002E" w:rsidRPr="0070272E" w:rsidRDefault="0008002E" w:rsidP="00E81465">
            <w:pPr>
              <w:pStyle w:val="TableText"/>
              <w:keepNext/>
              <w:rPr>
                <w:rFonts w:ascii="Times" w:hAnsi="Times"/>
              </w:rPr>
            </w:pPr>
            <w:r w:rsidRPr="0070272E">
              <w:t>QALY gained</w:t>
            </w:r>
          </w:p>
        </w:tc>
        <w:tc>
          <w:tcPr>
            <w:tcW w:w="1359" w:type="pct"/>
          </w:tcPr>
          <w:p w14:paraId="3FC88CC3" w14:textId="77777777" w:rsidR="0008002E" w:rsidRPr="0070272E" w:rsidRDefault="0008002E" w:rsidP="00E81465">
            <w:pPr>
              <w:pStyle w:val="TableText"/>
              <w:keepNext/>
              <w:jc w:val="center"/>
              <w:rPr>
                <w:rFonts w:ascii="Times" w:hAnsi="Times"/>
              </w:rPr>
            </w:pPr>
            <w:r w:rsidRPr="0070272E">
              <w:t>4.48</w:t>
            </w:r>
          </w:p>
        </w:tc>
        <w:tc>
          <w:tcPr>
            <w:tcW w:w="1274" w:type="pct"/>
          </w:tcPr>
          <w:p w14:paraId="0BCCF474" w14:textId="77777777" w:rsidR="0008002E" w:rsidRPr="0070272E" w:rsidRDefault="0008002E" w:rsidP="00E81465">
            <w:pPr>
              <w:pStyle w:val="TableText"/>
              <w:keepNext/>
              <w:jc w:val="center"/>
              <w:rPr>
                <w:rFonts w:ascii="Times" w:hAnsi="Times"/>
              </w:rPr>
            </w:pPr>
            <w:r w:rsidRPr="0070272E">
              <w:t>4.14</w:t>
            </w:r>
          </w:p>
        </w:tc>
        <w:tc>
          <w:tcPr>
            <w:tcW w:w="838" w:type="pct"/>
          </w:tcPr>
          <w:p w14:paraId="50CAC7ED" w14:textId="77777777" w:rsidR="0008002E" w:rsidRPr="0070272E" w:rsidRDefault="0008002E" w:rsidP="00E81465">
            <w:pPr>
              <w:pStyle w:val="TableText"/>
              <w:keepNext/>
              <w:jc w:val="center"/>
            </w:pPr>
            <w:r w:rsidRPr="0070272E">
              <w:t>0.34</w:t>
            </w:r>
          </w:p>
        </w:tc>
      </w:tr>
      <w:tr w:rsidR="0008002E" w:rsidRPr="0070272E" w14:paraId="6B451A2A" w14:textId="77777777" w:rsidTr="00E81465">
        <w:tc>
          <w:tcPr>
            <w:tcW w:w="4162" w:type="pct"/>
            <w:gridSpan w:val="3"/>
            <w:vAlign w:val="center"/>
          </w:tcPr>
          <w:p w14:paraId="4974F10C" w14:textId="77777777" w:rsidR="0008002E" w:rsidRPr="0070272E" w:rsidRDefault="0008002E" w:rsidP="00E81465">
            <w:pPr>
              <w:pStyle w:val="TableText"/>
              <w:keepNext/>
              <w:rPr>
                <w:rFonts w:ascii="Times" w:hAnsi="Times"/>
              </w:rPr>
            </w:pPr>
            <w:r w:rsidRPr="0070272E">
              <w:t>Incremental cost/extra QALY gained</w:t>
            </w:r>
          </w:p>
        </w:tc>
        <w:tc>
          <w:tcPr>
            <w:tcW w:w="838" w:type="pct"/>
            <w:vAlign w:val="center"/>
          </w:tcPr>
          <w:p w14:paraId="2650226B" w14:textId="2BD90AB8" w:rsidR="0008002E" w:rsidRPr="00573D91" w:rsidRDefault="0008002E" w:rsidP="00E81465">
            <w:pPr>
              <w:pStyle w:val="TableText"/>
              <w:keepNext/>
              <w:jc w:val="center"/>
              <w:rPr>
                <w:rFonts w:ascii="Times" w:hAnsi="Times"/>
                <w:vertAlign w:val="superscript"/>
              </w:rPr>
            </w:pPr>
            <w:r w:rsidRPr="0070272E">
              <w:t>$</w:t>
            </w:r>
            <w:r w:rsidR="00CD4EA9" w:rsidRPr="00CD4EA9">
              <w:rPr>
                <w:color w:val="000000"/>
                <w:spacing w:val="51"/>
                <w:shd w:val="solid" w:color="000000" w:fill="000000"/>
                <w:fitText w:val="324" w:id="-632121330"/>
                <w14:textFill>
                  <w14:solidFill>
                    <w14:srgbClr w14:val="000000">
                      <w14:alpha w14:val="100000"/>
                    </w14:srgbClr>
                  </w14:solidFill>
                </w14:textFill>
              </w:rPr>
              <w:t>|||</w:t>
            </w:r>
            <w:r w:rsidR="00CD4EA9" w:rsidRPr="00CD4EA9">
              <w:rPr>
                <w:color w:val="000000"/>
                <w:spacing w:val="1"/>
                <w:shd w:val="solid" w:color="000000" w:fill="000000"/>
                <w:fitText w:val="324" w:id="-632121330"/>
                <w14:textFill>
                  <w14:solidFill>
                    <w14:srgbClr w14:val="000000">
                      <w14:alpha w14:val="100000"/>
                    </w14:srgbClr>
                  </w14:solidFill>
                </w14:textFill>
              </w:rPr>
              <w:t>|</w:t>
            </w:r>
            <w:r w:rsidR="00573D91">
              <w:rPr>
                <w:vertAlign w:val="superscript"/>
              </w:rPr>
              <w:t>2</w:t>
            </w:r>
          </w:p>
        </w:tc>
      </w:tr>
      <w:tr w:rsidR="0008002E" w:rsidRPr="0070272E" w14:paraId="7200E640" w14:textId="77777777" w:rsidTr="00E81465">
        <w:tc>
          <w:tcPr>
            <w:tcW w:w="5000" w:type="pct"/>
            <w:gridSpan w:val="4"/>
            <w:vAlign w:val="center"/>
          </w:tcPr>
          <w:p w14:paraId="5509BF68" w14:textId="77777777" w:rsidR="0008002E" w:rsidRPr="0070272E" w:rsidRDefault="0008002E" w:rsidP="00E81465">
            <w:pPr>
              <w:pStyle w:val="In-tableHeading"/>
              <w:rPr>
                <w:vertAlign w:val="superscript"/>
                <w:lang w:val="en-AU"/>
              </w:rPr>
            </w:pPr>
            <w:r w:rsidRPr="0070272E">
              <w:rPr>
                <w:lang w:val="en-AU"/>
              </w:rPr>
              <w:t>Step 4: Incorporation of institutionalisation</w:t>
            </w:r>
            <w:r>
              <w:rPr>
                <w:lang w:val="en-AU"/>
              </w:rPr>
              <w:t xml:space="preserve"> costs</w:t>
            </w:r>
          </w:p>
        </w:tc>
      </w:tr>
      <w:tr w:rsidR="0008002E" w:rsidRPr="0070272E" w14:paraId="22862FB2" w14:textId="77777777" w:rsidTr="00E81465">
        <w:tc>
          <w:tcPr>
            <w:tcW w:w="1529" w:type="pct"/>
            <w:vAlign w:val="center"/>
          </w:tcPr>
          <w:p w14:paraId="278E0D8D" w14:textId="77777777" w:rsidR="0008002E" w:rsidRPr="0070272E" w:rsidRDefault="0008002E" w:rsidP="00E81465">
            <w:pPr>
              <w:pStyle w:val="TableText"/>
              <w:keepNext/>
              <w:rPr>
                <w:rFonts w:ascii="Times" w:hAnsi="Times"/>
              </w:rPr>
            </w:pPr>
            <w:r w:rsidRPr="0070272E" w:rsidDel="00082DF8">
              <w:t>Costs</w:t>
            </w:r>
          </w:p>
        </w:tc>
        <w:tc>
          <w:tcPr>
            <w:tcW w:w="1359" w:type="pct"/>
          </w:tcPr>
          <w:p w14:paraId="0FAAAE12" w14:textId="132342D6" w:rsidR="0008002E" w:rsidRPr="00CF40B1" w:rsidRDefault="0008002E" w:rsidP="00E81465">
            <w:pPr>
              <w:pStyle w:val="TableText"/>
              <w:keepNext/>
              <w:jc w:val="center"/>
              <w:rPr>
                <w:rFonts w:ascii="Times" w:hAnsi="Times"/>
                <w:vertAlign w:val="superscript"/>
              </w:rPr>
            </w:pPr>
            <w:r w:rsidRPr="0070272E">
              <w:t>$</w:t>
            </w:r>
            <w:r w:rsidR="00CD4EA9" w:rsidRPr="00CD4EA9">
              <w:rPr>
                <w:color w:val="000000"/>
                <w:spacing w:val="53"/>
                <w:shd w:val="solid" w:color="000000" w:fill="000000"/>
                <w:fitText w:val="330" w:id="-632121329"/>
                <w14:textFill>
                  <w14:solidFill>
                    <w14:srgbClr w14:val="000000">
                      <w14:alpha w14:val="100000"/>
                    </w14:srgbClr>
                  </w14:solidFill>
                </w14:textFill>
              </w:rPr>
              <w:t>|||</w:t>
            </w:r>
            <w:r w:rsidR="00CD4EA9" w:rsidRPr="00CD4EA9">
              <w:rPr>
                <w:color w:val="000000"/>
                <w:spacing w:val="1"/>
                <w:shd w:val="solid" w:color="000000" w:fill="000000"/>
                <w:fitText w:val="330" w:id="-632121329"/>
                <w14:textFill>
                  <w14:solidFill>
                    <w14:srgbClr w14:val="000000">
                      <w14:alpha w14:val="100000"/>
                    </w14:srgbClr>
                  </w14:solidFill>
                </w14:textFill>
              </w:rPr>
              <w:t>|</w:t>
            </w:r>
          </w:p>
        </w:tc>
        <w:tc>
          <w:tcPr>
            <w:tcW w:w="1274" w:type="pct"/>
          </w:tcPr>
          <w:p w14:paraId="21E4A5D5" w14:textId="631E6CFC" w:rsidR="0008002E" w:rsidRPr="00CF40B1" w:rsidRDefault="0008002E" w:rsidP="00E81465">
            <w:pPr>
              <w:pStyle w:val="TableText"/>
              <w:keepNext/>
              <w:jc w:val="center"/>
              <w:rPr>
                <w:rFonts w:ascii="Times" w:hAnsi="Times"/>
                <w:vertAlign w:val="superscript"/>
              </w:rPr>
            </w:pPr>
            <w:r w:rsidRPr="0070272E">
              <w:t>$</w:t>
            </w:r>
            <w:r w:rsidRPr="00D21CA5">
              <w:t>414,477</w:t>
            </w:r>
          </w:p>
        </w:tc>
        <w:tc>
          <w:tcPr>
            <w:tcW w:w="838" w:type="pct"/>
          </w:tcPr>
          <w:p w14:paraId="5BBAA62F" w14:textId="62620EF5" w:rsidR="0008002E" w:rsidRPr="00CF40B1" w:rsidRDefault="0008002E" w:rsidP="00E81465">
            <w:pPr>
              <w:pStyle w:val="TableText"/>
              <w:keepNext/>
              <w:jc w:val="center"/>
              <w:rPr>
                <w:rFonts w:ascii="Times" w:hAnsi="Times"/>
                <w:vertAlign w:val="superscript"/>
              </w:rPr>
            </w:pPr>
            <w:r w:rsidRPr="0070272E">
              <w:t>$</w:t>
            </w:r>
            <w:r w:rsidR="00CD4EA9" w:rsidRPr="00CD4EA9">
              <w:rPr>
                <w:color w:val="000000"/>
                <w:spacing w:val="51"/>
                <w:shd w:val="solid" w:color="000000" w:fill="000000"/>
                <w:fitText w:val="324" w:id="-632121328"/>
                <w14:textFill>
                  <w14:solidFill>
                    <w14:srgbClr w14:val="000000">
                      <w14:alpha w14:val="100000"/>
                    </w14:srgbClr>
                  </w14:solidFill>
                </w14:textFill>
              </w:rPr>
              <w:t>|||</w:t>
            </w:r>
            <w:r w:rsidR="00CD4EA9" w:rsidRPr="00CD4EA9">
              <w:rPr>
                <w:color w:val="000000"/>
                <w:spacing w:val="1"/>
                <w:shd w:val="solid" w:color="000000" w:fill="000000"/>
                <w:fitText w:val="324" w:id="-632121328"/>
                <w14:textFill>
                  <w14:solidFill>
                    <w14:srgbClr w14:val="000000">
                      <w14:alpha w14:val="100000"/>
                    </w14:srgbClr>
                  </w14:solidFill>
                </w14:textFill>
              </w:rPr>
              <w:t>|</w:t>
            </w:r>
          </w:p>
        </w:tc>
      </w:tr>
      <w:tr w:rsidR="0008002E" w:rsidRPr="0070272E" w14:paraId="3CDBB2A9" w14:textId="77777777" w:rsidTr="00E81465">
        <w:tc>
          <w:tcPr>
            <w:tcW w:w="1529" w:type="pct"/>
            <w:vAlign w:val="center"/>
          </w:tcPr>
          <w:p w14:paraId="10E0723E" w14:textId="77777777" w:rsidR="0008002E" w:rsidRPr="0070272E" w:rsidRDefault="0008002E" w:rsidP="00E81465">
            <w:pPr>
              <w:pStyle w:val="TableText"/>
              <w:keepNext/>
              <w:rPr>
                <w:rFonts w:ascii="Times" w:hAnsi="Times"/>
              </w:rPr>
            </w:pPr>
            <w:r w:rsidRPr="0070272E">
              <w:t>QALYs gained</w:t>
            </w:r>
          </w:p>
        </w:tc>
        <w:tc>
          <w:tcPr>
            <w:tcW w:w="1359" w:type="pct"/>
          </w:tcPr>
          <w:p w14:paraId="0D8B7F4E" w14:textId="77777777" w:rsidR="0008002E" w:rsidRPr="0070272E" w:rsidRDefault="0008002E" w:rsidP="00E81465">
            <w:pPr>
              <w:pStyle w:val="TableText"/>
              <w:keepNext/>
              <w:jc w:val="center"/>
              <w:rPr>
                <w:rFonts w:ascii="Times" w:hAnsi="Times"/>
              </w:rPr>
            </w:pPr>
            <w:r w:rsidRPr="0070272E">
              <w:t>4.48</w:t>
            </w:r>
          </w:p>
        </w:tc>
        <w:tc>
          <w:tcPr>
            <w:tcW w:w="1274" w:type="pct"/>
          </w:tcPr>
          <w:p w14:paraId="3B9F9174" w14:textId="77777777" w:rsidR="0008002E" w:rsidRPr="0070272E" w:rsidRDefault="0008002E" w:rsidP="00E81465">
            <w:pPr>
              <w:pStyle w:val="TableText"/>
              <w:keepNext/>
              <w:jc w:val="center"/>
              <w:rPr>
                <w:rFonts w:ascii="Times" w:hAnsi="Times"/>
              </w:rPr>
            </w:pPr>
            <w:r w:rsidRPr="0070272E">
              <w:t>4.14</w:t>
            </w:r>
          </w:p>
        </w:tc>
        <w:tc>
          <w:tcPr>
            <w:tcW w:w="838" w:type="pct"/>
          </w:tcPr>
          <w:p w14:paraId="739BD8DE" w14:textId="77777777" w:rsidR="0008002E" w:rsidRPr="0070272E" w:rsidRDefault="0008002E" w:rsidP="00E81465">
            <w:pPr>
              <w:pStyle w:val="TableText"/>
              <w:keepNext/>
              <w:jc w:val="center"/>
            </w:pPr>
            <w:r w:rsidRPr="0070272E" w:rsidDel="00082DF8">
              <w:t>0.</w:t>
            </w:r>
            <w:r w:rsidRPr="0070272E">
              <w:t>34</w:t>
            </w:r>
          </w:p>
        </w:tc>
      </w:tr>
      <w:tr w:rsidR="0008002E" w:rsidRPr="0070272E" w14:paraId="3F6C0A2C" w14:textId="77777777" w:rsidTr="00E81465">
        <w:tc>
          <w:tcPr>
            <w:tcW w:w="4162" w:type="pct"/>
            <w:gridSpan w:val="3"/>
            <w:vAlign w:val="center"/>
          </w:tcPr>
          <w:p w14:paraId="5361DA88" w14:textId="77777777" w:rsidR="0008002E" w:rsidRPr="0070272E" w:rsidRDefault="0008002E" w:rsidP="00E81465">
            <w:pPr>
              <w:pStyle w:val="TableText"/>
              <w:keepNext/>
              <w:rPr>
                <w:bCs/>
              </w:rPr>
            </w:pPr>
            <w:r w:rsidRPr="0070272E">
              <w:rPr>
                <w:bCs/>
              </w:rPr>
              <w:t>Incremental cost/extra QALY gained</w:t>
            </w:r>
          </w:p>
        </w:tc>
        <w:tc>
          <w:tcPr>
            <w:tcW w:w="838" w:type="pct"/>
            <w:vAlign w:val="center"/>
          </w:tcPr>
          <w:p w14:paraId="6C0964C7" w14:textId="3EC65B17" w:rsidR="0008002E" w:rsidRPr="00C47CD5" w:rsidRDefault="0008002E" w:rsidP="00E81465">
            <w:pPr>
              <w:pStyle w:val="TableText"/>
              <w:keepNext/>
              <w:jc w:val="center"/>
              <w:rPr>
                <w:vertAlign w:val="superscript"/>
              </w:rPr>
            </w:pPr>
            <w:r w:rsidRPr="0070272E">
              <w:t>$</w:t>
            </w:r>
            <w:r w:rsidR="00CD4EA9" w:rsidRPr="00CD4EA9">
              <w:rPr>
                <w:color w:val="000000"/>
                <w:spacing w:val="51"/>
                <w:shd w:val="solid" w:color="000000" w:fill="000000"/>
                <w:fitText w:val="324" w:id="-632121344"/>
                <w14:textFill>
                  <w14:solidFill>
                    <w14:srgbClr w14:val="000000">
                      <w14:alpha w14:val="100000"/>
                    </w14:srgbClr>
                  </w14:solidFill>
                </w14:textFill>
              </w:rPr>
              <w:t>|||</w:t>
            </w:r>
            <w:r w:rsidR="00CD4EA9" w:rsidRPr="00CD4EA9">
              <w:rPr>
                <w:color w:val="000000"/>
                <w:spacing w:val="1"/>
                <w:shd w:val="solid" w:color="000000" w:fill="000000"/>
                <w:fitText w:val="324" w:id="-632121344"/>
                <w14:textFill>
                  <w14:solidFill>
                    <w14:srgbClr w14:val="000000">
                      <w14:alpha w14:val="100000"/>
                    </w14:srgbClr>
                  </w14:solidFill>
                </w14:textFill>
              </w:rPr>
              <w:t>|</w:t>
            </w:r>
            <w:r w:rsidR="00C47CD5">
              <w:rPr>
                <w:vertAlign w:val="superscript"/>
              </w:rPr>
              <w:t>3</w:t>
            </w:r>
          </w:p>
        </w:tc>
      </w:tr>
      <w:tr w:rsidR="0008002E" w:rsidRPr="0070272E" w14:paraId="59F60ECA" w14:textId="77777777" w:rsidTr="00E81465">
        <w:tc>
          <w:tcPr>
            <w:tcW w:w="5000" w:type="pct"/>
            <w:gridSpan w:val="4"/>
            <w:vAlign w:val="center"/>
          </w:tcPr>
          <w:p w14:paraId="2ECF18C5" w14:textId="77777777" w:rsidR="0008002E" w:rsidRPr="0070272E" w:rsidRDefault="0008002E" w:rsidP="00E81465">
            <w:pPr>
              <w:pStyle w:val="TableText"/>
              <w:keepNext/>
              <w:rPr>
                <w:b/>
                <w:bCs/>
              </w:rPr>
            </w:pPr>
            <w:r w:rsidRPr="0070272E">
              <w:rPr>
                <w:b/>
                <w:bCs/>
              </w:rPr>
              <w:t>Step 5: Incorporation of carer QALYs</w:t>
            </w:r>
          </w:p>
        </w:tc>
      </w:tr>
      <w:tr w:rsidR="0008002E" w:rsidRPr="0070272E" w14:paraId="2A1FF20C" w14:textId="77777777" w:rsidTr="00E81465">
        <w:tc>
          <w:tcPr>
            <w:tcW w:w="1529" w:type="pct"/>
            <w:vAlign w:val="center"/>
          </w:tcPr>
          <w:p w14:paraId="4FA23153" w14:textId="77777777" w:rsidR="0008002E" w:rsidRPr="0070272E" w:rsidRDefault="0008002E" w:rsidP="00E81465">
            <w:pPr>
              <w:pStyle w:val="TableText"/>
              <w:keepNext/>
            </w:pPr>
            <w:r w:rsidRPr="0070272E">
              <w:t>Costs</w:t>
            </w:r>
          </w:p>
        </w:tc>
        <w:tc>
          <w:tcPr>
            <w:tcW w:w="1359" w:type="pct"/>
          </w:tcPr>
          <w:p w14:paraId="1C4B241B" w14:textId="0E9CDF85" w:rsidR="0008002E" w:rsidRPr="00D475C0" w:rsidRDefault="0008002E" w:rsidP="00E81465">
            <w:pPr>
              <w:pStyle w:val="TableText"/>
              <w:keepNext/>
              <w:jc w:val="center"/>
              <w:rPr>
                <w:vertAlign w:val="superscript"/>
              </w:rPr>
            </w:pPr>
            <w:r w:rsidRPr="0070272E">
              <w:t>$</w:t>
            </w:r>
            <w:r w:rsidR="00CD4EA9" w:rsidRPr="00CD4EA9">
              <w:rPr>
                <w:color w:val="000000"/>
                <w:spacing w:val="53"/>
                <w:shd w:val="solid" w:color="000000" w:fill="000000"/>
                <w:fitText w:val="330" w:id="-632121343"/>
                <w14:textFill>
                  <w14:solidFill>
                    <w14:srgbClr w14:val="000000">
                      <w14:alpha w14:val="100000"/>
                    </w14:srgbClr>
                  </w14:solidFill>
                </w14:textFill>
              </w:rPr>
              <w:t>|||</w:t>
            </w:r>
            <w:r w:rsidR="00CD4EA9" w:rsidRPr="00CD4EA9">
              <w:rPr>
                <w:color w:val="000000"/>
                <w:spacing w:val="1"/>
                <w:shd w:val="solid" w:color="000000" w:fill="000000"/>
                <w:fitText w:val="330" w:id="-632121343"/>
                <w14:textFill>
                  <w14:solidFill>
                    <w14:srgbClr w14:val="000000">
                      <w14:alpha w14:val="100000"/>
                    </w14:srgbClr>
                  </w14:solidFill>
                </w14:textFill>
              </w:rPr>
              <w:t>|</w:t>
            </w:r>
          </w:p>
        </w:tc>
        <w:tc>
          <w:tcPr>
            <w:tcW w:w="1274" w:type="pct"/>
          </w:tcPr>
          <w:p w14:paraId="09B4E951" w14:textId="117C6F78" w:rsidR="0008002E" w:rsidRPr="00D475C0" w:rsidRDefault="0008002E" w:rsidP="00E81465">
            <w:pPr>
              <w:pStyle w:val="TableText"/>
              <w:keepNext/>
              <w:jc w:val="center"/>
              <w:rPr>
                <w:vertAlign w:val="superscript"/>
              </w:rPr>
            </w:pPr>
            <w:r w:rsidRPr="0070272E">
              <w:t>$</w:t>
            </w:r>
            <w:r w:rsidRPr="00D21CA5">
              <w:t>414,477</w:t>
            </w:r>
          </w:p>
        </w:tc>
        <w:tc>
          <w:tcPr>
            <w:tcW w:w="838" w:type="pct"/>
          </w:tcPr>
          <w:p w14:paraId="7C67832B" w14:textId="195183D6" w:rsidR="0008002E" w:rsidRPr="00D475C0" w:rsidRDefault="0008002E" w:rsidP="00E81465">
            <w:pPr>
              <w:pStyle w:val="TableText"/>
              <w:keepNext/>
              <w:jc w:val="center"/>
              <w:rPr>
                <w:vertAlign w:val="superscript"/>
              </w:rPr>
            </w:pPr>
            <w:r w:rsidRPr="0070272E">
              <w:t>$</w:t>
            </w:r>
            <w:r w:rsidR="00CD4EA9" w:rsidRPr="00CD4EA9">
              <w:rPr>
                <w:color w:val="000000"/>
                <w:spacing w:val="51"/>
                <w:shd w:val="solid" w:color="000000" w:fill="000000"/>
                <w:fitText w:val="324" w:id="-632121342"/>
                <w14:textFill>
                  <w14:solidFill>
                    <w14:srgbClr w14:val="000000">
                      <w14:alpha w14:val="100000"/>
                    </w14:srgbClr>
                  </w14:solidFill>
                </w14:textFill>
              </w:rPr>
              <w:t>|||</w:t>
            </w:r>
            <w:r w:rsidR="00CD4EA9" w:rsidRPr="00CD4EA9">
              <w:rPr>
                <w:color w:val="000000"/>
                <w:spacing w:val="1"/>
                <w:shd w:val="solid" w:color="000000" w:fill="000000"/>
                <w:fitText w:val="324" w:id="-632121342"/>
                <w14:textFill>
                  <w14:solidFill>
                    <w14:srgbClr w14:val="000000">
                      <w14:alpha w14:val="100000"/>
                    </w14:srgbClr>
                  </w14:solidFill>
                </w14:textFill>
              </w:rPr>
              <w:t>|</w:t>
            </w:r>
          </w:p>
        </w:tc>
      </w:tr>
      <w:tr w:rsidR="0008002E" w:rsidRPr="0070272E" w14:paraId="031A7829" w14:textId="77777777" w:rsidTr="00E81465">
        <w:tc>
          <w:tcPr>
            <w:tcW w:w="1529" w:type="pct"/>
            <w:vAlign w:val="center"/>
          </w:tcPr>
          <w:p w14:paraId="26957FB7" w14:textId="77777777" w:rsidR="0008002E" w:rsidRPr="0070272E" w:rsidRDefault="0008002E" w:rsidP="00E81465">
            <w:pPr>
              <w:pStyle w:val="TableText"/>
              <w:keepNext/>
            </w:pPr>
            <w:r w:rsidRPr="0070272E">
              <w:t>QALY gained</w:t>
            </w:r>
          </w:p>
        </w:tc>
        <w:tc>
          <w:tcPr>
            <w:tcW w:w="1359" w:type="pct"/>
          </w:tcPr>
          <w:p w14:paraId="505162A6" w14:textId="77777777" w:rsidR="0008002E" w:rsidRPr="0070272E" w:rsidRDefault="0008002E" w:rsidP="00E81465">
            <w:pPr>
              <w:pStyle w:val="TableText"/>
              <w:keepNext/>
              <w:jc w:val="center"/>
            </w:pPr>
            <w:r w:rsidRPr="0070272E">
              <w:t>3.70</w:t>
            </w:r>
          </w:p>
        </w:tc>
        <w:tc>
          <w:tcPr>
            <w:tcW w:w="1274" w:type="pct"/>
          </w:tcPr>
          <w:p w14:paraId="5D426BF8" w14:textId="77777777" w:rsidR="0008002E" w:rsidRPr="0070272E" w:rsidRDefault="0008002E" w:rsidP="00E81465">
            <w:pPr>
              <w:pStyle w:val="TableText"/>
              <w:keepNext/>
              <w:jc w:val="center"/>
            </w:pPr>
            <w:r w:rsidRPr="0070272E">
              <w:t>3.28</w:t>
            </w:r>
          </w:p>
        </w:tc>
        <w:tc>
          <w:tcPr>
            <w:tcW w:w="838" w:type="pct"/>
          </w:tcPr>
          <w:p w14:paraId="5834F7FD" w14:textId="77777777" w:rsidR="0008002E" w:rsidRPr="0070272E" w:rsidRDefault="0008002E" w:rsidP="00E81465">
            <w:pPr>
              <w:pStyle w:val="TableText"/>
              <w:keepNext/>
              <w:jc w:val="center"/>
            </w:pPr>
            <w:r w:rsidRPr="0070272E">
              <w:t>0.42</w:t>
            </w:r>
          </w:p>
        </w:tc>
      </w:tr>
      <w:tr w:rsidR="0008002E" w:rsidRPr="0070272E" w14:paraId="6EBC3A82" w14:textId="77777777" w:rsidTr="00E81465">
        <w:tc>
          <w:tcPr>
            <w:tcW w:w="4162" w:type="pct"/>
            <w:gridSpan w:val="3"/>
            <w:vAlign w:val="center"/>
          </w:tcPr>
          <w:p w14:paraId="298068CE" w14:textId="77777777" w:rsidR="0008002E" w:rsidRPr="0070272E" w:rsidRDefault="0008002E" w:rsidP="00E81465">
            <w:pPr>
              <w:pStyle w:val="TableText"/>
              <w:keepNext/>
            </w:pPr>
            <w:r w:rsidRPr="0070272E">
              <w:rPr>
                <w:b/>
              </w:rPr>
              <w:t>Incremental cost/extra QALY gained (base case)</w:t>
            </w:r>
          </w:p>
        </w:tc>
        <w:tc>
          <w:tcPr>
            <w:tcW w:w="838" w:type="pct"/>
            <w:vAlign w:val="center"/>
          </w:tcPr>
          <w:p w14:paraId="3E416B40" w14:textId="16A038FE" w:rsidR="0008002E" w:rsidRPr="00C47CD5" w:rsidRDefault="0008002E" w:rsidP="00E81465">
            <w:pPr>
              <w:pStyle w:val="TableText"/>
              <w:keepNext/>
              <w:jc w:val="center"/>
              <w:rPr>
                <w:vertAlign w:val="superscript"/>
              </w:rPr>
            </w:pPr>
            <w:r w:rsidRPr="0070272E">
              <w:rPr>
                <w:b/>
              </w:rPr>
              <w:t>$</w:t>
            </w:r>
            <w:r w:rsidR="00CD4EA9" w:rsidRPr="00CD4EA9">
              <w:rPr>
                <w:b/>
                <w:color w:val="000000"/>
                <w:spacing w:val="56"/>
                <w:shd w:val="solid" w:color="000000" w:fill="000000"/>
                <w:fitText w:val="354" w:id="-632121341"/>
                <w14:textFill>
                  <w14:solidFill>
                    <w14:srgbClr w14:val="000000">
                      <w14:alpha w14:val="100000"/>
                    </w14:srgbClr>
                  </w14:solidFill>
                </w14:textFill>
              </w:rPr>
              <w:t>|||</w:t>
            </w:r>
            <w:r w:rsidR="00CD4EA9" w:rsidRPr="00CD4EA9">
              <w:rPr>
                <w:b/>
                <w:color w:val="000000"/>
                <w:spacing w:val="3"/>
                <w:shd w:val="solid" w:color="000000" w:fill="000000"/>
                <w:fitText w:val="354" w:id="-632121341"/>
                <w14:textFill>
                  <w14:solidFill>
                    <w14:srgbClr w14:val="000000">
                      <w14:alpha w14:val="100000"/>
                    </w14:srgbClr>
                  </w14:solidFill>
                </w14:textFill>
              </w:rPr>
              <w:t>|</w:t>
            </w:r>
            <w:r w:rsidR="00C47CD5">
              <w:rPr>
                <w:b/>
                <w:vertAlign w:val="superscript"/>
              </w:rPr>
              <w:t>4</w:t>
            </w:r>
          </w:p>
        </w:tc>
      </w:tr>
    </w:tbl>
    <w:p w14:paraId="461D7946" w14:textId="77777777" w:rsidR="0008002E" w:rsidRPr="0070272E" w:rsidRDefault="0008002E" w:rsidP="0008002E">
      <w:pPr>
        <w:pStyle w:val="TableFigureFooter"/>
        <w:keepNext/>
      </w:pPr>
      <w:r w:rsidRPr="0070272E">
        <w:t>Source: Constructed during the evaluation from the “3.3_Donanemab cost effectiveness model” attachment provided with the submission.</w:t>
      </w:r>
    </w:p>
    <w:p w14:paraId="73C24992" w14:textId="7B2BFCE3" w:rsidR="0008002E" w:rsidRPr="0070272E" w:rsidRDefault="0008002E" w:rsidP="0008002E">
      <w:pPr>
        <w:pStyle w:val="TableFigureFooter"/>
        <w:keepNext/>
      </w:pPr>
      <w:r w:rsidRPr="0070272E">
        <w:t>AD = Alzheimer</w:t>
      </w:r>
      <w:r w:rsidR="00D058AF">
        <w:t>’s</w:t>
      </w:r>
      <w:r w:rsidRPr="0070272E">
        <w:t xml:space="preserve"> Disease; CDR = clinical dementia rating; LYs = life years; MCI = mild cognitive impairment; p.a. = per annum; QALYs = quality adjusted life years; SOC = standard of care.</w:t>
      </w:r>
    </w:p>
    <w:p w14:paraId="7F8D4964" w14:textId="77777777" w:rsidR="0008002E" w:rsidRPr="0070272E" w:rsidRDefault="0008002E" w:rsidP="0008002E">
      <w:pPr>
        <w:pStyle w:val="TableFigureFooter"/>
        <w:keepNext/>
      </w:pPr>
      <w:r w:rsidRPr="0070272E">
        <w:rPr>
          <w:vertAlign w:val="superscript"/>
        </w:rPr>
        <w:t>a</w:t>
      </w:r>
      <w:r w:rsidRPr="0070272E">
        <w:t xml:space="preserve"> Costs include donanemab diagnostic, acquisition, administration and monitoring costs, symptomatic treatment and adverse event costs.</w:t>
      </w:r>
    </w:p>
    <w:p w14:paraId="6A457C22" w14:textId="36A95A6B" w:rsidR="0008002E" w:rsidRPr="0070272E" w:rsidRDefault="0008002E" w:rsidP="0008002E">
      <w:pPr>
        <w:pStyle w:val="TableFigureFooter"/>
        <w:keepNext/>
      </w:pPr>
      <w:r w:rsidRPr="0070272E">
        <w:rPr>
          <w:vertAlign w:val="superscript"/>
        </w:rPr>
        <w:t xml:space="preserve">b </w:t>
      </w:r>
      <w:r w:rsidRPr="0070272E">
        <w:t>Proportion of MCI due to AD patients at baseline remaining as MCI due to AD at the end of the 18-month trial period as per CDR score reported in Zimmer et al.</w:t>
      </w:r>
      <w:r w:rsidR="00D74779" w:rsidRPr="0070272E">
        <w:t xml:space="preserve"> </w:t>
      </w:r>
    </w:p>
    <w:p w14:paraId="17710C55" w14:textId="77777777" w:rsidR="009925A1" w:rsidRPr="00D475C0" w:rsidRDefault="0008002E" w:rsidP="00D475C0">
      <w:pPr>
        <w:pStyle w:val="TableFigureFooter"/>
        <w:keepNext/>
        <w:rPr>
          <w:szCs w:val="18"/>
        </w:rPr>
      </w:pPr>
      <w:r w:rsidRPr="0070272E">
        <w:rPr>
          <w:vertAlign w:val="superscript"/>
        </w:rPr>
        <w:t xml:space="preserve">c </w:t>
      </w:r>
      <w:r w:rsidRPr="0070272E">
        <w:t xml:space="preserve">Proportion of mild AD patients at baseline remaining as mild AD at the end of the 18-month trial period as per CDR score reported in </w:t>
      </w:r>
      <w:r w:rsidRPr="00D475C0">
        <w:rPr>
          <w:szCs w:val="18"/>
        </w:rPr>
        <w:t>Zimmer et al.</w:t>
      </w:r>
    </w:p>
    <w:p w14:paraId="0B3D128A" w14:textId="42C8EFFA" w:rsidR="001E1E45" w:rsidRDefault="001E1E45" w:rsidP="00D475C0">
      <w:pPr>
        <w:spacing w:before="0" w:after="0"/>
        <w:ind w:right="147"/>
        <w:rPr>
          <w:rFonts w:ascii="Arial Narrow" w:eastAsia="Times New Roman" w:hAnsi="Arial Narrow" w:cs="Arial"/>
          <w:i/>
          <w:iCs/>
          <w:color w:val="333333"/>
          <w:sz w:val="18"/>
          <w:szCs w:val="18"/>
          <w:lang w:eastAsia="en-AU"/>
        </w:rPr>
      </w:pPr>
      <w:r w:rsidRPr="00B444BF">
        <w:rPr>
          <w:rFonts w:ascii="Arial Narrow" w:eastAsia="Times New Roman" w:hAnsi="Arial Narrow" w:cs="Arial"/>
          <w:i/>
          <w:iCs/>
          <w:color w:val="333333"/>
          <w:sz w:val="18"/>
          <w:szCs w:val="18"/>
          <w:lang w:eastAsia="en-AU"/>
        </w:rPr>
        <w:t>The redacted values correspond to the following ranges:</w:t>
      </w:r>
    </w:p>
    <w:p w14:paraId="31E2EB03" w14:textId="4F6B4128" w:rsidR="005C3693" w:rsidRDefault="005C3693" w:rsidP="00D475C0">
      <w:pPr>
        <w:spacing w:before="0" w:after="0"/>
        <w:ind w:right="147"/>
        <w:rPr>
          <w:rFonts w:ascii="Arial Narrow" w:eastAsia="Times New Roman" w:hAnsi="Arial Narrow" w:cs="Arial"/>
          <w:i/>
          <w:iCs/>
          <w:color w:val="333333"/>
          <w:sz w:val="18"/>
          <w:szCs w:val="18"/>
          <w:lang w:eastAsia="en-AU"/>
        </w:rPr>
      </w:pPr>
      <w:r>
        <w:rPr>
          <w:rFonts w:ascii="Arial Narrow" w:eastAsia="Times New Roman" w:hAnsi="Arial Narrow" w:cs="Arial"/>
          <w:i/>
          <w:iCs/>
          <w:color w:val="333333"/>
          <w:sz w:val="18"/>
          <w:szCs w:val="18"/>
          <w:vertAlign w:val="superscript"/>
          <w:lang w:eastAsia="en-AU"/>
        </w:rPr>
        <w:t>1</w:t>
      </w:r>
      <w:r w:rsidR="006A09D5">
        <w:rPr>
          <w:rFonts w:ascii="Arial Narrow" w:eastAsia="Times New Roman" w:hAnsi="Arial Narrow" w:cs="Arial"/>
          <w:i/>
          <w:iCs/>
          <w:color w:val="333333"/>
          <w:sz w:val="18"/>
          <w:szCs w:val="18"/>
          <w:vertAlign w:val="superscript"/>
          <w:lang w:eastAsia="en-AU"/>
        </w:rPr>
        <w:t xml:space="preserve"> </w:t>
      </w:r>
      <w:r w:rsidR="004D0466" w:rsidRPr="004D0466">
        <w:rPr>
          <w:rFonts w:ascii="Arial Narrow" w:eastAsia="Times New Roman" w:hAnsi="Arial Narrow" w:cs="Arial"/>
          <w:i/>
          <w:iCs/>
          <w:color w:val="333333"/>
          <w:sz w:val="18"/>
          <w:szCs w:val="18"/>
          <w:lang w:eastAsia="en-AU"/>
        </w:rPr>
        <w:t>&gt;$1,055,000</w:t>
      </w:r>
    </w:p>
    <w:p w14:paraId="36E867D0" w14:textId="1192CA0D" w:rsidR="006A09D5" w:rsidRDefault="006A09D5" w:rsidP="00D475C0">
      <w:pPr>
        <w:spacing w:before="0" w:after="0"/>
        <w:ind w:right="147"/>
        <w:rPr>
          <w:rFonts w:ascii="Arial Narrow" w:eastAsia="Times New Roman" w:hAnsi="Arial Narrow" w:cs="Arial"/>
          <w:i/>
          <w:iCs/>
          <w:color w:val="333333"/>
          <w:sz w:val="18"/>
          <w:szCs w:val="18"/>
          <w:lang w:eastAsia="en-AU"/>
        </w:rPr>
      </w:pPr>
      <w:r>
        <w:rPr>
          <w:rFonts w:ascii="Arial Narrow" w:eastAsia="Times New Roman" w:hAnsi="Arial Narrow" w:cs="Arial"/>
          <w:i/>
          <w:iCs/>
          <w:color w:val="333333"/>
          <w:sz w:val="18"/>
          <w:szCs w:val="18"/>
          <w:vertAlign w:val="superscript"/>
          <w:lang w:eastAsia="en-AU"/>
        </w:rPr>
        <w:t>2</w:t>
      </w:r>
      <w:r>
        <w:rPr>
          <w:rFonts w:ascii="Arial Narrow" w:eastAsia="Times New Roman" w:hAnsi="Arial Narrow" w:cs="Arial"/>
          <w:i/>
          <w:iCs/>
          <w:color w:val="333333"/>
          <w:sz w:val="18"/>
          <w:szCs w:val="18"/>
          <w:lang w:eastAsia="en-AU"/>
        </w:rPr>
        <w:t xml:space="preserve"> </w:t>
      </w:r>
      <w:r w:rsidR="004D0466" w:rsidRPr="004D0466">
        <w:rPr>
          <w:rFonts w:ascii="Arial Narrow" w:eastAsia="Times New Roman" w:hAnsi="Arial Narrow" w:cs="Arial"/>
          <w:i/>
          <w:iCs/>
          <w:color w:val="333333"/>
          <w:sz w:val="18"/>
          <w:szCs w:val="18"/>
          <w:lang w:eastAsia="en-AU"/>
        </w:rPr>
        <w:t>$155,000 to &lt; $255,000</w:t>
      </w:r>
    </w:p>
    <w:p w14:paraId="7FE6F0F2" w14:textId="42D93580" w:rsidR="00C47CD5" w:rsidRDefault="00C47CD5" w:rsidP="00D475C0">
      <w:pPr>
        <w:spacing w:before="0" w:after="0"/>
        <w:ind w:right="147"/>
        <w:rPr>
          <w:rFonts w:ascii="Arial Narrow" w:eastAsia="Times New Roman" w:hAnsi="Arial Narrow" w:cs="Arial"/>
          <w:i/>
          <w:iCs/>
          <w:color w:val="333333"/>
          <w:sz w:val="18"/>
          <w:szCs w:val="18"/>
          <w:lang w:eastAsia="en-AU"/>
        </w:rPr>
      </w:pPr>
      <w:r>
        <w:rPr>
          <w:rFonts w:ascii="Arial Narrow" w:eastAsia="Times New Roman" w:hAnsi="Arial Narrow" w:cs="Arial"/>
          <w:i/>
          <w:iCs/>
          <w:color w:val="333333"/>
          <w:sz w:val="18"/>
          <w:szCs w:val="18"/>
          <w:vertAlign w:val="superscript"/>
          <w:lang w:eastAsia="en-AU"/>
        </w:rPr>
        <w:t>3</w:t>
      </w:r>
      <w:r>
        <w:rPr>
          <w:rFonts w:ascii="Arial Narrow" w:eastAsia="Times New Roman" w:hAnsi="Arial Narrow" w:cs="Arial"/>
          <w:i/>
          <w:iCs/>
          <w:color w:val="333333"/>
          <w:sz w:val="18"/>
          <w:szCs w:val="18"/>
          <w:lang w:eastAsia="en-AU"/>
        </w:rPr>
        <w:t xml:space="preserve"> </w:t>
      </w:r>
      <w:r w:rsidR="00B5311E" w:rsidRPr="00B5311E">
        <w:rPr>
          <w:rFonts w:ascii="Arial Narrow" w:eastAsia="Times New Roman" w:hAnsi="Arial Narrow" w:cs="Arial"/>
          <w:i/>
          <w:iCs/>
          <w:color w:val="333333"/>
          <w:sz w:val="18"/>
          <w:szCs w:val="18"/>
          <w:lang w:eastAsia="en-AU"/>
        </w:rPr>
        <w:t>$45,000 to &lt; $55,000</w:t>
      </w:r>
    </w:p>
    <w:p w14:paraId="4AC1E18C" w14:textId="094AFB0A" w:rsidR="0076224F" w:rsidRPr="0076224F" w:rsidRDefault="0076224F" w:rsidP="00D475C0">
      <w:pPr>
        <w:spacing w:before="0" w:after="0"/>
        <w:ind w:right="147"/>
        <w:rPr>
          <w:rFonts w:ascii="Arial Narrow" w:eastAsia="Times New Roman" w:hAnsi="Arial Narrow" w:cs="Arial"/>
          <w:i/>
          <w:iCs/>
          <w:color w:val="333333"/>
          <w:sz w:val="18"/>
          <w:szCs w:val="18"/>
          <w:lang w:eastAsia="en-AU"/>
        </w:rPr>
      </w:pPr>
      <w:r>
        <w:rPr>
          <w:rFonts w:ascii="Arial Narrow" w:eastAsia="Times New Roman" w:hAnsi="Arial Narrow" w:cs="Arial"/>
          <w:i/>
          <w:iCs/>
          <w:color w:val="333333"/>
          <w:sz w:val="18"/>
          <w:szCs w:val="18"/>
          <w:vertAlign w:val="superscript"/>
          <w:lang w:eastAsia="en-AU"/>
        </w:rPr>
        <w:t>4</w:t>
      </w:r>
      <w:r>
        <w:rPr>
          <w:rFonts w:ascii="Arial Narrow" w:eastAsia="Times New Roman" w:hAnsi="Arial Narrow" w:cs="Arial"/>
          <w:i/>
          <w:iCs/>
          <w:color w:val="333333"/>
          <w:sz w:val="18"/>
          <w:szCs w:val="18"/>
          <w:lang w:eastAsia="en-AU"/>
        </w:rPr>
        <w:t xml:space="preserve"> </w:t>
      </w:r>
      <w:r w:rsidR="001D5194" w:rsidRPr="001D5194">
        <w:rPr>
          <w:rFonts w:ascii="Arial Narrow" w:eastAsia="Times New Roman" w:hAnsi="Arial Narrow" w:cs="Arial"/>
          <w:i/>
          <w:iCs/>
          <w:color w:val="333333"/>
          <w:sz w:val="18"/>
          <w:szCs w:val="18"/>
          <w:lang w:eastAsia="en-AU"/>
        </w:rPr>
        <w:t>$35,000 to &lt; $45,000</w:t>
      </w:r>
    </w:p>
    <w:p w14:paraId="33E0BA56" w14:textId="77777777" w:rsidR="006A09D5" w:rsidRPr="005C3693" w:rsidRDefault="006A09D5" w:rsidP="00D475C0">
      <w:pPr>
        <w:spacing w:before="0" w:after="0"/>
        <w:ind w:right="147"/>
        <w:rPr>
          <w:rFonts w:ascii="Arial Narrow" w:eastAsia="Times New Roman" w:hAnsi="Arial Narrow" w:cs="Arial"/>
          <w:i/>
          <w:iCs/>
          <w:color w:val="333333"/>
          <w:sz w:val="18"/>
          <w:szCs w:val="18"/>
          <w:lang w:eastAsia="en-AU"/>
        </w:rPr>
      </w:pPr>
    </w:p>
    <w:p w14:paraId="5FB5C065" w14:textId="6015E604" w:rsidR="0008002E" w:rsidRPr="00AE25F7" w:rsidRDefault="0008002E" w:rsidP="00DD02B1">
      <w:pPr>
        <w:pStyle w:val="3-BodyText"/>
        <w:numPr>
          <w:ilvl w:val="1"/>
          <w:numId w:val="23"/>
        </w:numPr>
        <w:spacing w:before="60" w:after="60"/>
        <w:ind w:left="709" w:hanging="709"/>
        <w:rPr>
          <w:i/>
          <w:iCs/>
        </w:rPr>
      </w:pPr>
      <w:r w:rsidRPr="0070272E">
        <w:t>Based on a 5.82 month</w:t>
      </w:r>
      <w:r w:rsidRPr="0070272E" w:rsidDel="00E722DC">
        <w:t xml:space="preserve"> </w:t>
      </w:r>
      <w:r w:rsidRPr="0070272E">
        <w:t xml:space="preserve">delay in progression observed in the TB-2 trial for </w:t>
      </w:r>
      <w:r>
        <w:t xml:space="preserve">secondary outcome, CDR-SB in </w:t>
      </w:r>
      <w:r w:rsidRPr="0070272E">
        <w:t>the proposed TGA population (see paragraph</w:t>
      </w:r>
      <w:r w:rsidR="007231D7">
        <w:t xml:space="preserve"> </w:t>
      </w:r>
      <w:r w:rsidR="007231D7">
        <w:fldChar w:fldCharType="begin"/>
      </w:r>
      <w:r w:rsidR="007231D7">
        <w:instrText xml:space="preserve"> REF _Ref201333234 \r \h </w:instrText>
      </w:r>
      <w:r w:rsidR="007231D7">
        <w:fldChar w:fldCharType="separate"/>
      </w:r>
      <w:r w:rsidR="00392423">
        <w:t>6.62</w:t>
      </w:r>
      <w:r w:rsidR="007231D7">
        <w:fldChar w:fldCharType="end"/>
      </w:r>
      <w:r w:rsidRPr="0070272E">
        <w:t xml:space="preserve">) at 76 weeks, over the 26 year time horizon, the economic model estimates, on average, 12 more months spent in the MCI and mild health states and 12 less months spent in the moderate and severe health states (undiscounted), and corresponds to delaying institutionalisation by eight months (equating to a cost </w:t>
      </w:r>
      <w:r w:rsidRPr="00310F0C">
        <w:t>saving of $71,414).</w:t>
      </w:r>
      <w:r w:rsidRPr="0070272E">
        <w:t xml:space="preserve">  </w:t>
      </w:r>
    </w:p>
    <w:p w14:paraId="5AA2DE8C" w14:textId="25FCE9F3" w:rsidR="0008002E" w:rsidRPr="007E185B" w:rsidRDefault="0008002E" w:rsidP="00DD02B1">
      <w:pPr>
        <w:pStyle w:val="3-BodyText"/>
        <w:numPr>
          <w:ilvl w:val="1"/>
          <w:numId w:val="23"/>
        </w:numPr>
        <w:spacing w:before="60" w:after="60"/>
        <w:ind w:left="709" w:hanging="709"/>
      </w:pPr>
      <w:bookmarkStart w:id="53" w:name="_Ref201333377"/>
      <w:r w:rsidRPr="009460ED">
        <w:t xml:space="preserve">Traces of health state membership were constructed during the evaluation; this is presented in </w:t>
      </w:r>
      <w:r w:rsidR="000C0464">
        <w:fldChar w:fldCharType="begin"/>
      </w:r>
      <w:r w:rsidR="000C0464">
        <w:instrText xml:space="preserve"> REF _Ref204780828 \h </w:instrText>
      </w:r>
      <w:r w:rsidR="000C0464">
        <w:fldChar w:fldCharType="separate"/>
      </w:r>
      <w:r w:rsidR="00392423">
        <w:t xml:space="preserve">Figure </w:t>
      </w:r>
      <w:r w:rsidR="00392423">
        <w:rPr>
          <w:noProof/>
        </w:rPr>
        <w:t>18</w:t>
      </w:r>
      <w:r w:rsidR="000C0464">
        <w:fldChar w:fldCharType="end"/>
      </w:r>
      <w:r w:rsidRPr="009460ED">
        <w:t xml:space="preserve"> (with community and institutional health states pooled together).</w:t>
      </w:r>
      <w:r w:rsidRPr="0070272E">
        <w:t xml:space="preserve"> The traces of health state membership indicate major incremental differences in the mild and severe AD health state between the two arms. Both differences are driven by the treatment effect of donanemab</w:t>
      </w:r>
      <w:r>
        <w:t>;</w:t>
      </w:r>
      <w:r w:rsidRPr="0070272E">
        <w:t xml:space="preserve"> however</w:t>
      </w:r>
      <w:r>
        <w:t>,</w:t>
      </w:r>
      <w:r w:rsidRPr="0070272E">
        <w:t xml:space="preserve"> the lower health state membership in the severe AD health state for the donanemab is primarily due to a donanemab treatment effect being applied to moderate AD patients. There is almost no difference between the proportion of patients dying between the two arms as the model did not employ health state specific mortality risks (for the mild, moderate and severe AD health states). </w:t>
      </w:r>
      <w:r w:rsidRPr="007E185B">
        <w:t xml:space="preserve">The ESCs noted that the traces indicated that </w:t>
      </w:r>
      <w:r w:rsidRPr="007E185B">
        <w:lastRenderedPageBreak/>
        <w:t xml:space="preserve">model resulted in an implausibly large incremental differences in health state membership </w:t>
      </w:r>
      <w:r w:rsidR="00661686" w:rsidRPr="007E185B">
        <w:t xml:space="preserve">of MCI due to AD and mild AD </w:t>
      </w:r>
      <w:r w:rsidRPr="007E185B">
        <w:t>between patients treated with donanemab and placebo. The ESCs also noted that there were no trial data to inform the large differences between the arms in numbers of patients with moderate and severe AD. Further, the ESCs noted that donanemab appeared to result in a reduction in the number of cases of moderate and severe AD, rather than a modest delay in disease progression</w:t>
      </w:r>
      <w:r w:rsidR="00630509" w:rsidRPr="007E185B">
        <w:t>, as demonstrated in the trial</w:t>
      </w:r>
      <w:r w:rsidRPr="007E185B">
        <w:t>. Overall, the ESCs considered that the modelled outputs were highly optimistic.</w:t>
      </w:r>
      <w:bookmarkEnd w:id="53"/>
    </w:p>
    <w:p w14:paraId="3540845D" w14:textId="64BDBBCD" w:rsidR="0008002E" w:rsidRPr="007B5FD5" w:rsidRDefault="000C0464" w:rsidP="000C0464">
      <w:pPr>
        <w:pStyle w:val="Caption"/>
      </w:pPr>
      <w:bookmarkStart w:id="54" w:name="_Ref204780828"/>
      <w:r>
        <w:t xml:space="preserve">Figure </w:t>
      </w:r>
      <w:r>
        <w:fldChar w:fldCharType="begin"/>
      </w:r>
      <w:r>
        <w:instrText xml:space="preserve"> SEQ Figure \* ARABIC </w:instrText>
      </w:r>
      <w:r>
        <w:fldChar w:fldCharType="separate"/>
      </w:r>
      <w:r w:rsidR="00392423">
        <w:rPr>
          <w:noProof/>
        </w:rPr>
        <w:t>18</w:t>
      </w:r>
      <w:r>
        <w:fldChar w:fldCharType="end"/>
      </w:r>
      <w:bookmarkEnd w:id="54"/>
      <w:r w:rsidR="0008002E" w:rsidRPr="007B5FD5">
        <w:fldChar w:fldCharType="begin"/>
      </w:r>
      <w:r w:rsidR="0008002E" w:rsidRPr="007B5FD5">
        <w:instrText xml:space="preserve"> SEQ Figure_PBAC. \* ARABIC </w:instrText>
      </w:r>
      <w:r w:rsidR="0008002E" w:rsidRPr="007B5FD5">
        <w:fldChar w:fldCharType="separate"/>
      </w:r>
      <w:r w:rsidR="00392423">
        <w:rPr>
          <w:noProof/>
        </w:rPr>
        <w:t>6</w:t>
      </w:r>
      <w:r w:rsidR="0008002E" w:rsidRPr="007B5FD5">
        <w:fldChar w:fldCharType="end"/>
      </w:r>
      <w:r w:rsidR="00D97939">
        <w:t xml:space="preserve">: </w:t>
      </w:r>
      <w:r w:rsidR="0008002E" w:rsidRPr="007B5FD5">
        <w:t>Health state membership over the time horizon</w:t>
      </w:r>
    </w:p>
    <w:p w14:paraId="0722C605" w14:textId="77777777" w:rsidR="0008002E" w:rsidRPr="00EE0EEB" w:rsidRDefault="0008002E" w:rsidP="0008002E">
      <w:pPr>
        <w:pStyle w:val="TableFigureFooter"/>
      </w:pPr>
      <w:r w:rsidRPr="00EE0EEB">
        <w:rPr>
          <w:noProof/>
        </w:rPr>
        <w:drawing>
          <wp:inline distT="0" distB="0" distL="0" distR="0" wp14:anchorId="0B1A83C8" wp14:editId="6D1798F6">
            <wp:extent cx="5741112" cy="3332231"/>
            <wp:effectExtent l="0" t="0" r="0" b="1905"/>
            <wp:docPr id="1347464593" name="Picture 1347464593" descr="Figure 18: Health state membership over the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64593" name="Picture 1347464593" descr="Figure 18: Health state membership over the time horizo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9536" cy="3348729"/>
                    </a:xfrm>
                    <a:prstGeom prst="rect">
                      <a:avLst/>
                    </a:prstGeom>
                    <a:noFill/>
                  </pic:spPr>
                </pic:pic>
              </a:graphicData>
            </a:graphic>
          </wp:inline>
        </w:drawing>
      </w:r>
    </w:p>
    <w:p w14:paraId="5C136650" w14:textId="77777777" w:rsidR="0008002E" w:rsidRPr="00EE0EEB" w:rsidRDefault="0008002E" w:rsidP="0008002E">
      <w:pPr>
        <w:pStyle w:val="TableFigureFooter"/>
      </w:pPr>
      <w:r w:rsidRPr="00EE0EEB">
        <w:t xml:space="preserve">Source: </w:t>
      </w:r>
      <w:r w:rsidRPr="00D058AF">
        <w:t>Constructed during the evaluation from the</w:t>
      </w:r>
      <w:r w:rsidRPr="00EE0EEB">
        <w:t xml:space="preserve"> “3.3_Donanemab cost effectiveness model” attachment provided with the submission.</w:t>
      </w:r>
    </w:p>
    <w:p w14:paraId="6F48E340" w14:textId="57272670" w:rsidR="0008002E" w:rsidRPr="00EE0EEB" w:rsidRDefault="0008002E" w:rsidP="0008002E">
      <w:pPr>
        <w:pStyle w:val="TableFigureFooter"/>
      </w:pPr>
      <w:r w:rsidRPr="00EE0EEB">
        <w:t>AD = Alzheimer</w:t>
      </w:r>
      <w:r w:rsidR="00D058AF">
        <w:t>’s</w:t>
      </w:r>
      <w:r w:rsidRPr="00EE0EEB">
        <w:t xml:space="preserve"> Disease; HR = hazard ratio; MCI = mild cognitive impairment; SOC = standard of care.</w:t>
      </w:r>
    </w:p>
    <w:p w14:paraId="5A43066F" w14:textId="77777777" w:rsidR="0008002E" w:rsidRPr="00EE0EEB" w:rsidRDefault="0008002E" w:rsidP="0008002E">
      <w:pPr>
        <w:pStyle w:val="TableFigureFooter"/>
      </w:pPr>
      <w:r w:rsidRPr="00EE0EEB">
        <w:t>Note: community and institutional health states have been pooled together.</w:t>
      </w:r>
    </w:p>
    <w:p w14:paraId="585AB7A6" w14:textId="77777777" w:rsidR="0008002E" w:rsidRPr="00EE0EEB" w:rsidRDefault="0008002E" w:rsidP="0008002E">
      <w:pPr>
        <w:pStyle w:val="TableFigureFooter"/>
      </w:pPr>
      <w:r w:rsidRPr="00EE0EEB">
        <w:t>*Treatment effect is waned linearly over 9.5 years until the HR = 1.</w:t>
      </w:r>
    </w:p>
    <w:p w14:paraId="2B4447A7" w14:textId="1967016A" w:rsidR="0008002E" w:rsidRPr="0070272E" w:rsidRDefault="0008002E" w:rsidP="00DD02B1">
      <w:pPr>
        <w:pStyle w:val="3-BodyText"/>
        <w:numPr>
          <w:ilvl w:val="1"/>
          <w:numId w:val="23"/>
        </w:numPr>
        <w:spacing w:before="60" w:after="60"/>
        <w:ind w:left="709" w:hanging="709"/>
      </w:pPr>
      <w:r w:rsidRPr="0070272E">
        <w:t xml:space="preserve">Disaggregate costs and outcomes are presented in </w:t>
      </w:r>
      <w:r w:rsidR="00131043">
        <w:fldChar w:fldCharType="begin"/>
      </w:r>
      <w:r w:rsidR="00131043">
        <w:instrText xml:space="preserve"> REF _Ref204780218 \h </w:instrText>
      </w:r>
      <w:r w:rsidR="00131043">
        <w:fldChar w:fldCharType="separate"/>
      </w:r>
      <w:r w:rsidR="00392423">
        <w:t xml:space="preserve">Table </w:t>
      </w:r>
      <w:r w:rsidR="00392423">
        <w:rPr>
          <w:noProof/>
        </w:rPr>
        <w:t>21</w:t>
      </w:r>
      <w:r w:rsidR="00131043">
        <w:fldChar w:fldCharType="end"/>
      </w:r>
      <w:r w:rsidRPr="0070272E">
        <w:t>. The majority of incremental costs are attributable to donanemab acquisition and administration. The majority of cost savings are the result of delayed or prevented institutionalisation</w:t>
      </w:r>
      <w:r>
        <w:t>;</w:t>
      </w:r>
      <w:r w:rsidRPr="0070272E">
        <w:t xml:space="preserve"> however</w:t>
      </w:r>
      <w:r>
        <w:t>,</w:t>
      </w:r>
      <w:r w:rsidRPr="0070272E">
        <w:t xml:space="preserve"> the institutionalisation rates are substantially uncertain, and the costs may be overestimated. On average, the model estimates four and five years spent institutionalised with severe AD before death. This appears implausible as the average length of stay for residential care for dementia patients in Australia was reported to be 2.3 years</w:t>
      </w:r>
      <w:r w:rsidR="00045CC1">
        <w:t xml:space="preserve"> </w:t>
      </w:r>
      <w:r w:rsidRPr="00D53F48" w:rsidDel="003E525A">
        <w:t>(see paragraph</w:t>
      </w:r>
      <w:r w:rsidR="007231D7">
        <w:t xml:space="preserve"> </w:t>
      </w:r>
      <w:r w:rsidR="007231D7">
        <w:fldChar w:fldCharType="begin"/>
      </w:r>
      <w:r w:rsidR="007231D7">
        <w:instrText xml:space="preserve"> REF _Ref201333306 \r \h </w:instrText>
      </w:r>
      <w:r w:rsidR="007231D7">
        <w:fldChar w:fldCharType="separate"/>
      </w:r>
      <w:r w:rsidR="00392423">
        <w:t>6.117</w:t>
      </w:r>
      <w:r w:rsidR="007231D7">
        <w:fldChar w:fldCharType="end"/>
      </w:r>
      <w:r w:rsidR="00850A77">
        <w:t>)</w:t>
      </w:r>
      <w:r w:rsidRPr="00D53F48">
        <w:t>.</w:t>
      </w:r>
      <w:r w:rsidRPr="0070272E">
        <w:t xml:space="preserve"> </w:t>
      </w:r>
    </w:p>
    <w:p w14:paraId="757D9E2B" w14:textId="01B87613" w:rsidR="0008002E" w:rsidRPr="00EE0EEB" w:rsidRDefault="00131043" w:rsidP="00131043">
      <w:pPr>
        <w:pStyle w:val="Caption"/>
      </w:pPr>
      <w:bookmarkStart w:id="55" w:name="_Ref204780218"/>
      <w:r>
        <w:lastRenderedPageBreak/>
        <w:t xml:space="preserve">Table </w:t>
      </w:r>
      <w:r>
        <w:fldChar w:fldCharType="begin"/>
      </w:r>
      <w:r>
        <w:instrText xml:space="preserve"> SEQ Table \* ARABIC </w:instrText>
      </w:r>
      <w:r>
        <w:fldChar w:fldCharType="separate"/>
      </w:r>
      <w:r w:rsidR="00392423">
        <w:rPr>
          <w:noProof/>
        </w:rPr>
        <w:t>21</w:t>
      </w:r>
      <w:r>
        <w:fldChar w:fldCharType="end"/>
      </w:r>
      <w:bookmarkEnd w:id="55"/>
      <w:r w:rsidR="00CC40F2">
        <w:t xml:space="preserve">: </w:t>
      </w:r>
      <w:r w:rsidR="0008002E" w:rsidRPr="00EE0EEB">
        <w:t>Health care resource items: disaggregated summary of cost and outcome impacts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1: Health care resource items: disaggregated summary of cost and outcome impacts"/>
      </w:tblPr>
      <w:tblGrid>
        <w:gridCol w:w="890"/>
        <w:gridCol w:w="1232"/>
        <w:gridCol w:w="1401"/>
        <w:gridCol w:w="2022"/>
        <w:gridCol w:w="2523"/>
        <w:gridCol w:w="1283"/>
      </w:tblGrid>
      <w:tr w:rsidR="0008002E" w:rsidRPr="00EE0EEB" w14:paraId="0A73CBE9" w14:textId="77777777" w:rsidTr="00E81465">
        <w:trPr>
          <w:tblHeader/>
        </w:trPr>
        <w:tc>
          <w:tcPr>
            <w:tcW w:w="2122" w:type="dxa"/>
            <w:gridSpan w:val="2"/>
            <w:vAlign w:val="center"/>
          </w:tcPr>
          <w:p w14:paraId="6F29C2EA"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 xml:space="preserve">Resource item/ </w:t>
            </w:r>
          </w:p>
          <w:p w14:paraId="30278F68"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Health state</w:t>
            </w:r>
          </w:p>
        </w:tc>
        <w:tc>
          <w:tcPr>
            <w:tcW w:w="1401" w:type="dxa"/>
            <w:vAlign w:val="center"/>
          </w:tcPr>
          <w:p w14:paraId="78B5611E"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Donanemab</w:t>
            </w:r>
          </w:p>
        </w:tc>
        <w:tc>
          <w:tcPr>
            <w:tcW w:w="2022" w:type="dxa"/>
            <w:vAlign w:val="center"/>
          </w:tcPr>
          <w:p w14:paraId="615BC205"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SOC</w:t>
            </w:r>
          </w:p>
        </w:tc>
        <w:tc>
          <w:tcPr>
            <w:tcW w:w="2523" w:type="dxa"/>
            <w:vAlign w:val="center"/>
          </w:tcPr>
          <w:p w14:paraId="182F190E"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Incremental cost/outcome</w:t>
            </w:r>
          </w:p>
        </w:tc>
        <w:tc>
          <w:tcPr>
            <w:tcW w:w="1283" w:type="dxa"/>
            <w:vAlign w:val="center"/>
          </w:tcPr>
          <w:p w14:paraId="61E0DC64"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 of total incremental cost/outcome</w:t>
            </w:r>
          </w:p>
        </w:tc>
      </w:tr>
      <w:tr w:rsidR="0008002E" w:rsidRPr="00EE0EEB" w14:paraId="35E8856C" w14:textId="77777777" w:rsidTr="00E81465">
        <w:tc>
          <w:tcPr>
            <w:tcW w:w="9351" w:type="dxa"/>
            <w:gridSpan w:val="6"/>
            <w:vAlign w:val="center"/>
          </w:tcPr>
          <w:p w14:paraId="17626C7C" w14:textId="77777777" w:rsidR="0008002E" w:rsidRPr="00EE0EEB" w:rsidRDefault="0008002E" w:rsidP="00E81465">
            <w:pPr>
              <w:keepNext/>
              <w:spacing w:before="0" w:after="0"/>
              <w:jc w:val="left"/>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Donanemab treatment costs (discounted)</w:t>
            </w:r>
          </w:p>
        </w:tc>
      </w:tr>
      <w:tr w:rsidR="0008002E" w:rsidRPr="00EE0EEB" w14:paraId="41CBDB2F" w14:textId="77777777" w:rsidTr="00E81465">
        <w:tc>
          <w:tcPr>
            <w:tcW w:w="2122" w:type="dxa"/>
            <w:gridSpan w:val="2"/>
            <w:vAlign w:val="center"/>
          </w:tcPr>
          <w:p w14:paraId="345358CD"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 xml:space="preserve">Diagnostic costs </w:t>
            </w:r>
          </w:p>
        </w:tc>
        <w:tc>
          <w:tcPr>
            <w:tcW w:w="1401" w:type="dxa"/>
          </w:tcPr>
          <w:p w14:paraId="7C827EC5" w14:textId="74F68B3C" w:rsidR="0008002E" w:rsidRPr="006B414C" w:rsidRDefault="0008002E" w:rsidP="00E81465">
            <w:pPr>
              <w:pStyle w:val="TableText"/>
              <w:jc w:val="center"/>
              <w:rPr>
                <w:lang w:eastAsia="en-AU"/>
              </w:rPr>
            </w:pPr>
            <w:r w:rsidRPr="006B414C">
              <w:t>$2,130</w:t>
            </w:r>
          </w:p>
        </w:tc>
        <w:tc>
          <w:tcPr>
            <w:tcW w:w="2022" w:type="dxa"/>
          </w:tcPr>
          <w:p w14:paraId="354644A7" w14:textId="77777777" w:rsidR="0008002E" w:rsidRPr="006B414C" w:rsidRDefault="0008002E" w:rsidP="00E81465">
            <w:pPr>
              <w:pStyle w:val="TableText"/>
              <w:jc w:val="center"/>
              <w:rPr>
                <w:lang w:eastAsia="en-AU"/>
              </w:rPr>
            </w:pPr>
            <w:r w:rsidRPr="006B414C">
              <w:t>$0</w:t>
            </w:r>
          </w:p>
        </w:tc>
        <w:tc>
          <w:tcPr>
            <w:tcW w:w="2523" w:type="dxa"/>
            <w:vAlign w:val="center"/>
          </w:tcPr>
          <w:p w14:paraId="63C48286" w14:textId="0FDCB3F2" w:rsidR="0008002E" w:rsidRPr="006B414C" w:rsidRDefault="0008002E" w:rsidP="00E81465">
            <w:pPr>
              <w:pStyle w:val="TableText"/>
              <w:jc w:val="center"/>
              <w:rPr>
                <w:vertAlign w:val="superscript"/>
                <w:lang w:eastAsia="en-AU"/>
              </w:rPr>
            </w:pPr>
            <w:r w:rsidRPr="006B414C" w:rsidDel="00C2322D">
              <w:t>$2,130</w:t>
            </w:r>
          </w:p>
        </w:tc>
        <w:tc>
          <w:tcPr>
            <w:tcW w:w="1283" w:type="dxa"/>
            <w:vAlign w:val="center"/>
          </w:tcPr>
          <w:p w14:paraId="04D02FF1" w14:textId="0E410B13" w:rsidR="0008002E" w:rsidRPr="007F4B61" w:rsidRDefault="00CD4EA9" w:rsidP="00E81465">
            <w:pPr>
              <w:pStyle w:val="TableText"/>
              <w:jc w:val="center"/>
              <w:rPr>
                <w:lang w:eastAsia="en-AU"/>
              </w:rPr>
            </w:pPr>
            <w:r w:rsidRPr="00CD4EA9">
              <w:rPr>
                <w:color w:val="000000"/>
                <w:spacing w:val="51"/>
                <w:shd w:val="solid" w:color="000000" w:fill="000000"/>
                <w:fitText w:val="324" w:id="-632121340"/>
                <w14:textFill>
                  <w14:solidFill>
                    <w14:srgbClr w14:val="000000">
                      <w14:alpha w14:val="100000"/>
                    </w14:srgbClr>
                  </w14:solidFill>
                </w14:textFill>
              </w:rPr>
              <w:t>|||</w:t>
            </w:r>
            <w:r w:rsidRPr="00CD4EA9">
              <w:rPr>
                <w:color w:val="000000"/>
                <w:spacing w:val="1"/>
                <w:shd w:val="solid" w:color="000000" w:fill="000000"/>
                <w:fitText w:val="324" w:id="-632121340"/>
                <w14:textFill>
                  <w14:solidFill>
                    <w14:srgbClr w14:val="000000">
                      <w14:alpha w14:val="100000"/>
                    </w14:srgbClr>
                  </w14:solidFill>
                </w14:textFill>
              </w:rPr>
              <w:t>|</w:t>
            </w:r>
            <w:r w:rsidR="0008002E" w:rsidRPr="007F4B61" w:rsidDel="00C2322D">
              <w:t>%</w:t>
            </w:r>
          </w:p>
        </w:tc>
      </w:tr>
      <w:tr w:rsidR="0008002E" w:rsidRPr="00EE0EEB" w14:paraId="6EA13EA2" w14:textId="77777777" w:rsidTr="00E81465">
        <w:tc>
          <w:tcPr>
            <w:tcW w:w="2122" w:type="dxa"/>
            <w:gridSpan w:val="2"/>
            <w:vAlign w:val="center"/>
          </w:tcPr>
          <w:p w14:paraId="44A4817A"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Acquisition</w:t>
            </w:r>
          </w:p>
        </w:tc>
        <w:tc>
          <w:tcPr>
            <w:tcW w:w="1401" w:type="dxa"/>
          </w:tcPr>
          <w:p w14:paraId="7607F245" w14:textId="04A5AF45" w:rsidR="0008002E" w:rsidRPr="006B414C" w:rsidRDefault="0008002E" w:rsidP="00E81465">
            <w:pPr>
              <w:pStyle w:val="TableText"/>
              <w:jc w:val="center"/>
              <w:rPr>
                <w:vertAlign w:val="superscript"/>
                <w:lang w:eastAsia="en-AU"/>
              </w:rPr>
            </w:pPr>
            <w:r w:rsidRPr="006B414C">
              <w:t>$</w:t>
            </w:r>
            <w:r w:rsidR="00CD4EA9" w:rsidRPr="00CD4EA9">
              <w:rPr>
                <w:color w:val="000000"/>
                <w:spacing w:val="62"/>
                <w:w w:val="84"/>
                <w:shd w:val="solid" w:color="000000" w:fill="000000"/>
                <w:fitText w:val="330" w:id="-632121339"/>
                <w14:textFill>
                  <w14:solidFill>
                    <w14:srgbClr w14:val="000000">
                      <w14:alpha w14:val="100000"/>
                    </w14:srgbClr>
                  </w14:solidFill>
                </w14:textFill>
              </w:rPr>
              <w:t>|||</w:t>
            </w:r>
            <w:r w:rsidR="00CD4EA9" w:rsidRPr="00CD4EA9">
              <w:rPr>
                <w:color w:val="000000"/>
                <w:spacing w:val="2"/>
                <w:w w:val="84"/>
                <w:shd w:val="solid" w:color="000000" w:fill="000000"/>
                <w:fitText w:val="330" w:id="-632121339"/>
                <w14:textFill>
                  <w14:solidFill>
                    <w14:srgbClr w14:val="000000">
                      <w14:alpha w14:val="100000"/>
                    </w14:srgbClr>
                  </w14:solidFill>
                </w14:textFill>
              </w:rPr>
              <w:t>|</w:t>
            </w:r>
          </w:p>
        </w:tc>
        <w:tc>
          <w:tcPr>
            <w:tcW w:w="2022" w:type="dxa"/>
          </w:tcPr>
          <w:p w14:paraId="29E62FD0" w14:textId="77777777" w:rsidR="0008002E" w:rsidRPr="006B414C" w:rsidRDefault="0008002E" w:rsidP="00E81465">
            <w:pPr>
              <w:pStyle w:val="TableText"/>
              <w:jc w:val="center"/>
              <w:rPr>
                <w:lang w:eastAsia="en-AU"/>
              </w:rPr>
            </w:pPr>
            <w:r w:rsidRPr="006B414C">
              <w:t>$0</w:t>
            </w:r>
          </w:p>
        </w:tc>
        <w:tc>
          <w:tcPr>
            <w:tcW w:w="2523" w:type="dxa"/>
            <w:vAlign w:val="center"/>
          </w:tcPr>
          <w:p w14:paraId="7EC50404" w14:textId="70FD6D87" w:rsidR="0008002E" w:rsidRPr="006B414C" w:rsidRDefault="0008002E" w:rsidP="00E81465">
            <w:pPr>
              <w:pStyle w:val="TableText"/>
              <w:jc w:val="center"/>
              <w:rPr>
                <w:vertAlign w:val="superscript"/>
                <w:lang w:eastAsia="en-AU"/>
              </w:rPr>
            </w:pPr>
            <w:r w:rsidRPr="006B414C">
              <w:t>$</w:t>
            </w:r>
            <w:r w:rsidR="00CD4EA9" w:rsidRPr="00CD4EA9">
              <w:rPr>
                <w:color w:val="000000"/>
                <w:spacing w:val="60"/>
                <w:w w:val="84"/>
                <w:shd w:val="solid" w:color="000000" w:fill="000000"/>
                <w:fitText w:val="324" w:id="-632121338"/>
                <w14:textFill>
                  <w14:solidFill>
                    <w14:srgbClr w14:val="000000">
                      <w14:alpha w14:val="100000"/>
                    </w14:srgbClr>
                  </w14:solidFill>
                </w14:textFill>
              </w:rPr>
              <w:t>|||</w:t>
            </w:r>
            <w:r w:rsidR="00CD4EA9" w:rsidRPr="00CD4EA9">
              <w:rPr>
                <w:color w:val="000000"/>
                <w:spacing w:val="2"/>
                <w:w w:val="84"/>
                <w:shd w:val="solid" w:color="000000" w:fill="000000"/>
                <w:fitText w:val="324" w:id="-632121338"/>
                <w14:textFill>
                  <w14:solidFill>
                    <w14:srgbClr w14:val="000000">
                      <w14:alpha w14:val="100000"/>
                    </w14:srgbClr>
                  </w14:solidFill>
                </w14:textFill>
              </w:rPr>
              <w:t>|</w:t>
            </w:r>
          </w:p>
        </w:tc>
        <w:tc>
          <w:tcPr>
            <w:tcW w:w="1283" w:type="dxa"/>
            <w:vAlign w:val="center"/>
          </w:tcPr>
          <w:p w14:paraId="67381C44" w14:textId="38C8F72F" w:rsidR="0008002E" w:rsidRPr="007F4B61" w:rsidRDefault="00CD4EA9" w:rsidP="00E81465">
            <w:pPr>
              <w:pStyle w:val="TableText"/>
              <w:jc w:val="center"/>
              <w:rPr>
                <w:lang w:eastAsia="en-AU"/>
              </w:rPr>
            </w:pPr>
            <w:r w:rsidRPr="00CD4EA9">
              <w:rPr>
                <w:color w:val="000000"/>
                <w:spacing w:val="51"/>
                <w:shd w:val="solid" w:color="000000" w:fill="000000"/>
                <w:fitText w:val="324" w:id="-632121337"/>
                <w14:textFill>
                  <w14:solidFill>
                    <w14:srgbClr w14:val="000000">
                      <w14:alpha w14:val="100000"/>
                    </w14:srgbClr>
                  </w14:solidFill>
                </w14:textFill>
              </w:rPr>
              <w:t>|||</w:t>
            </w:r>
            <w:r w:rsidRPr="00CD4EA9">
              <w:rPr>
                <w:color w:val="000000"/>
                <w:spacing w:val="1"/>
                <w:shd w:val="solid" w:color="000000" w:fill="000000"/>
                <w:fitText w:val="324" w:id="-632121337"/>
                <w14:textFill>
                  <w14:solidFill>
                    <w14:srgbClr w14:val="000000">
                      <w14:alpha w14:val="100000"/>
                    </w14:srgbClr>
                  </w14:solidFill>
                </w14:textFill>
              </w:rPr>
              <w:t>|</w:t>
            </w:r>
            <w:r w:rsidR="0008002E" w:rsidRPr="007F4B61">
              <w:t>%</w:t>
            </w:r>
          </w:p>
        </w:tc>
      </w:tr>
      <w:tr w:rsidR="0008002E" w:rsidRPr="00EE0EEB" w14:paraId="0A1C0B3E" w14:textId="77777777" w:rsidTr="00E81465">
        <w:tc>
          <w:tcPr>
            <w:tcW w:w="2122" w:type="dxa"/>
            <w:gridSpan w:val="2"/>
            <w:vAlign w:val="center"/>
          </w:tcPr>
          <w:p w14:paraId="3AECB634"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Administration</w:t>
            </w:r>
          </w:p>
        </w:tc>
        <w:tc>
          <w:tcPr>
            <w:tcW w:w="1401" w:type="dxa"/>
          </w:tcPr>
          <w:p w14:paraId="2616AB5B" w14:textId="02068D80" w:rsidR="0008002E" w:rsidRPr="006B414C" w:rsidRDefault="0008002E" w:rsidP="00E81465">
            <w:pPr>
              <w:pStyle w:val="TableText"/>
              <w:jc w:val="center"/>
              <w:rPr>
                <w:vertAlign w:val="superscript"/>
                <w:lang w:eastAsia="en-AU"/>
              </w:rPr>
            </w:pPr>
            <w:r w:rsidRPr="006B414C">
              <w:t>$1,274</w:t>
            </w:r>
          </w:p>
        </w:tc>
        <w:tc>
          <w:tcPr>
            <w:tcW w:w="2022" w:type="dxa"/>
          </w:tcPr>
          <w:p w14:paraId="4EB879F4" w14:textId="77777777" w:rsidR="0008002E" w:rsidRPr="006B414C" w:rsidRDefault="0008002E" w:rsidP="00E81465">
            <w:pPr>
              <w:pStyle w:val="TableText"/>
              <w:jc w:val="center"/>
              <w:rPr>
                <w:lang w:eastAsia="en-AU"/>
              </w:rPr>
            </w:pPr>
            <w:r w:rsidRPr="006B414C">
              <w:t>$0</w:t>
            </w:r>
          </w:p>
        </w:tc>
        <w:tc>
          <w:tcPr>
            <w:tcW w:w="2523" w:type="dxa"/>
            <w:vAlign w:val="center"/>
          </w:tcPr>
          <w:p w14:paraId="162B72D0" w14:textId="3471B7CF" w:rsidR="0008002E" w:rsidRPr="006B414C" w:rsidRDefault="0008002E" w:rsidP="00E81465">
            <w:pPr>
              <w:pStyle w:val="TableText"/>
              <w:jc w:val="center"/>
              <w:rPr>
                <w:vertAlign w:val="superscript"/>
                <w:lang w:eastAsia="en-AU"/>
              </w:rPr>
            </w:pPr>
            <w:r w:rsidRPr="006B414C">
              <w:t>$1,274</w:t>
            </w:r>
          </w:p>
        </w:tc>
        <w:tc>
          <w:tcPr>
            <w:tcW w:w="1283" w:type="dxa"/>
            <w:vAlign w:val="center"/>
          </w:tcPr>
          <w:p w14:paraId="1BE061FE" w14:textId="3F931562" w:rsidR="0008002E" w:rsidRPr="007F4B61" w:rsidRDefault="00CD4EA9" w:rsidP="00E81465">
            <w:pPr>
              <w:pStyle w:val="TableText"/>
              <w:jc w:val="center"/>
              <w:rPr>
                <w:lang w:eastAsia="en-AU"/>
              </w:rPr>
            </w:pPr>
            <w:r w:rsidRPr="00CD4EA9">
              <w:rPr>
                <w:color w:val="000000"/>
                <w:spacing w:val="51"/>
                <w:shd w:val="solid" w:color="000000" w:fill="000000"/>
                <w:fitText w:val="324" w:id="-632121336"/>
                <w14:textFill>
                  <w14:solidFill>
                    <w14:srgbClr w14:val="000000">
                      <w14:alpha w14:val="100000"/>
                    </w14:srgbClr>
                  </w14:solidFill>
                </w14:textFill>
              </w:rPr>
              <w:t>|||</w:t>
            </w:r>
            <w:r w:rsidRPr="00CD4EA9">
              <w:rPr>
                <w:color w:val="000000"/>
                <w:spacing w:val="1"/>
                <w:shd w:val="solid" w:color="000000" w:fill="000000"/>
                <w:fitText w:val="324" w:id="-632121336"/>
                <w14:textFill>
                  <w14:solidFill>
                    <w14:srgbClr w14:val="000000">
                      <w14:alpha w14:val="100000"/>
                    </w14:srgbClr>
                  </w14:solidFill>
                </w14:textFill>
              </w:rPr>
              <w:t>|</w:t>
            </w:r>
            <w:r w:rsidR="0008002E" w:rsidRPr="007F4B61">
              <w:t>%</w:t>
            </w:r>
          </w:p>
        </w:tc>
      </w:tr>
      <w:tr w:rsidR="0008002E" w:rsidRPr="00EE0EEB" w14:paraId="1F9080D3" w14:textId="77777777" w:rsidTr="00E81465">
        <w:tc>
          <w:tcPr>
            <w:tcW w:w="2122" w:type="dxa"/>
            <w:gridSpan w:val="2"/>
            <w:vAlign w:val="center"/>
          </w:tcPr>
          <w:p w14:paraId="70E80550"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Monitoring</w:t>
            </w:r>
          </w:p>
        </w:tc>
        <w:tc>
          <w:tcPr>
            <w:tcW w:w="1401" w:type="dxa"/>
          </w:tcPr>
          <w:p w14:paraId="1020CC52" w14:textId="5DC3843A" w:rsidR="0008002E" w:rsidRPr="006B414C" w:rsidRDefault="0008002E" w:rsidP="00E81465">
            <w:pPr>
              <w:pStyle w:val="TableText"/>
              <w:jc w:val="center"/>
              <w:rPr>
                <w:vertAlign w:val="superscript"/>
                <w:lang w:eastAsia="en-AU"/>
              </w:rPr>
            </w:pPr>
            <w:r w:rsidRPr="006B414C">
              <w:t>$3,151</w:t>
            </w:r>
          </w:p>
        </w:tc>
        <w:tc>
          <w:tcPr>
            <w:tcW w:w="2022" w:type="dxa"/>
          </w:tcPr>
          <w:p w14:paraId="554B1BD0" w14:textId="77777777" w:rsidR="0008002E" w:rsidRPr="006B414C" w:rsidRDefault="0008002E" w:rsidP="00E81465">
            <w:pPr>
              <w:pStyle w:val="TableText"/>
              <w:jc w:val="center"/>
              <w:rPr>
                <w:lang w:eastAsia="en-AU"/>
              </w:rPr>
            </w:pPr>
            <w:r w:rsidRPr="006B414C">
              <w:t>$0</w:t>
            </w:r>
          </w:p>
        </w:tc>
        <w:tc>
          <w:tcPr>
            <w:tcW w:w="2523" w:type="dxa"/>
            <w:vAlign w:val="center"/>
          </w:tcPr>
          <w:p w14:paraId="3D76D2FA" w14:textId="09A5498F" w:rsidR="0008002E" w:rsidRPr="006B414C" w:rsidRDefault="0008002E" w:rsidP="00E81465">
            <w:pPr>
              <w:pStyle w:val="TableText"/>
              <w:jc w:val="center"/>
              <w:rPr>
                <w:vertAlign w:val="superscript"/>
                <w:lang w:eastAsia="en-AU"/>
              </w:rPr>
            </w:pPr>
            <w:r w:rsidRPr="006B414C">
              <w:t>$3,151</w:t>
            </w:r>
          </w:p>
        </w:tc>
        <w:tc>
          <w:tcPr>
            <w:tcW w:w="1283" w:type="dxa"/>
            <w:vAlign w:val="center"/>
          </w:tcPr>
          <w:p w14:paraId="1288A78D" w14:textId="1C220ABC" w:rsidR="0008002E" w:rsidRPr="007F4B61" w:rsidRDefault="00CD4EA9" w:rsidP="00E81465">
            <w:pPr>
              <w:pStyle w:val="TableText"/>
              <w:jc w:val="center"/>
              <w:rPr>
                <w:lang w:eastAsia="en-AU"/>
              </w:rPr>
            </w:pPr>
            <w:r w:rsidRPr="00CD4EA9">
              <w:rPr>
                <w:color w:val="000000"/>
                <w:spacing w:val="51"/>
                <w:shd w:val="solid" w:color="000000" w:fill="000000"/>
                <w:fitText w:val="324" w:id="-632121335"/>
                <w14:textFill>
                  <w14:solidFill>
                    <w14:srgbClr w14:val="000000">
                      <w14:alpha w14:val="100000"/>
                    </w14:srgbClr>
                  </w14:solidFill>
                </w14:textFill>
              </w:rPr>
              <w:t>|||</w:t>
            </w:r>
            <w:r w:rsidRPr="00CD4EA9">
              <w:rPr>
                <w:color w:val="000000"/>
                <w:spacing w:val="1"/>
                <w:shd w:val="solid" w:color="000000" w:fill="000000"/>
                <w:fitText w:val="324" w:id="-632121335"/>
                <w14:textFill>
                  <w14:solidFill>
                    <w14:srgbClr w14:val="000000">
                      <w14:alpha w14:val="100000"/>
                    </w14:srgbClr>
                  </w14:solidFill>
                </w14:textFill>
              </w:rPr>
              <w:t>|</w:t>
            </w:r>
            <w:r w:rsidR="0008002E" w:rsidRPr="007F4B61">
              <w:t>%</w:t>
            </w:r>
          </w:p>
        </w:tc>
      </w:tr>
      <w:tr w:rsidR="0008002E" w:rsidRPr="00EE0EEB" w14:paraId="5AE7330B" w14:textId="77777777" w:rsidTr="00E81465">
        <w:tc>
          <w:tcPr>
            <w:tcW w:w="2122" w:type="dxa"/>
            <w:gridSpan w:val="2"/>
            <w:vAlign w:val="center"/>
          </w:tcPr>
          <w:p w14:paraId="05AAE5C3"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w:t>
            </w:r>
          </w:p>
        </w:tc>
        <w:tc>
          <w:tcPr>
            <w:tcW w:w="1401" w:type="dxa"/>
          </w:tcPr>
          <w:p w14:paraId="083D2BC8" w14:textId="42C53D9F" w:rsidR="0008002E" w:rsidRPr="006B414C" w:rsidRDefault="0008002E" w:rsidP="00E81465">
            <w:pPr>
              <w:pStyle w:val="TableText"/>
              <w:jc w:val="center"/>
              <w:rPr>
                <w:vertAlign w:val="superscript"/>
                <w:lang w:eastAsia="en-AU"/>
              </w:rPr>
            </w:pPr>
            <w:r w:rsidRPr="006B414C">
              <w:t>$</w:t>
            </w:r>
            <w:r w:rsidR="00CD4EA9" w:rsidRPr="00CD4EA9">
              <w:rPr>
                <w:color w:val="000000"/>
                <w:spacing w:val="62"/>
                <w:w w:val="84"/>
                <w:shd w:val="solid" w:color="000000" w:fill="000000"/>
                <w:fitText w:val="330" w:id="-632121334"/>
                <w14:textFill>
                  <w14:solidFill>
                    <w14:srgbClr w14:val="000000">
                      <w14:alpha w14:val="100000"/>
                    </w14:srgbClr>
                  </w14:solidFill>
                </w14:textFill>
              </w:rPr>
              <w:t>|||</w:t>
            </w:r>
            <w:r w:rsidR="00CD4EA9" w:rsidRPr="00CD4EA9">
              <w:rPr>
                <w:color w:val="000000"/>
                <w:spacing w:val="2"/>
                <w:w w:val="84"/>
                <w:shd w:val="solid" w:color="000000" w:fill="000000"/>
                <w:fitText w:val="330" w:id="-632121334"/>
                <w14:textFill>
                  <w14:solidFill>
                    <w14:srgbClr w14:val="000000">
                      <w14:alpha w14:val="100000"/>
                    </w14:srgbClr>
                  </w14:solidFill>
                </w14:textFill>
              </w:rPr>
              <w:t>|</w:t>
            </w:r>
          </w:p>
        </w:tc>
        <w:tc>
          <w:tcPr>
            <w:tcW w:w="2022" w:type="dxa"/>
          </w:tcPr>
          <w:p w14:paraId="2DC54524" w14:textId="77777777" w:rsidR="0008002E" w:rsidRPr="006B414C" w:rsidRDefault="0008002E" w:rsidP="00E81465">
            <w:pPr>
              <w:pStyle w:val="TableText"/>
              <w:jc w:val="center"/>
              <w:rPr>
                <w:lang w:eastAsia="en-AU"/>
              </w:rPr>
            </w:pPr>
            <w:r w:rsidRPr="006B414C">
              <w:t>$0</w:t>
            </w:r>
          </w:p>
        </w:tc>
        <w:tc>
          <w:tcPr>
            <w:tcW w:w="2523" w:type="dxa"/>
            <w:vAlign w:val="center"/>
          </w:tcPr>
          <w:p w14:paraId="03FA3360" w14:textId="75FCA5A3" w:rsidR="0008002E" w:rsidRPr="006B414C" w:rsidRDefault="0008002E" w:rsidP="00E81465">
            <w:pPr>
              <w:pStyle w:val="TableText"/>
              <w:jc w:val="center"/>
              <w:rPr>
                <w:vertAlign w:val="superscript"/>
                <w:lang w:eastAsia="en-AU"/>
              </w:rPr>
            </w:pPr>
            <w:r w:rsidRPr="006B414C">
              <w:t>$</w:t>
            </w:r>
            <w:r w:rsidR="00CD4EA9" w:rsidRPr="00CD4EA9">
              <w:rPr>
                <w:color w:val="000000"/>
                <w:spacing w:val="60"/>
                <w:w w:val="84"/>
                <w:shd w:val="solid" w:color="000000" w:fill="000000"/>
                <w:fitText w:val="324" w:id="-632121333"/>
                <w14:textFill>
                  <w14:solidFill>
                    <w14:srgbClr w14:val="000000">
                      <w14:alpha w14:val="100000"/>
                    </w14:srgbClr>
                  </w14:solidFill>
                </w14:textFill>
              </w:rPr>
              <w:t>|||</w:t>
            </w:r>
            <w:r w:rsidR="00CD4EA9" w:rsidRPr="00CD4EA9">
              <w:rPr>
                <w:color w:val="000000"/>
                <w:spacing w:val="2"/>
                <w:w w:val="84"/>
                <w:shd w:val="solid" w:color="000000" w:fill="000000"/>
                <w:fitText w:val="324" w:id="-632121333"/>
                <w14:textFill>
                  <w14:solidFill>
                    <w14:srgbClr w14:val="000000">
                      <w14:alpha w14:val="100000"/>
                    </w14:srgbClr>
                  </w14:solidFill>
                </w14:textFill>
              </w:rPr>
              <w:t>|</w:t>
            </w:r>
          </w:p>
        </w:tc>
        <w:tc>
          <w:tcPr>
            <w:tcW w:w="1283" w:type="dxa"/>
            <w:vAlign w:val="center"/>
          </w:tcPr>
          <w:p w14:paraId="30918D51" w14:textId="3989AC02" w:rsidR="0008002E" w:rsidRPr="007F4B61" w:rsidRDefault="00CD4EA9" w:rsidP="00E81465">
            <w:pPr>
              <w:pStyle w:val="TableText"/>
              <w:jc w:val="center"/>
              <w:rPr>
                <w:lang w:eastAsia="en-AU"/>
              </w:rPr>
            </w:pPr>
            <w:r w:rsidRPr="00CD4EA9">
              <w:rPr>
                <w:color w:val="000000"/>
                <w:spacing w:val="51"/>
                <w:shd w:val="solid" w:color="000000" w:fill="000000"/>
                <w:fitText w:val="324" w:id="-632121332"/>
                <w14:textFill>
                  <w14:solidFill>
                    <w14:srgbClr w14:val="000000">
                      <w14:alpha w14:val="100000"/>
                    </w14:srgbClr>
                  </w14:solidFill>
                </w14:textFill>
              </w:rPr>
              <w:t>|||</w:t>
            </w:r>
            <w:r w:rsidRPr="00CD4EA9">
              <w:rPr>
                <w:color w:val="000000"/>
                <w:spacing w:val="1"/>
                <w:shd w:val="solid" w:color="000000" w:fill="000000"/>
                <w:fitText w:val="324" w:id="-632121332"/>
                <w14:textFill>
                  <w14:solidFill>
                    <w14:srgbClr w14:val="000000">
                      <w14:alpha w14:val="100000"/>
                    </w14:srgbClr>
                  </w14:solidFill>
                </w14:textFill>
              </w:rPr>
              <w:t>|</w:t>
            </w:r>
            <w:r w:rsidR="0008002E" w:rsidRPr="007F4B61">
              <w:t>%</w:t>
            </w:r>
          </w:p>
        </w:tc>
      </w:tr>
      <w:tr w:rsidR="0008002E" w:rsidRPr="00EE0EEB" w14:paraId="335692F8" w14:textId="77777777" w:rsidTr="00E81465">
        <w:tc>
          <w:tcPr>
            <w:tcW w:w="9351" w:type="dxa"/>
            <w:gridSpan w:val="6"/>
            <w:vAlign w:val="center"/>
          </w:tcPr>
          <w:p w14:paraId="729E05EF" w14:textId="77777777" w:rsidR="0008002E" w:rsidRPr="00EE0EEB" w:rsidRDefault="0008002E" w:rsidP="00E81465">
            <w:pPr>
              <w:keepNext/>
              <w:spacing w:before="0" w:after="0"/>
              <w:jc w:val="left"/>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Disease management costs (discounted)</w:t>
            </w:r>
          </w:p>
        </w:tc>
      </w:tr>
      <w:tr w:rsidR="0008002E" w:rsidRPr="00EE0EEB" w14:paraId="421331B2" w14:textId="77777777" w:rsidTr="00E81465">
        <w:tc>
          <w:tcPr>
            <w:tcW w:w="2122" w:type="dxa"/>
            <w:gridSpan w:val="2"/>
            <w:vAlign w:val="center"/>
          </w:tcPr>
          <w:p w14:paraId="1B50F25D"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Symptomatic medication</w:t>
            </w:r>
          </w:p>
        </w:tc>
        <w:tc>
          <w:tcPr>
            <w:tcW w:w="1401" w:type="dxa"/>
          </w:tcPr>
          <w:p w14:paraId="0B6E8B17" w14:textId="6BFF73F3" w:rsidR="0008002E" w:rsidRPr="00D33CB9" w:rsidRDefault="0008002E" w:rsidP="00E81465">
            <w:pPr>
              <w:pStyle w:val="TableText"/>
              <w:jc w:val="center"/>
              <w:rPr>
                <w:vertAlign w:val="superscript"/>
              </w:rPr>
            </w:pPr>
            <w:r w:rsidRPr="00D33CB9">
              <w:t>$1,423</w:t>
            </w:r>
          </w:p>
        </w:tc>
        <w:tc>
          <w:tcPr>
            <w:tcW w:w="2022" w:type="dxa"/>
          </w:tcPr>
          <w:p w14:paraId="2ADAB8C4" w14:textId="77777777" w:rsidR="0008002E" w:rsidRPr="00930320" w:rsidRDefault="0008002E" w:rsidP="00E81465">
            <w:pPr>
              <w:pStyle w:val="TableText"/>
              <w:jc w:val="center"/>
            </w:pPr>
            <w:r w:rsidRPr="00930320">
              <w:t>$1,408</w:t>
            </w:r>
          </w:p>
        </w:tc>
        <w:tc>
          <w:tcPr>
            <w:tcW w:w="2523" w:type="dxa"/>
          </w:tcPr>
          <w:p w14:paraId="23EEEEA7" w14:textId="66482E79" w:rsidR="0008002E" w:rsidRPr="00D33CB9" w:rsidRDefault="0008002E" w:rsidP="00E81465">
            <w:pPr>
              <w:pStyle w:val="TableText"/>
              <w:jc w:val="center"/>
              <w:rPr>
                <w:vertAlign w:val="superscript"/>
              </w:rPr>
            </w:pPr>
            <w:r w:rsidRPr="00D33CB9">
              <w:t>$15</w:t>
            </w:r>
          </w:p>
        </w:tc>
        <w:tc>
          <w:tcPr>
            <w:tcW w:w="1283" w:type="dxa"/>
          </w:tcPr>
          <w:p w14:paraId="20464008" w14:textId="77777777" w:rsidR="0008002E" w:rsidRPr="00D33CB9" w:rsidRDefault="0008002E" w:rsidP="00E81465">
            <w:pPr>
              <w:pStyle w:val="TableText"/>
              <w:jc w:val="center"/>
            </w:pPr>
            <w:r w:rsidRPr="00D33CB9">
              <w:t>0%</w:t>
            </w:r>
          </w:p>
        </w:tc>
      </w:tr>
      <w:tr w:rsidR="0008002E" w:rsidRPr="00EE0EEB" w14:paraId="3F4F2908" w14:textId="77777777" w:rsidTr="00E81465">
        <w:tc>
          <w:tcPr>
            <w:tcW w:w="2122" w:type="dxa"/>
            <w:gridSpan w:val="2"/>
            <w:vAlign w:val="center"/>
          </w:tcPr>
          <w:p w14:paraId="75665BBE"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Disease management</w:t>
            </w:r>
          </w:p>
        </w:tc>
        <w:tc>
          <w:tcPr>
            <w:tcW w:w="1401" w:type="dxa"/>
          </w:tcPr>
          <w:p w14:paraId="72DA7F4E" w14:textId="7DF45F4B" w:rsidR="0008002E" w:rsidRPr="00D33CB9" w:rsidRDefault="0008002E" w:rsidP="00E81465">
            <w:pPr>
              <w:pStyle w:val="TableText"/>
              <w:jc w:val="center"/>
              <w:rPr>
                <w:vertAlign w:val="superscript"/>
              </w:rPr>
            </w:pPr>
            <w:r w:rsidRPr="00D33CB9">
              <w:t>$37,672</w:t>
            </w:r>
          </w:p>
        </w:tc>
        <w:tc>
          <w:tcPr>
            <w:tcW w:w="2022" w:type="dxa"/>
          </w:tcPr>
          <w:p w14:paraId="4352DA22" w14:textId="77777777" w:rsidR="0008002E" w:rsidRPr="00930320" w:rsidRDefault="0008002E" w:rsidP="00E81465">
            <w:pPr>
              <w:pStyle w:val="TableText"/>
              <w:jc w:val="center"/>
            </w:pPr>
            <w:r w:rsidRPr="00930320">
              <w:t>$39,142</w:t>
            </w:r>
          </w:p>
        </w:tc>
        <w:tc>
          <w:tcPr>
            <w:tcW w:w="2523" w:type="dxa"/>
          </w:tcPr>
          <w:p w14:paraId="5C871B7F" w14:textId="7F21ADC9" w:rsidR="0008002E" w:rsidRPr="00D33CB9" w:rsidRDefault="0008002E" w:rsidP="00E81465">
            <w:pPr>
              <w:pStyle w:val="TableText"/>
              <w:jc w:val="center"/>
              <w:rPr>
                <w:vertAlign w:val="superscript"/>
              </w:rPr>
            </w:pPr>
            <w:r w:rsidRPr="00D33CB9">
              <w:t>-$1,471</w:t>
            </w:r>
          </w:p>
        </w:tc>
        <w:tc>
          <w:tcPr>
            <w:tcW w:w="1283" w:type="dxa"/>
          </w:tcPr>
          <w:p w14:paraId="4636CC79" w14:textId="77777777" w:rsidR="0008002E" w:rsidRPr="00D33CB9" w:rsidRDefault="0008002E" w:rsidP="00E81465">
            <w:pPr>
              <w:pStyle w:val="TableText"/>
              <w:jc w:val="center"/>
            </w:pPr>
            <w:r w:rsidRPr="00D33CB9">
              <w:t>-10%</w:t>
            </w:r>
          </w:p>
        </w:tc>
      </w:tr>
      <w:tr w:rsidR="0008002E" w:rsidRPr="00EE0EEB" w14:paraId="1F82CA32" w14:textId="77777777" w:rsidTr="00E81465">
        <w:tc>
          <w:tcPr>
            <w:tcW w:w="2122" w:type="dxa"/>
            <w:gridSpan w:val="2"/>
            <w:vAlign w:val="center"/>
          </w:tcPr>
          <w:p w14:paraId="5AE5E109"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Institutionalisation</w:t>
            </w:r>
          </w:p>
        </w:tc>
        <w:tc>
          <w:tcPr>
            <w:tcW w:w="1401" w:type="dxa"/>
          </w:tcPr>
          <w:p w14:paraId="3FF6FAE6" w14:textId="3A4F80DF" w:rsidR="0008002E" w:rsidRPr="00D33CB9" w:rsidRDefault="0008002E" w:rsidP="00E81465">
            <w:pPr>
              <w:pStyle w:val="TableText"/>
              <w:jc w:val="center"/>
              <w:rPr>
                <w:vertAlign w:val="superscript"/>
              </w:rPr>
            </w:pPr>
            <w:r w:rsidRPr="00D33CB9">
              <w:t>$318,996</w:t>
            </w:r>
          </w:p>
        </w:tc>
        <w:tc>
          <w:tcPr>
            <w:tcW w:w="2022" w:type="dxa"/>
          </w:tcPr>
          <w:p w14:paraId="0104213A" w14:textId="77777777" w:rsidR="0008002E" w:rsidRPr="00930320" w:rsidRDefault="0008002E" w:rsidP="00E81465">
            <w:pPr>
              <w:pStyle w:val="TableText"/>
              <w:jc w:val="center"/>
            </w:pPr>
            <w:r w:rsidRPr="00930320">
              <w:t>$369,024</w:t>
            </w:r>
          </w:p>
        </w:tc>
        <w:tc>
          <w:tcPr>
            <w:tcW w:w="2523" w:type="dxa"/>
          </w:tcPr>
          <w:p w14:paraId="167B4F1E" w14:textId="237D5DB2" w:rsidR="0008002E" w:rsidRPr="00D33CB9" w:rsidRDefault="0008002E" w:rsidP="00E81465">
            <w:pPr>
              <w:pStyle w:val="TableText"/>
              <w:jc w:val="center"/>
              <w:rPr>
                <w:vertAlign w:val="superscript"/>
              </w:rPr>
            </w:pPr>
            <w:r w:rsidRPr="00D33CB9">
              <w:t>-$50,028</w:t>
            </w:r>
          </w:p>
        </w:tc>
        <w:tc>
          <w:tcPr>
            <w:tcW w:w="1283" w:type="dxa"/>
          </w:tcPr>
          <w:p w14:paraId="1396E959" w14:textId="77777777" w:rsidR="0008002E" w:rsidRPr="00D33CB9" w:rsidRDefault="0008002E" w:rsidP="00E81465">
            <w:pPr>
              <w:pStyle w:val="TableText"/>
              <w:jc w:val="center"/>
            </w:pPr>
            <w:r w:rsidRPr="00D33CB9">
              <w:t>-329%</w:t>
            </w:r>
          </w:p>
        </w:tc>
      </w:tr>
      <w:tr w:rsidR="0008002E" w:rsidRPr="00EE0EEB" w14:paraId="2082851D" w14:textId="77777777" w:rsidTr="00E81465">
        <w:tc>
          <w:tcPr>
            <w:tcW w:w="2122" w:type="dxa"/>
            <w:gridSpan w:val="2"/>
            <w:vAlign w:val="center"/>
          </w:tcPr>
          <w:p w14:paraId="7793AD99"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Terminal care costs</w:t>
            </w:r>
          </w:p>
        </w:tc>
        <w:tc>
          <w:tcPr>
            <w:tcW w:w="1401" w:type="dxa"/>
          </w:tcPr>
          <w:p w14:paraId="7777CF6F" w14:textId="4F4DFB6A" w:rsidR="0008002E" w:rsidRPr="00D33CB9" w:rsidRDefault="0008002E" w:rsidP="00E81465">
            <w:pPr>
              <w:pStyle w:val="TableText"/>
              <w:jc w:val="center"/>
              <w:rPr>
                <w:vertAlign w:val="superscript"/>
              </w:rPr>
            </w:pPr>
            <w:r w:rsidRPr="00D33CB9">
              <w:t>$4,899</w:t>
            </w:r>
          </w:p>
        </w:tc>
        <w:tc>
          <w:tcPr>
            <w:tcW w:w="2022" w:type="dxa"/>
          </w:tcPr>
          <w:p w14:paraId="4A5DDFDE" w14:textId="77777777" w:rsidR="0008002E" w:rsidRPr="00930320" w:rsidRDefault="0008002E" w:rsidP="00E81465">
            <w:pPr>
              <w:pStyle w:val="TableText"/>
              <w:jc w:val="center"/>
            </w:pPr>
            <w:r w:rsidRPr="00930320">
              <w:t>$4,903</w:t>
            </w:r>
          </w:p>
        </w:tc>
        <w:tc>
          <w:tcPr>
            <w:tcW w:w="2523" w:type="dxa"/>
          </w:tcPr>
          <w:p w14:paraId="0E621BF2" w14:textId="203B2A4B" w:rsidR="0008002E" w:rsidRPr="00D33CB9" w:rsidRDefault="0008002E" w:rsidP="00E81465">
            <w:pPr>
              <w:pStyle w:val="TableText"/>
              <w:jc w:val="center"/>
              <w:rPr>
                <w:vertAlign w:val="superscript"/>
              </w:rPr>
            </w:pPr>
            <w:r w:rsidRPr="00D33CB9">
              <w:t>-$3</w:t>
            </w:r>
          </w:p>
        </w:tc>
        <w:tc>
          <w:tcPr>
            <w:tcW w:w="1283" w:type="dxa"/>
          </w:tcPr>
          <w:p w14:paraId="64D6D3A6" w14:textId="77777777" w:rsidR="0008002E" w:rsidRPr="00D33CB9" w:rsidRDefault="0008002E" w:rsidP="00E81465">
            <w:pPr>
              <w:pStyle w:val="TableText"/>
              <w:jc w:val="center"/>
            </w:pPr>
            <w:r w:rsidRPr="00D33CB9">
              <w:t>-0%</w:t>
            </w:r>
          </w:p>
        </w:tc>
      </w:tr>
      <w:tr w:rsidR="0008002E" w:rsidRPr="00EE0EEB" w14:paraId="029DDF01" w14:textId="77777777" w:rsidTr="00E81465">
        <w:tc>
          <w:tcPr>
            <w:tcW w:w="2122" w:type="dxa"/>
            <w:gridSpan w:val="2"/>
            <w:vAlign w:val="center"/>
          </w:tcPr>
          <w:p w14:paraId="4A395C09"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w:t>
            </w:r>
          </w:p>
        </w:tc>
        <w:tc>
          <w:tcPr>
            <w:tcW w:w="1401" w:type="dxa"/>
            <w:vAlign w:val="center"/>
          </w:tcPr>
          <w:p w14:paraId="158CAF72" w14:textId="55E15126" w:rsidR="0008002E" w:rsidRPr="00D33CB9" w:rsidRDefault="0008002E" w:rsidP="00E81465">
            <w:pPr>
              <w:pStyle w:val="TableText"/>
              <w:jc w:val="center"/>
              <w:rPr>
                <w:vertAlign w:val="superscript"/>
              </w:rPr>
            </w:pPr>
            <w:r w:rsidRPr="00D33CB9" w:rsidDel="00FE13BA">
              <w:t>$362,991</w:t>
            </w:r>
          </w:p>
        </w:tc>
        <w:tc>
          <w:tcPr>
            <w:tcW w:w="2022" w:type="dxa"/>
            <w:vAlign w:val="center"/>
          </w:tcPr>
          <w:p w14:paraId="51336AA6" w14:textId="77777777" w:rsidR="0008002E" w:rsidRPr="00930320" w:rsidRDefault="0008002E" w:rsidP="00E81465">
            <w:pPr>
              <w:pStyle w:val="TableText"/>
              <w:jc w:val="center"/>
              <w:rPr>
                <w:vertAlign w:val="superscript"/>
              </w:rPr>
            </w:pPr>
            <w:r w:rsidRPr="00930320">
              <w:t>$414,477</w:t>
            </w:r>
          </w:p>
        </w:tc>
        <w:tc>
          <w:tcPr>
            <w:tcW w:w="2523" w:type="dxa"/>
            <w:vAlign w:val="center"/>
          </w:tcPr>
          <w:p w14:paraId="3C8F5206" w14:textId="55BC74AD" w:rsidR="0008002E" w:rsidRPr="00D33CB9" w:rsidRDefault="0008002E" w:rsidP="00E81465">
            <w:pPr>
              <w:pStyle w:val="TableText"/>
              <w:jc w:val="center"/>
              <w:rPr>
                <w:vertAlign w:val="superscript"/>
              </w:rPr>
            </w:pPr>
            <w:r w:rsidRPr="00D33CB9">
              <w:t>-$51,486</w:t>
            </w:r>
          </w:p>
        </w:tc>
        <w:tc>
          <w:tcPr>
            <w:tcW w:w="1283" w:type="dxa"/>
            <w:vAlign w:val="center"/>
          </w:tcPr>
          <w:p w14:paraId="614A8359" w14:textId="77777777" w:rsidR="0008002E" w:rsidRPr="00D33CB9" w:rsidRDefault="0008002E" w:rsidP="00E81465">
            <w:pPr>
              <w:pStyle w:val="TableText"/>
              <w:jc w:val="center"/>
            </w:pPr>
            <w:r w:rsidRPr="00D33CB9">
              <w:t>-338</w:t>
            </w:r>
            <w:r w:rsidRPr="00D33CB9" w:rsidDel="00FE13BA">
              <w:t>%</w:t>
            </w:r>
          </w:p>
        </w:tc>
      </w:tr>
      <w:tr w:rsidR="0008002E" w:rsidRPr="00EE0EEB" w14:paraId="510CF3A7" w14:textId="77777777" w:rsidTr="00E81465">
        <w:tc>
          <w:tcPr>
            <w:tcW w:w="9351" w:type="dxa"/>
            <w:gridSpan w:val="6"/>
            <w:vAlign w:val="center"/>
          </w:tcPr>
          <w:p w14:paraId="7D80CB87" w14:textId="77777777" w:rsidR="0008002E" w:rsidRPr="00EE0EEB" w:rsidRDefault="0008002E" w:rsidP="00E81465">
            <w:pPr>
              <w:keepNext/>
              <w:spacing w:before="0" w:after="0"/>
              <w:jc w:val="left"/>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Management of adverse events (discounted)</w:t>
            </w:r>
          </w:p>
        </w:tc>
      </w:tr>
      <w:tr w:rsidR="0008002E" w:rsidRPr="00EE0EEB" w14:paraId="5BA5D715" w14:textId="77777777" w:rsidTr="00E81465">
        <w:tc>
          <w:tcPr>
            <w:tcW w:w="2122" w:type="dxa"/>
            <w:gridSpan w:val="2"/>
            <w:vAlign w:val="center"/>
          </w:tcPr>
          <w:p w14:paraId="78EC36F0"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w:t>
            </w:r>
          </w:p>
        </w:tc>
        <w:tc>
          <w:tcPr>
            <w:tcW w:w="1401" w:type="dxa"/>
          </w:tcPr>
          <w:p w14:paraId="19049D43" w14:textId="5F3B9AD5" w:rsidR="0008002E" w:rsidRPr="00D33CB9" w:rsidRDefault="0008002E" w:rsidP="00E81465">
            <w:pPr>
              <w:pStyle w:val="TableText"/>
              <w:jc w:val="center"/>
              <w:rPr>
                <w:vertAlign w:val="superscript"/>
              </w:rPr>
            </w:pPr>
            <w:r w:rsidRPr="00D33CB9">
              <w:t>$293</w:t>
            </w:r>
          </w:p>
        </w:tc>
        <w:tc>
          <w:tcPr>
            <w:tcW w:w="2022" w:type="dxa"/>
          </w:tcPr>
          <w:p w14:paraId="6111C16B" w14:textId="77777777" w:rsidR="0008002E" w:rsidRPr="00D33CB9" w:rsidRDefault="0008002E" w:rsidP="00E81465">
            <w:pPr>
              <w:pStyle w:val="TableText"/>
              <w:jc w:val="center"/>
            </w:pPr>
            <w:r w:rsidRPr="00D33CB9">
              <w:t>$0</w:t>
            </w:r>
          </w:p>
        </w:tc>
        <w:tc>
          <w:tcPr>
            <w:tcW w:w="2523" w:type="dxa"/>
          </w:tcPr>
          <w:p w14:paraId="01361AEA" w14:textId="4EF48FE8" w:rsidR="0008002E" w:rsidRPr="00D33CB9" w:rsidRDefault="0008002E" w:rsidP="00E81465">
            <w:pPr>
              <w:pStyle w:val="TableText"/>
              <w:jc w:val="center"/>
              <w:rPr>
                <w:vertAlign w:val="superscript"/>
              </w:rPr>
            </w:pPr>
            <w:r w:rsidRPr="00D33CB9">
              <w:t>$293</w:t>
            </w:r>
          </w:p>
        </w:tc>
        <w:tc>
          <w:tcPr>
            <w:tcW w:w="1283" w:type="dxa"/>
          </w:tcPr>
          <w:p w14:paraId="13B32BD9" w14:textId="77777777" w:rsidR="0008002E" w:rsidRPr="00D33CB9" w:rsidRDefault="0008002E" w:rsidP="00E81465">
            <w:pPr>
              <w:pStyle w:val="TableText"/>
              <w:jc w:val="center"/>
            </w:pPr>
            <w:r w:rsidRPr="00D33CB9">
              <w:t>2%</w:t>
            </w:r>
          </w:p>
        </w:tc>
      </w:tr>
      <w:tr w:rsidR="0008002E" w:rsidRPr="00EE0EEB" w14:paraId="29638853" w14:textId="77777777" w:rsidTr="00E81465">
        <w:tc>
          <w:tcPr>
            <w:tcW w:w="2122" w:type="dxa"/>
            <w:gridSpan w:val="2"/>
            <w:vAlign w:val="center"/>
          </w:tcPr>
          <w:p w14:paraId="04392F44" w14:textId="77777777" w:rsidR="0008002E" w:rsidRPr="00EE0EEB" w:rsidRDefault="0008002E" w:rsidP="00E81465">
            <w:pPr>
              <w:keepNext/>
              <w:spacing w:before="0" w:after="0"/>
              <w:jc w:val="left"/>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Overall total cost (discounted)</w:t>
            </w:r>
          </w:p>
        </w:tc>
        <w:tc>
          <w:tcPr>
            <w:tcW w:w="1401" w:type="dxa"/>
            <w:vAlign w:val="center"/>
          </w:tcPr>
          <w:p w14:paraId="20D6EB6B" w14:textId="39197786" w:rsidR="0008002E" w:rsidRPr="00930320" w:rsidRDefault="0008002E" w:rsidP="00E81465">
            <w:pPr>
              <w:pStyle w:val="TableText"/>
              <w:jc w:val="center"/>
              <w:rPr>
                <w:vertAlign w:val="superscript"/>
              </w:rPr>
            </w:pPr>
            <w:r w:rsidRPr="00EE0EEB">
              <w:t>$</w:t>
            </w:r>
            <w:r w:rsidR="00CD4EA9" w:rsidRPr="00CD4EA9">
              <w:rPr>
                <w:color w:val="000000"/>
                <w:spacing w:val="61"/>
                <w:w w:val="86"/>
                <w:shd w:val="solid" w:color="000000" w:fill="000000"/>
                <w:fitText w:val="330" w:id="-632121331"/>
                <w14:textFill>
                  <w14:solidFill>
                    <w14:srgbClr w14:val="000000">
                      <w14:alpha w14:val="100000"/>
                    </w14:srgbClr>
                  </w14:solidFill>
                </w14:textFill>
              </w:rPr>
              <w:t>|||</w:t>
            </w:r>
            <w:r w:rsidR="00CD4EA9" w:rsidRPr="00CD4EA9">
              <w:rPr>
                <w:color w:val="000000"/>
                <w:spacing w:val="1"/>
                <w:w w:val="86"/>
                <w:shd w:val="solid" w:color="000000" w:fill="000000"/>
                <w:fitText w:val="330" w:id="-632121331"/>
                <w14:textFill>
                  <w14:solidFill>
                    <w14:srgbClr w14:val="000000">
                      <w14:alpha w14:val="100000"/>
                    </w14:srgbClr>
                  </w14:solidFill>
                </w14:textFill>
              </w:rPr>
              <w:t>|</w:t>
            </w:r>
          </w:p>
        </w:tc>
        <w:tc>
          <w:tcPr>
            <w:tcW w:w="2022" w:type="dxa"/>
            <w:vAlign w:val="center"/>
          </w:tcPr>
          <w:p w14:paraId="701225AF" w14:textId="77777777" w:rsidR="0008002E" w:rsidRPr="00EE0EEB" w:rsidRDefault="0008002E" w:rsidP="00E81465">
            <w:pPr>
              <w:pStyle w:val="TableText"/>
              <w:jc w:val="center"/>
            </w:pPr>
            <w:r w:rsidRPr="00EE0EEB">
              <w:t>$</w:t>
            </w:r>
            <w:r w:rsidRPr="00930320">
              <w:t>414,477</w:t>
            </w:r>
          </w:p>
        </w:tc>
        <w:tc>
          <w:tcPr>
            <w:tcW w:w="2523" w:type="dxa"/>
            <w:vAlign w:val="center"/>
          </w:tcPr>
          <w:p w14:paraId="033CA529" w14:textId="64AB401A" w:rsidR="0008002E" w:rsidRPr="00930320" w:rsidRDefault="0008002E" w:rsidP="00E81465">
            <w:pPr>
              <w:pStyle w:val="TableText"/>
              <w:jc w:val="center"/>
              <w:rPr>
                <w:vertAlign w:val="superscript"/>
              </w:rPr>
            </w:pPr>
            <w:r w:rsidRPr="00A87E07">
              <w:t>$</w:t>
            </w:r>
            <w:r w:rsidR="00CD4EA9" w:rsidRPr="00CD4EA9">
              <w:rPr>
                <w:color w:val="000000"/>
                <w:spacing w:val="59"/>
                <w:w w:val="86"/>
                <w:shd w:val="solid" w:color="000000" w:fill="000000"/>
                <w:fitText w:val="324" w:id="-632121330"/>
                <w14:textFill>
                  <w14:solidFill>
                    <w14:srgbClr w14:val="000000">
                      <w14:alpha w14:val="100000"/>
                    </w14:srgbClr>
                  </w14:solidFill>
                </w14:textFill>
              </w:rPr>
              <w:t>|||</w:t>
            </w:r>
            <w:r w:rsidR="00CD4EA9" w:rsidRPr="00CD4EA9">
              <w:rPr>
                <w:color w:val="000000"/>
                <w:spacing w:val="1"/>
                <w:w w:val="86"/>
                <w:shd w:val="solid" w:color="000000" w:fill="000000"/>
                <w:fitText w:val="324" w:id="-632121330"/>
                <w14:textFill>
                  <w14:solidFill>
                    <w14:srgbClr w14:val="000000">
                      <w14:alpha w14:val="100000"/>
                    </w14:srgbClr>
                  </w14:solidFill>
                </w14:textFill>
              </w:rPr>
              <w:t>|</w:t>
            </w:r>
          </w:p>
        </w:tc>
        <w:tc>
          <w:tcPr>
            <w:tcW w:w="1283" w:type="dxa"/>
            <w:vAlign w:val="center"/>
          </w:tcPr>
          <w:p w14:paraId="4898CFAA" w14:textId="77777777" w:rsidR="0008002E" w:rsidRPr="00EE0EEB" w:rsidRDefault="0008002E" w:rsidP="00E81465">
            <w:pPr>
              <w:pStyle w:val="TableText"/>
              <w:jc w:val="center"/>
            </w:pPr>
            <w:r w:rsidRPr="0067581A">
              <w:t>100%</w:t>
            </w:r>
          </w:p>
        </w:tc>
      </w:tr>
      <w:tr w:rsidR="0008002E" w:rsidRPr="00EE0EEB" w14:paraId="24452BC9" w14:textId="77777777" w:rsidTr="00E81465">
        <w:tblPrEx>
          <w:tblCellMar>
            <w:left w:w="28" w:type="dxa"/>
            <w:right w:w="28" w:type="dxa"/>
          </w:tblCellMar>
          <w:tblLook w:val="01E0" w:firstRow="1" w:lastRow="1" w:firstColumn="1" w:lastColumn="1" w:noHBand="0" w:noVBand="0"/>
        </w:tblPrEx>
        <w:trPr>
          <w:cantSplit/>
          <w:trHeight w:val="218"/>
        </w:trPr>
        <w:tc>
          <w:tcPr>
            <w:tcW w:w="9351" w:type="dxa"/>
            <w:gridSpan w:val="6"/>
            <w:tcBorders>
              <w:top w:val="single" w:sz="4" w:space="0" w:color="auto"/>
              <w:left w:val="single" w:sz="4" w:space="0" w:color="auto"/>
              <w:right w:val="single" w:sz="4" w:space="0" w:color="auto"/>
            </w:tcBorders>
            <w:vAlign w:val="center"/>
          </w:tcPr>
          <w:p w14:paraId="6A71A148" w14:textId="77777777" w:rsidR="0008002E" w:rsidRPr="00EE0EEB" w:rsidRDefault="0008002E" w:rsidP="00E81465">
            <w:pPr>
              <w:keepNext/>
              <w:spacing w:before="0" w:after="0"/>
              <w:jc w:val="left"/>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Life years (undiscounted)</w:t>
            </w:r>
          </w:p>
        </w:tc>
      </w:tr>
      <w:tr w:rsidR="0008002E" w:rsidRPr="00EE0EEB" w14:paraId="381BD840"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val="restart"/>
            <w:tcBorders>
              <w:top w:val="single" w:sz="4" w:space="0" w:color="auto"/>
              <w:left w:val="single" w:sz="4" w:space="0" w:color="auto"/>
              <w:right w:val="single" w:sz="4" w:space="0" w:color="auto"/>
            </w:tcBorders>
            <w:vAlign w:val="center"/>
          </w:tcPr>
          <w:p w14:paraId="0CAD95B0"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Cs/>
                <w:sz w:val="20"/>
                <w:szCs w:val="24"/>
                <w:lang w:eastAsia="en-AU"/>
              </w:rPr>
              <w:t>Community</w:t>
            </w: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544857"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MCI due to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0E6835C8"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0.83</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4EE3FD04"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0.60</w:t>
            </w:r>
          </w:p>
        </w:tc>
        <w:tc>
          <w:tcPr>
            <w:tcW w:w="2523" w:type="dxa"/>
            <w:tcBorders>
              <w:top w:val="single" w:sz="4" w:space="0" w:color="auto"/>
              <w:left w:val="single" w:sz="4" w:space="0" w:color="auto"/>
              <w:bottom w:val="single" w:sz="4" w:space="0" w:color="auto"/>
              <w:right w:val="single" w:sz="4" w:space="0" w:color="auto"/>
            </w:tcBorders>
          </w:tcPr>
          <w:p w14:paraId="1B6E679C"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0.23</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75898763"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928%</w:t>
            </w:r>
          </w:p>
        </w:tc>
      </w:tr>
      <w:tr w:rsidR="0008002E" w:rsidRPr="00EE0EEB" w14:paraId="22EC8916"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vAlign w:val="center"/>
          </w:tcPr>
          <w:p w14:paraId="1F43EFAF"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4EDDA6"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 xml:space="preserve">Mild AD </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4899F15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2.86</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54CB52E4"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2.15</w:t>
            </w:r>
          </w:p>
        </w:tc>
        <w:tc>
          <w:tcPr>
            <w:tcW w:w="2523" w:type="dxa"/>
            <w:tcBorders>
              <w:top w:val="single" w:sz="4" w:space="0" w:color="auto"/>
              <w:left w:val="single" w:sz="4" w:space="0" w:color="auto"/>
              <w:bottom w:val="single" w:sz="4" w:space="0" w:color="auto"/>
              <w:right w:val="single" w:sz="4" w:space="0" w:color="auto"/>
            </w:tcBorders>
          </w:tcPr>
          <w:p w14:paraId="1737E3F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0.71</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5630A310"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2846%</w:t>
            </w:r>
          </w:p>
        </w:tc>
      </w:tr>
      <w:tr w:rsidR="0008002E" w:rsidRPr="00EE0EEB" w14:paraId="63839D43"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vAlign w:val="center"/>
          </w:tcPr>
          <w:p w14:paraId="6753D686"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59C21A"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Moderate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0C7816BF"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1.18</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760D52CF"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1.13</w:t>
            </w:r>
          </w:p>
        </w:tc>
        <w:tc>
          <w:tcPr>
            <w:tcW w:w="2523" w:type="dxa"/>
            <w:tcBorders>
              <w:top w:val="single" w:sz="4" w:space="0" w:color="auto"/>
              <w:left w:val="single" w:sz="4" w:space="0" w:color="auto"/>
              <w:bottom w:val="single" w:sz="4" w:space="0" w:color="auto"/>
              <w:right w:val="single" w:sz="4" w:space="0" w:color="auto"/>
            </w:tcBorders>
          </w:tcPr>
          <w:p w14:paraId="782EBC97"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0.04</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3405F48D"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181%</w:t>
            </w:r>
          </w:p>
        </w:tc>
      </w:tr>
      <w:tr w:rsidR="0008002E" w:rsidRPr="00EE0EEB" w14:paraId="3059F391" w14:textId="77777777" w:rsidTr="00E81465">
        <w:tblPrEx>
          <w:tblCellMar>
            <w:left w:w="28" w:type="dxa"/>
            <w:right w:w="28" w:type="dxa"/>
          </w:tblCellMar>
          <w:tblLook w:val="01E0" w:firstRow="1" w:lastRow="1" w:firstColumn="1" w:lastColumn="1" w:noHBand="0" w:noVBand="0"/>
        </w:tblPrEx>
        <w:trPr>
          <w:cantSplit/>
          <w:trHeight w:val="70"/>
        </w:trPr>
        <w:tc>
          <w:tcPr>
            <w:tcW w:w="890" w:type="dxa"/>
            <w:vMerge/>
            <w:tcBorders>
              <w:left w:val="single" w:sz="4" w:space="0" w:color="auto"/>
              <w:right w:val="single" w:sz="4" w:space="0" w:color="auto"/>
            </w:tcBorders>
            <w:vAlign w:val="center"/>
          </w:tcPr>
          <w:p w14:paraId="4B34FD96"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F1530F"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Severe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270C520C"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0.95</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1EB469E8"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1.23</w:t>
            </w:r>
          </w:p>
        </w:tc>
        <w:tc>
          <w:tcPr>
            <w:tcW w:w="2523" w:type="dxa"/>
            <w:tcBorders>
              <w:top w:val="single" w:sz="4" w:space="0" w:color="auto"/>
              <w:left w:val="single" w:sz="4" w:space="0" w:color="auto"/>
              <w:bottom w:val="single" w:sz="4" w:space="0" w:color="auto"/>
              <w:right w:val="single" w:sz="4" w:space="0" w:color="auto"/>
            </w:tcBorders>
          </w:tcPr>
          <w:p w14:paraId="0A4FB111"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-0.28</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2E488D1A"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-1132%</w:t>
            </w:r>
          </w:p>
        </w:tc>
      </w:tr>
      <w:tr w:rsidR="0008002E" w:rsidRPr="00EE0EEB" w14:paraId="7194843C"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bottom w:val="single" w:sz="4" w:space="0" w:color="auto"/>
              <w:right w:val="single" w:sz="4" w:space="0" w:color="auto"/>
            </w:tcBorders>
            <w:vAlign w:val="center"/>
          </w:tcPr>
          <w:p w14:paraId="05E1C258"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E95414"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524B604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5.82</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30B8610D"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5.12</w:t>
            </w:r>
          </w:p>
        </w:tc>
        <w:tc>
          <w:tcPr>
            <w:tcW w:w="2523" w:type="dxa"/>
            <w:tcBorders>
              <w:top w:val="single" w:sz="4" w:space="0" w:color="auto"/>
              <w:left w:val="single" w:sz="4" w:space="0" w:color="auto"/>
              <w:bottom w:val="single" w:sz="4" w:space="0" w:color="auto"/>
              <w:right w:val="single" w:sz="4" w:space="0" w:color="auto"/>
            </w:tcBorders>
          </w:tcPr>
          <w:p w14:paraId="2C6FF57B"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0.70</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5E294DA4"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2822%</w:t>
            </w:r>
          </w:p>
        </w:tc>
      </w:tr>
      <w:tr w:rsidR="0008002E" w:rsidRPr="00EE0EEB" w14:paraId="01967095" w14:textId="77777777" w:rsidTr="00E81465">
        <w:tblPrEx>
          <w:tblCellMar>
            <w:left w:w="28" w:type="dxa"/>
            <w:right w:w="28" w:type="dxa"/>
          </w:tblCellMar>
          <w:tblLook w:val="01E0" w:firstRow="1" w:lastRow="1" w:firstColumn="1" w:lastColumn="1" w:noHBand="0" w:noVBand="0"/>
        </w:tblPrEx>
        <w:trPr>
          <w:cantSplit/>
          <w:trHeight w:val="91"/>
        </w:trPr>
        <w:tc>
          <w:tcPr>
            <w:tcW w:w="890" w:type="dxa"/>
            <w:vMerge w:val="restart"/>
            <w:tcBorders>
              <w:top w:val="single" w:sz="4" w:space="0" w:color="auto"/>
              <w:left w:val="single" w:sz="4" w:space="0" w:color="auto"/>
              <w:right w:val="single" w:sz="4" w:space="0" w:color="auto"/>
            </w:tcBorders>
            <w:vAlign w:val="center"/>
          </w:tcPr>
          <w:p w14:paraId="69A1F512"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Institutional</w:t>
            </w: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439660"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MCI due to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0CEC8465"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689FCDE9"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2523" w:type="dxa"/>
            <w:tcBorders>
              <w:top w:val="single" w:sz="4" w:space="0" w:color="auto"/>
              <w:left w:val="single" w:sz="4" w:space="0" w:color="auto"/>
              <w:bottom w:val="single" w:sz="4" w:space="0" w:color="auto"/>
              <w:right w:val="single" w:sz="4" w:space="0" w:color="auto"/>
            </w:tcBorders>
          </w:tcPr>
          <w:p w14:paraId="55AB5ED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2A61B62C"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0%</w:t>
            </w:r>
          </w:p>
        </w:tc>
      </w:tr>
      <w:tr w:rsidR="0008002E" w:rsidRPr="00EE0EEB" w14:paraId="12DFFC72"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tcPr>
          <w:p w14:paraId="0369B942"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9F4C424"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 xml:space="preserve">Mild AD </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0E1549AB"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0.12</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61B7DC3F"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0.07</w:t>
            </w:r>
          </w:p>
        </w:tc>
        <w:tc>
          <w:tcPr>
            <w:tcW w:w="2523" w:type="dxa"/>
            <w:tcBorders>
              <w:top w:val="single" w:sz="4" w:space="0" w:color="auto"/>
              <w:left w:val="single" w:sz="4" w:space="0" w:color="auto"/>
              <w:bottom w:val="single" w:sz="4" w:space="0" w:color="auto"/>
              <w:right w:val="single" w:sz="4" w:space="0" w:color="auto"/>
            </w:tcBorders>
          </w:tcPr>
          <w:p w14:paraId="658958F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0.05</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61263C31"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199%</w:t>
            </w:r>
          </w:p>
        </w:tc>
      </w:tr>
      <w:tr w:rsidR="0008002E" w:rsidRPr="00EE0EEB" w14:paraId="6A9AC916"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tcPr>
          <w:p w14:paraId="35E45052"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EA2864"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Moderate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3C1C4C8F"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0.84</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24B1E7B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0.63</w:t>
            </w:r>
          </w:p>
        </w:tc>
        <w:tc>
          <w:tcPr>
            <w:tcW w:w="2523" w:type="dxa"/>
            <w:tcBorders>
              <w:top w:val="single" w:sz="4" w:space="0" w:color="auto"/>
              <w:left w:val="single" w:sz="4" w:space="0" w:color="auto"/>
              <w:bottom w:val="single" w:sz="4" w:space="0" w:color="auto"/>
              <w:right w:val="single" w:sz="4" w:space="0" w:color="auto"/>
            </w:tcBorders>
          </w:tcPr>
          <w:p w14:paraId="58120754"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0.21</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46B00ACA"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847%</w:t>
            </w:r>
          </w:p>
        </w:tc>
      </w:tr>
      <w:tr w:rsidR="0008002E" w:rsidRPr="00EE0EEB" w14:paraId="61308B01"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tcPr>
          <w:p w14:paraId="4F214BCD"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65C626"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Severe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1A6F6F02"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4.00</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400252FA"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4.94</w:t>
            </w:r>
          </w:p>
        </w:tc>
        <w:tc>
          <w:tcPr>
            <w:tcW w:w="2523" w:type="dxa"/>
            <w:tcBorders>
              <w:top w:val="single" w:sz="4" w:space="0" w:color="auto"/>
              <w:left w:val="single" w:sz="4" w:space="0" w:color="auto"/>
              <w:bottom w:val="single" w:sz="4" w:space="0" w:color="auto"/>
              <w:right w:val="single" w:sz="4" w:space="0" w:color="auto"/>
            </w:tcBorders>
          </w:tcPr>
          <w:p w14:paraId="343623F4"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-0.94</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1C0E0708"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-3769%</w:t>
            </w:r>
          </w:p>
        </w:tc>
      </w:tr>
      <w:tr w:rsidR="0008002E" w:rsidRPr="00EE0EEB" w14:paraId="6FD7BC25"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bottom w:val="single" w:sz="4" w:space="0" w:color="auto"/>
              <w:right w:val="single" w:sz="4" w:space="0" w:color="auto"/>
            </w:tcBorders>
            <w:vAlign w:val="center"/>
          </w:tcPr>
          <w:p w14:paraId="1E51A20C"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C2636D"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086D27DD"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4.95</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5E9F05E7"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5.63</w:t>
            </w:r>
          </w:p>
        </w:tc>
        <w:tc>
          <w:tcPr>
            <w:tcW w:w="2523" w:type="dxa"/>
            <w:tcBorders>
              <w:top w:val="single" w:sz="4" w:space="0" w:color="auto"/>
              <w:left w:val="single" w:sz="4" w:space="0" w:color="auto"/>
              <w:bottom w:val="single" w:sz="4" w:space="0" w:color="auto"/>
              <w:right w:val="single" w:sz="4" w:space="0" w:color="auto"/>
            </w:tcBorders>
          </w:tcPr>
          <w:p w14:paraId="15B246BD"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-0.68</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73506FA3"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-2722%</w:t>
            </w:r>
          </w:p>
        </w:tc>
      </w:tr>
      <w:tr w:rsidR="0008002E" w:rsidRPr="00EE0EEB" w14:paraId="4FA15712" w14:textId="77777777" w:rsidTr="00E81465">
        <w:tblPrEx>
          <w:tblCellMar>
            <w:left w:w="28" w:type="dxa"/>
            <w:right w:w="28" w:type="dxa"/>
          </w:tblCellMar>
          <w:tblLook w:val="01E0" w:firstRow="1" w:lastRow="1" w:firstColumn="1" w:lastColumn="1" w:noHBand="0" w:noVBand="0"/>
        </w:tblPrEx>
        <w:trPr>
          <w:cantSplit/>
          <w:trHeight w:val="218"/>
        </w:trPr>
        <w:tc>
          <w:tcPr>
            <w:tcW w:w="2122" w:type="dxa"/>
            <w:gridSpan w:val="2"/>
            <w:tcBorders>
              <w:left w:val="single" w:sz="4" w:space="0" w:color="auto"/>
              <w:bottom w:val="single" w:sz="4" w:space="0" w:color="auto"/>
              <w:right w:val="single" w:sz="4" w:space="0" w:color="auto"/>
            </w:tcBorders>
            <w:vAlign w:val="center"/>
          </w:tcPr>
          <w:p w14:paraId="4259C211"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
                <w:sz w:val="20"/>
                <w:szCs w:val="24"/>
                <w:lang w:eastAsia="en-AU"/>
              </w:rPr>
              <w:t>Overall total life years</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tcPr>
          <w:p w14:paraId="0876CBF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10.77</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tcPr>
          <w:p w14:paraId="507A6DC9"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10.75</w:t>
            </w:r>
          </w:p>
        </w:tc>
        <w:tc>
          <w:tcPr>
            <w:tcW w:w="2523" w:type="dxa"/>
            <w:tcBorders>
              <w:top w:val="single" w:sz="4" w:space="0" w:color="auto"/>
              <w:left w:val="single" w:sz="4" w:space="0" w:color="auto"/>
              <w:bottom w:val="single" w:sz="4" w:space="0" w:color="auto"/>
              <w:right w:val="single" w:sz="4" w:space="0" w:color="auto"/>
            </w:tcBorders>
          </w:tcPr>
          <w:p w14:paraId="03D28952"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0.02</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tcPr>
          <w:p w14:paraId="3EEAC556"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100%</w:t>
            </w:r>
          </w:p>
        </w:tc>
      </w:tr>
      <w:tr w:rsidR="0008002E" w:rsidRPr="00EE0EEB" w14:paraId="4DCCFF3E" w14:textId="77777777" w:rsidTr="00E81465">
        <w:tblPrEx>
          <w:tblCellMar>
            <w:left w:w="28" w:type="dxa"/>
            <w:right w:w="28" w:type="dxa"/>
          </w:tblCellMar>
          <w:tblLook w:val="01E0" w:firstRow="1" w:lastRow="1" w:firstColumn="1" w:lastColumn="1" w:noHBand="0" w:noVBand="0"/>
        </w:tblPrEx>
        <w:trPr>
          <w:cantSplit/>
          <w:trHeight w:val="218"/>
        </w:trPr>
        <w:tc>
          <w:tcPr>
            <w:tcW w:w="9351" w:type="dxa"/>
            <w:gridSpan w:val="6"/>
            <w:tcBorders>
              <w:left w:val="single" w:sz="4" w:space="0" w:color="auto"/>
              <w:right w:val="single" w:sz="4" w:space="0" w:color="auto"/>
            </w:tcBorders>
            <w:vAlign w:val="center"/>
          </w:tcPr>
          <w:p w14:paraId="7B963DC7" w14:textId="77777777" w:rsidR="0008002E" w:rsidRPr="008D45BD" w:rsidRDefault="0008002E" w:rsidP="00E81465">
            <w:pPr>
              <w:keepNext/>
              <w:spacing w:before="0" w:after="0"/>
              <w:jc w:val="left"/>
              <w:rPr>
                <w:rFonts w:ascii="Arial Narrow" w:eastAsia="MS Gothic" w:hAnsi="Arial Narrow" w:cs="Times New Roman"/>
                <w:b/>
                <w:sz w:val="20"/>
                <w:szCs w:val="24"/>
                <w:lang w:eastAsia="en-AU"/>
              </w:rPr>
            </w:pPr>
            <w:r w:rsidRPr="008D45BD">
              <w:rPr>
                <w:rFonts w:ascii="Arial Narrow" w:eastAsia="MS Gothic" w:hAnsi="Arial Narrow" w:cs="Times New Roman"/>
                <w:b/>
                <w:sz w:val="20"/>
                <w:szCs w:val="24"/>
                <w:lang w:eastAsia="en-AU"/>
              </w:rPr>
              <w:t>QALYs (discounted)</w:t>
            </w:r>
          </w:p>
        </w:tc>
      </w:tr>
      <w:tr w:rsidR="0008002E" w:rsidRPr="00EE0EEB" w14:paraId="38018622"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val="restart"/>
            <w:tcBorders>
              <w:left w:val="single" w:sz="4" w:space="0" w:color="auto"/>
              <w:right w:val="single" w:sz="4" w:space="0" w:color="auto"/>
            </w:tcBorders>
            <w:vAlign w:val="center"/>
          </w:tcPr>
          <w:p w14:paraId="4C68C26B"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Community</w:t>
            </w: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F754FE"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MCI due to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84711C"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0.60</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F41B0A"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0.45</w:t>
            </w:r>
          </w:p>
        </w:tc>
        <w:tc>
          <w:tcPr>
            <w:tcW w:w="2523" w:type="dxa"/>
            <w:tcBorders>
              <w:top w:val="single" w:sz="4" w:space="0" w:color="auto"/>
              <w:left w:val="single" w:sz="4" w:space="0" w:color="auto"/>
              <w:bottom w:val="single" w:sz="4" w:space="0" w:color="auto"/>
              <w:right w:val="single" w:sz="4" w:space="0" w:color="auto"/>
            </w:tcBorders>
            <w:vAlign w:val="center"/>
          </w:tcPr>
          <w:p w14:paraId="46BDF645"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0.15</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9D9248"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36%</w:t>
            </w:r>
          </w:p>
        </w:tc>
      </w:tr>
      <w:tr w:rsidR="0008002E" w:rsidRPr="00EE0EEB" w14:paraId="15CFC612"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vAlign w:val="center"/>
          </w:tcPr>
          <w:p w14:paraId="2D83A61D"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886AB9"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 xml:space="preserve">Mild AD </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72F9EC"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1.82</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FEAADD9"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1.41</w:t>
            </w:r>
          </w:p>
        </w:tc>
        <w:tc>
          <w:tcPr>
            <w:tcW w:w="2523" w:type="dxa"/>
            <w:tcBorders>
              <w:top w:val="single" w:sz="4" w:space="0" w:color="auto"/>
              <w:left w:val="single" w:sz="4" w:space="0" w:color="auto"/>
              <w:bottom w:val="single" w:sz="4" w:space="0" w:color="auto"/>
              <w:right w:val="single" w:sz="4" w:space="0" w:color="auto"/>
            </w:tcBorders>
            <w:vAlign w:val="center"/>
          </w:tcPr>
          <w:p w14:paraId="791C32DF"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0.41</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D89B6F"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97%</w:t>
            </w:r>
          </w:p>
        </w:tc>
      </w:tr>
      <w:tr w:rsidR="0008002E" w:rsidRPr="00EE0EEB" w14:paraId="2283DF15"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vAlign w:val="center"/>
          </w:tcPr>
          <w:p w14:paraId="5EEE64B9"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9AF248"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Moderate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54DB5A2"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0.55</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3DDCE5"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0.56</w:t>
            </w:r>
          </w:p>
        </w:tc>
        <w:tc>
          <w:tcPr>
            <w:tcW w:w="2523" w:type="dxa"/>
            <w:tcBorders>
              <w:top w:val="single" w:sz="4" w:space="0" w:color="auto"/>
              <w:left w:val="single" w:sz="4" w:space="0" w:color="auto"/>
              <w:bottom w:val="single" w:sz="4" w:space="0" w:color="auto"/>
              <w:right w:val="single" w:sz="4" w:space="0" w:color="auto"/>
            </w:tcBorders>
            <w:vAlign w:val="center"/>
          </w:tcPr>
          <w:p w14:paraId="2D501D4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7EF4D7"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w:t>
            </w:r>
          </w:p>
        </w:tc>
      </w:tr>
      <w:tr w:rsidR="0008002E" w:rsidRPr="00EE0EEB" w14:paraId="07819F0B"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vAlign w:val="center"/>
          </w:tcPr>
          <w:p w14:paraId="3811EF96"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2127DC"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Severe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02D8A5"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0.24</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3E14D8"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0.33</w:t>
            </w:r>
          </w:p>
        </w:tc>
        <w:tc>
          <w:tcPr>
            <w:tcW w:w="2523" w:type="dxa"/>
            <w:tcBorders>
              <w:top w:val="single" w:sz="4" w:space="0" w:color="auto"/>
              <w:left w:val="single" w:sz="4" w:space="0" w:color="auto"/>
              <w:bottom w:val="single" w:sz="4" w:space="0" w:color="auto"/>
              <w:right w:val="single" w:sz="4" w:space="0" w:color="auto"/>
            </w:tcBorders>
            <w:vAlign w:val="center"/>
          </w:tcPr>
          <w:p w14:paraId="6AB299AD"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-0.09</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BE81AC"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-20%</w:t>
            </w:r>
          </w:p>
        </w:tc>
      </w:tr>
      <w:tr w:rsidR="0008002E" w:rsidRPr="00EE0EEB" w14:paraId="534A09AF"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bottom w:val="single" w:sz="4" w:space="0" w:color="auto"/>
              <w:right w:val="single" w:sz="4" w:space="0" w:color="auto"/>
            </w:tcBorders>
            <w:vAlign w:val="center"/>
          </w:tcPr>
          <w:p w14:paraId="12BF30A1"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B95CD7"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2B8178"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3.22</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12988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2.75</w:t>
            </w:r>
          </w:p>
        </w:tc>
        <w:tc>
          <w:tcPr>
            <w:tcW w:w="2523" w:type="dxa"/>
            <w:tcBorders>
              <w:top w:val="single" w:sz="4" w:space="0" w:color="auto"/>
              <w:left w:val="single" w:sz="4" w:space="0" w:color="auto"/>
              <w:bottom w:val="single" w:sz="4" w:space="0" w:color="auto"/>
              <w:right w:val="single" w:sz="4" w:space="0" w:color="auto"/>
            </w:tcBorders>
            <w:vAlign w:val="center"/>
          </w:tcPr>
          <w:p w14:paraId="6D718ABE"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0.47</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E47ADC"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111%</w:t>
            </w:r>
          </w:p>
        </w:tc>
      </w:tr>
      <w:tr w:rsidR="0008002E" w:rsidRPr="00EE0EEB" w14:paraId="233F382A"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val="restart"/>
            <w:tcBorders>
              <w:left w:val="single" w:sz="4" w:space="0" w:color="auto"/>
              <w:right w:val="single" w:sz="4" w:space="0" w:color="auto"/>
            </w:tcBorders>
            <w:vAlign w:val="center"/>
          </w:tcPr>
          <w:p w14:paraId="5A626E84"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Institutional</w:t>
            </w: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36A608"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MCI due to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8C3FDA"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7A317D"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2523" w:type="dxa"/>
            <w:tcBorders>
              <w:top w:val="single" w:sz="4" w:space="0" w:color="auto"/>
              <w:left w:val="single" w:sz="4" w:space="0" w:color="auto"/>
              <w:bottom w:val="single" w:sz="4" w:space="0" w:color="auto"/>
              <w:right w:val="single" w:sz="4" w:space="0" w:color="auto"/>
            </w:tcBorders>
            <w:vAlign w:val="center"/>
          </w:tcPr>
          <w:p w14:paraId="51C95117"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38C08A"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0%</w:t>
            </w:r>
          </w:p>
        </w:tc>
      </w:tr>
      <w:tr w:rsidR="0008002E" w:rsidRPr="00EE0EEB" w14:paraId="44EB6535"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tcPr>
          <w:p w14:paraId="4B5A686B"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649D72"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 xml:space="preserve">Mild AD </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F910AE"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0.07</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01BD2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0.04</w:t>
            </w:r>
          </w:p>
        </w:tc>
        <w:tc>
          <w:tcPr>
            <w:tcW w:w="2523" w:type="dxa"/>
            <w:tcBorders>
              <w:top w:val="single" w:sz="4" w:space="0" w:color="auto"/>
              <w:left w:val="single" w:sz="4" w:space="0" w:color="auto"/>
              <w:bottom w:val="single" w:sz="4" w:space="0" w:color="auto"/>
              <w:right w:val="single" w:sz="4" w:space="0" w:color="auto"/>
            </w:tcBorders>
            <w:vAlign w:val="center"/>
          </w:tcPr>
          <w:p w14:paraId="6FC14D4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0.03</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BDFEF8"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6%</w:t>
            </w:r>
          </w:p>
        </w:tc>
      </w:tr>
      <w:tr w:rsidR="0008002E" w:rsidRPr="00EE0EEB" w14:paraId="15D7DF06"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tcPr>
          <w:p w14:paraId="1596786D"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969CBA"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Moderate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5076F1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0.36</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3D0E2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0.28</w:t>
            </w:r>
          </w:p>
        </w:tc>
        <w:tc>
          <w:tcPr>
            <w:tcW w:w="2523" w:type="dxa"/>
            <w:tcBorders>
              <w:top w:val="single" w:sz="4" w:space="0" w:color="auto"/>
              <w:left w:val="single" w:sz="4" w:space="0" w:color="auto"/>
              <w:bottom w:val="single" w:sz="4" w:space="0" w:color="auto"/>
              <w:right w:val="single" w:sz="4" w:space="0" w:color="auto"/>
            </w:tcBorders>
            <w:vAlign w:val="center"/>
          </w:tcPr>
          <w:p w14:paraId="56540D36"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0.08</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18BA8CE"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18%</w:t>
            </w:r>
          </w:p>
        </w:tc>
      </w:tr>
      <w:tr w:rsidR="0008002E" w:rsidRPr="00EE0EEB" w14:paraId="0464F09C"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right w:val="single" w:sz="4" w:space="0" w:color="auto"/>
            </w:tcBorders>
          </w:tcPr>
          <w:p w14:paraId="1593AA25"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F3136C"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Severe AD</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3D0919"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0.84</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92EF61"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1.07</w:t>
            </w:r>
          </w:p>
        </w:tc>
        <w:tc>
          <w:tcPr>
            <w:tcW w:w="2523" w:type="dxa"/>
            <w:tcBorders>
              <w:top w:val="single" w:sz="4" w:space="0" w:color="auto"/>
              <w:left w:val="single" w:sz="4" w:space="0" w:color="auto"/>
              <w:bottom w:val="single" w:sz="4" w:space="0" w:color="auto"/>
              <w:right w:val="single" w:sz="4" w:space="0" w:color="auto"/>
            </w:tcBorders>
            <w:vAlign w:val="center"/>
          </w:tcPr>
          <w:p w14:paraId="73F63A45"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-0.23</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2667B2"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-55%</w:t>
            </w:r>
          </w:p>
        </w:tc>
      </w:tr>
      <w:tr w:rsidR="0008002E" w:rsidRPr="00EE0EEB" w14:paraId="4182B0E9" w14:textId="77777777" w:rsidTr="00E81465">
        <w:tblPrEx>
          <w:tblCellMar>
            <w:left w:w="28" w:type="dxa"/>
            <w:right w:w="28" w:type="dxa"/>
          </w:tblCellMar>
          <w:tblLook w:val="01E0" w:firstRow="1" w:lastRow="1" w:firstColumn="1" w:lastColumn="1" w:noHBand="0" w:noVBand="0"/>
        </w:tblPrEx>
        <w:trPr>
          <w:cantSplit/>
          <w:trHeight w:val="218"/>
        </w:trPr>
        <w:tc>
          <w:tcPr>
            <w:tcW w:w="890" w:type="dxa"/>
            <w:vMerge/>
            <w:tcBorders>
              <w:left w:val="single" w:sz="4" w:space="0" w:color="auto"/>
              <w:bottom w:val="single" w:sz="4" w:space="0" w:color="auto"/>
              <w:right w:val="single" w:sz="4" w:space="0" w:color="auto"/>
            </w:tcBorders>
          </w:tcPr>
          <w:p w14:paraId="2F6F3517"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p>
        </w:tc>
        <w:tc>
          <w:tcPr>
            <w:tcW w:w="12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8547178" w14:textId="77777777" w:rsidR="0008002E" w:rsidRPr="00EE0EEB" w:rsidRDefault="0008002E" w:rsidP="00E81465">
            <w:pPr>
              <w:keepNext/>
              <w:spacing w:before="0" w:after="0"/>
              <w:jc w:val="left"/>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91F8B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1.26</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FE4797"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1.39</w:t>
            </w:r>
          </w:p>
        </w:tc>
        <w:tc>
          <w:tcPr>
            <w:tcW w:w="2523" w:type="dxa"/>
            <w:tcBorders>
              <w:top w:val="single" w:sz="4" w:space="0" w:color="auto"/>
              <w:left w:val="single" w:sz="4" w:space="0" w:color="auto"/>
              <w:bottom w:val="single" w:sz="4" w:space="0" w:color="auto"/>
              <w:right w:val="single" w:sz="4" w:space="0" w:color="auto"/>
            </w:tcBorders>
            <w:vAlign w:val="center"/>
          </w:tcPr>
          <w:p w14:paraId="120D228E"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-0.13</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F36BFE"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-30%</w:t>
            </w:r>
          </w:p>
        </w:tc>
      </w:tr>
      <w:tr w:rsidR="0008002E" w:rsidRPr="00EE0EEB" w14:paraId="21E2CA31" w14:textId="77777777" w:rsidTr="00E81465">
        <w:tblPrEx>
          <w:tblCellMar>
            <w:left w:w="28" w:type="dxa"/>
            <w:right w:w="28" w:type="dxa"/>
          </w:tblCellMar>
          <w:tblLook w:val="01E0" w:firstRow="1" w:lastRow="1" w:firstColumn="1" w:lastColumn="1" w:noHBand="0" w:noVBand="0"/>
        </w:tblPrEx>
        <w:trPr>
          <w:cantSplit/>
          <w:trHeight w:val="218"/>
        </w:trPr>
        <w:tc>
          <w:tcPr>
            <w:tcW w:w="2122" w:type="dxa"/>
            <w:gridSpan w:val="2"/>
            <w:tcBorders>
              <w:left w:val="single" w:sz="4" w:space="0" w:color="auto"/>
              <w:bottom w:val="single" w:sz="4" w:space="0" w:color="auto"/>
              <w:right w:val="single" w:sz="4" w:space="0" w:color="auto"/>
            </w:tcBorders>
            <w:vAlign w:val="center"/>
          </w:tcPr>
          <w:p w14:paraId="4DC9B8FB"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AE QALY decrement</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ECA42F5"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779FAC"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w:t>
            </w:r>
          </w:p>
        </w:tc>
        <w:tc>
          <w:tcPr>
            <w:tcW w:w="2523" w:type="dxa"/>
            <w:tcBorders>
              <w:top w:val="single" w:sz="4" w:space="0" w:color="auto"/>
              <w:left w:val="single" w:sz="4" w:space="0" w:color="auto"/>
              <w:bottom w:val="single" w:sz="4" w:space="0" w:color="auto"/>
              <w:right w:val="single" w:sz="4" w:space="0" w:color="auto"/>
            </w:tcBorders>
            <w:vAlign w:val="center"/>
          </w:tcPr>
          <w:p w14:paraId="48356E3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-0.00</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D10612"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w:t>
            </w:r>
          </w:p>
        </w:tc>
      </w:tr>
      <w:tr w:rsidR="0008002E" w:rsidRPr="00EE0EEB" w14:paraId="44E58350" w14:textId="77777777" w:rsidTr="00E81465">
        <w:tblPrEx>
          <w:tblCellMar>
            <w:left w:w="28" w:type="dxa"/>
            <w:right w:w="28" w:type="dxa"/>
          </w:tblCellMar>
          <w:tblLook w:val="01E0" w:firstRow="1" w:lastRow="1" w:firstColumn="1" w:lastColumn="1" w:noHBand="0" w:noVBand="0"/>
        </w:tblPrEx>
        <w:trPr>
          <w:cantSplit/>
          <w:trHeight w:val="218"/>
        </w:trPr>
        <w:tc>
          <w:tcPr>
            <w:tcW w:w="2122" w:type="dxa"/>
            <w:gridSpan w:val="2"/>
            <w:tcBorders>
              <w:left w:val="single" w:sz="4" w:space="0" w:color="auto"/>
              <w:bottom w:val="single" w:sz="4" w:space="0" w:color="auto"/>
              <w:right w:val="single" w:sz="4" w:space="0" w:color="auto"/>
            </w:tcBorders>
            <w:vAlign w:val="center"/>
          </w:tcPr>
          <w:p w14:paraId="147371A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Total patient QALYs</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DAC6F7"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4.48</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0FC248"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4.14</w:t>
            </w:r>
          </w:p>
        </w:tc>
        <w:tc>
          <w:tcPr>
            <w:tcW w:w="2523" w:type="dxa"/>
            <w:tcBorders>
              <w:top w:val="single" w:sz="4" w:space="0" w:color="auto"/>
              <w:left w:val="single" w:sz="4" w:space="0" w:color="auto"/>
              <w:bottom w:val="single" w:sz="4" w:space="0" w:color="auto"/>
              <w:right w:val="single" w:sz="4" w:space="0" w:color="auto"/>
            </w:tcBorders>
            <w:vAlign w:val="center"/>
          </w:tcPr>
          <w:p w14:paraId="0E9D01C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0.34</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858E211"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80%</w:t>
            </w:r>
          </w:p>
        </w:tc>
      </w:tr>
      <w:tr w:rsidR="0008002E" w:rsidRPr="00EE0EEB" w14:paraId="37E4CF6F" w14:textId="77777777" w:rsidTr="00E81465">
        <w:tblPrEx>
          <w:tblCellMar>
            <w:left w:w="28" w:type="dxa"/>
            <w:right w:w="28" w:type="dxa"/>
          </w:tblCellMar>
          <w:tblLook w:val="01E0" w:firstRow="1" w:lastRow="1" w:firstColumn="1" w:lastColumn="1" w:noHBand="0" w:noVBand="0"/>
        </w:tblPrEx>
        <w:trPr>
          <w:cantSplit/>
          <w:trHeight w:val="218"/>
        </w:trPr>
        <w:tc>
          <w:tcPr>
            <w:tcW w:w="2122" w:type="dxa"/>
            <w:gridSpan w:val="2"/>
            <w:tcBorders>
              <w:left w:val="single" w:sz="4" w:space="0" w:color="auto"/>
              <w:bottom w:val="single" w:sz="4" w:space="0" w:color="auto"/>
              <w:right w:val="single" w:sz="4" w:space="0" w:color="auto"/>
            </w:tcBorders>
            <w:vAlign w:val="center"/>
          </w:tcPr>
          <w:p w14:paraId="33EB657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Carer QALY decrement</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9F3734"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-0.78</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15A49A"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-0.86</w:t>
            </w:r>
          </w:p>
        </w:tc>
        <w:tc>
          <w:tcPr>
            <w:tcW w:w="2523" w:type="dxa"/>
            <w:tcBorders>
              <w:top w:val="single" w:sz="4" w:space="0" w:color="auto"/>
              <w:left w:val="single" w:sz="4" w:space="0" w:color="auto"/>
              <w:bottom w:val="single" w:sz="4" w:space="0" w:color="auto"/>
              <w:right w:val="single" w:sz="4" w:space="0" w:color="auto"/>
            </w:tcBorders>
            <w:vAlign w:val="center"/>
          </w:tcPr>
          <w:p w14:paraId="3C587233"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0.08</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21E898"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20%</w:t>
            </w:r>
          </w:p>
        </w:tc>
      </w:tr>
      <w:tr w:rsidR="0008002E" w:rsidRPr="00EE0EEB" w14:paraId="399C45E3" w14:textId="77777777" w:rsidTr="00E81465">
        <w:tblPrEx>
          <w:tblCellMar>
            <w:left w:w="28" w:type="dxa"/>
            <w:right w:w="28" w:type="dxa"/>
          </w:tblCellMar>
          <w:tblLook w:val="01E0" w:firstRow="1" w:lastRow="1" w:firstColumn="1" w:lastColumn="1" w:noHBand="0" w:noVBand="0"/>
        </w:tblPrEx>
        <w:trPr>
          <w:cantSplit/>
          <w:trHeight w:val="218"/>
        </w:trPr>
        <w:tc>
          <w:tcPr>
            <w:tcW w:w="2122" w:type="dxa"/>
            <w:gridSpan w:val="2"/>
            <w:tcBorders>
              <w:left w:val="single" w:sz="4" w:space="0" w:color="auto"/>
              <w:bottom w:val="single" w:sz="4" w:space="0" w:color="auto"/>
              <w:right w:val="single" w:sz="4" w:space="0" w:color="auto"/>
            </w:tcBorders>
            <w:vAlign w:val="center"/>
          </w:tcPr>
          <w:p w14:paraId="5FF6A259" w14:textId="77777777" w:rsidR="0008002E" w:rsidRPr="00EE0EEB" w:rsidRDefault="0008002E" w:rsidP="00E81465">
            <w:pPr>
              <w:keepNext/>
              <w:spacing w:before="0" w:after="0"/>
              <w:jc w:val="center"/>
              <w:rPr>
                <w:rFonts w:ascii="Arial Narrow" w:eastAsia="MS Gothic" w:hAnsi="Arial Narrow" w:cs="Times New Roman"/>
                <w:b/>
                <w:sz w:val="20"/>
                <w:szCs w:val="24"/>
                <w:lang w:eastAsia="en-AU"/>
              </w:rPr>
            </w:pPr>
            <w:r w:rsidRPr="00EE0EEB">
              <w:rPr>
                <w:rFonts w:ascii="Arial Narrow" w:eastAsia="MS Gothic" w:hAnsi="Arial Narrow" w:cs="Times New Roman"/>
                <w:b/>
                <w:sz w:val="20"/>
                <w:szCs w:val="24"/>
                <w:lang w:eastAsia="en-AU"/>
              </w:rPr>
              <w:t>Overall total QALYs</w:t>
            </w:r>
          </w:p>
        </w:tc>
        <w:tc>
          <w:tcPr>
            <w:tcW w:w="14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BF260C"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3.70</w:t>
            </w:r>
          </w:p>
        </w:tc>
        <w:tc>
          <w:tcPr>
            <w:tcW w:w="20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235B8D"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3.28</w:t>
            </w:r>
          </w:p>
        </w:tc>
        <w:tc>
          <w:tcPr>
            <w:tcW w:w="2523" w:type="dxa"/>
            <w:tcBorders>
              <w:top w:val="single" w:sz="4" w:space="0" w:color="auto"/>
              <w:left w:val="single" w:sz="4" w:space="0" w:color="auto"/>
              <w:bottom w:val="single" w:sz="4" w:space="0" w:color="auto"/>
              <w:right w:val="single" w:sz="4" w:space="0" w:color="auto"/>
            </w:tcBorders>
            <w:vAlign w:val="center"/>
          </w:tcPr>
          <w:p w14:paraId="127BE4C0" w14:textId="77777777" w:rsidR="0008002E" w:rsidRPr="00EE0EEB" w:rsidRDefault="0008002E" w:rsidP="00E81465">
            <w:pPr>
              <w:keepNext/>
              <w:spacing w:before="0" w:after="0"/>
              <w:jc w:val="center"/>
              <w:rPr>
                <w:rFonts w:ascii="Arial Narrow" w:eastAsia="MS Gothic" w:hAnsi="Arial Narrow" w:cs="Times New Roman"/>
                <w:bCs/>
                <w:sz w:val="20"/>
                <w:szCs w:val="24"/>
                <w:lang w:eastAsia="en-AU"/>
              </w:rPr>
            </w:pPr>
            <w:r w:rsidRPr="00EE0EEB">
              <w:rPr>
                <w:rFonts w:ascii="Arial Narrow" w:eastAsia="MS Gothic" w:hAnsi="Arial Narrow" w:cs="Times New Roman"/>
                <w:bCs/>
                <w:sz w:val="20"/>
                <w:szCs w:val="24"/>
                <w:lang w:eastAsia="en-AU"/>
              </w:rPr>
              <w:t>0.42</w:t>
            </w:r>
          </w:p>
        </w:tc>
        <w:tc>
          <w:tcPr>
            <w:tcW w:w="128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0359E4" w14:textId="77777777" w:rsidR="0008002E" w:rsidRPr="008D45BD" w:rsidRDefault="0008002E" w:rsidP="00E81465">
            <w:pPr>
              <w:keepNext/>
              <w:spacing w:before="0" w:after="0"/>
              <w:jc w:val="center"/>
              <w:rPr>
                <w:rFonts w:ascii="Arial Narrow" w:eastAsia="MS Gothic" w:hAnsi="Arial Narrow" w:cs="Times New Roman"/>
                <w:bCs/>
                <w:sz w:val="20"/>
                <w:szCs w:val="24"/>
                <w:lang w:eastAsia="en-AU"/>
              </w:rPr>
            </w:pPr>
            <w:r w:rsidRPr="008D45BD">
              <w:rPr>
                <w:rFonts w:ascii="Arial Narrow" w:eastAsia="MS Gothic" w:hAnsi="Arial Narrow" w:cs="Times New Roman"/>
                <w:bCs/>
                <w:sz w:val="20"/>
                <w:szCs w:val="24"/>
                <w:lang w:eastAsia="en-AU"/>
              </w:rPr>
              <w:t>100%</w:t>
            </w:r>
          </w:p>
        </w:tc>
      </w:tr>
    </w:tbl>
    <w:p w14:paraId="3B31E8F0" w14:textId="77777777" w:rsidR="0008002E" w:rsidRPr="00EE0EEB" w:rsidRDefault="0008002E" w:rsidP="0008002E">
      <w:pPr>
        <w:pStyle w:val="TableFigureFooter"/>
      </w:pPr>
      <w:r w:rsidRPr="00EE0EEB">
        <w:t xml:space="preserve">Source: </w:t>
      </w:r>
      <w:r w:rsidRPr="00D058AF">
        <w:t>Constructed during the evaluation from the</w:t>
      </w:r>
      <w:r w:rsidRPr="00EE0EEB">
        <w:t xml:space="preserve"> “3.3_Donanemab cost effectiveness model” attachment provided with the submission.</w:t>
      </w:r>
    </w:p>
    <w:p w14:paraId="04C20001" w14:textId="3E8FEEB6" w:rsidR="0008002E" w:rsidRDefault="0008002E" w:rsidP="0008002E">
      <w:pPr>
        <w:pStyle w:val="TableFigureFooter"/>
        <w:keepNext/>
      </w:pPr>
      <w:r w:rsidRPr="00EE0EEB">
        <w:t>AD = Alzheimer</w:t>
      </w:r>
      <w:r w:rsidR="00D058AF">
        <w:t>’s</w:t>
      </w:r>
      <w:r w:rsidRPr="00EE0EEB">
        <w:t xml:space="preserve"> Disease; AE = adverse event; MCI = mild cognitive impairment; QALY = qualify-adjusted life year; SOC = standard of care.</w:t>
      </w:r>
    </w:p>
    <w:p w14:paraId="2186DE69" w14:textId="410F208B" w:rsidR="0008002E" w:rsidRPr="0070272E" w:rsidRDefault="0008002E" w:rsidP="00DD02B1">
      <w:pPr>
        <w:pStyle w:val="3-BodyText"/>
        <w:numPr>
          <w:ilvl w:val="1"/>
          <w:numId w:val="23"/>
        </w:numPr>
        <w:spacing w:before="60" w:after="60"/>
        <w:ind w:left="709" w:hanging="709"/>
      </w:pPr>
      <w:r w:rsidRPr="0070272E">
        <w:t xml:space="preserve">Key sensitivity analyses conducted during the evaluation are presented in </w:t>
      </w:r>
      <w:r w:rsidR="0020516C">
        <w:fldChar w:fldCharType="begin"/>
      </w:r>
      <w:r w:rsidR="0020516C">
        <w:instrText xml:space="preserve"> REF _Ref204780241 \h </w:instrText>
      </w:r>
      <w:r w:rsidR="0020516C">
        <w:fldChar w:fldCharType="separate"/>
      </w:r>
      <w:r w:rsidR="00392423">
        <w:t xml:space="preserve">Table </w:t>
      </w:r>
      <w:r w:rsidR="00392423">
        <w:rPr>
          <w:noProof/>
        </w:rPr>
        <w:t>22</w:t>
      </w:r>
      <w:r w:rsidR="0020516C">
        <w:fldChar w:fldCharType="end"/>
      </w:r>
      <w:r w:rsidRPr="0070272E">
        <w:t xml:space="preserve">. </w:t>
      </w:r>
    </w:p>
    <w:p w14:paraId="4E0F36E3" w14:textId="7DB41F21" w:rsidR="0008002E" w:rsidRPr="00EE0EEB" w:rsidRDefault="00131043" w:rsidP="0020516C">
      <w:pPr>
        <w:pStyle w:val="Caption"/>
        <w:rPr>
          <w:szCs w:val="16"/>
          <w:lang w:val="en-AU"/>
        </w:rPr>
      </w:pPr>
      <w:bookmarkStart w:id="56" w:name="_Ref204780241"/>
      <w:r>
        <w:lastRenderedPageBreak/>
        <w:t xml:space="preserve">Table </w:t>
      </w:r>
      <w:r>
        <w:fldChar w:fldCharType="begin"/>
      </w:r>
      <w:r>
        <w:instrText xml:space="preserve"> SEQ Table \* ARABIC </w:instrText>
      </w:r>
      <w:r>
        <w:fldChar w:fldCharType="separate"/>
      </w:r>
      <w:r w:rsidR="00392423">
        <w:rPr>
          <w:noProof/>
        </w:rPr>
        <w:t>22</w:t>
      </w:r>
      <w:r>
        <w:fldChar w:fldCharType="end"/>
      </w:r>
      <w:bookmarkEnd w:id="56"/>
      <w:r w:rsidR="00CC40F2">
        <w:rPr>
          <w:lang w:val="en-AU"/>
        </w:rPr>
        <w:t xml:space="preserve">: </w:t>
      </w:r>
      <w:r w:rsidR="0008002E" w:rsidRPr="00EE0EEB">
        <w:rPr>
          <w:lang w:val="en-AU"/>
        </w:rPr>
        <w:t xml:space="preserve">Key </w:t>
      </w:r>
      <w:r w:rsidR="0008002E">
        <w:rPr>
          <w:rStyle w:val="CommentReference"/>
          <w:b/>
          <w:lang w:val="en-AU"/>
        </w:rPr>
        <w:t>s</w:t>
      </w:r>
      <w:r w:rsidR="0008002E" w:rsidRPr="00EE0EEB">
        <w:rPr>
          <w:rStyle w:val="CommentReference"/>
          <w:b/>
          <w:lang w:val="en-AU"/>
        </w:rPr>
        <w:t>ensitivity analyses</w:t>
      </w:r>
    </w:p>
    <w:tbl>
      <w:tblPr>
        <w:tblStyle w:val="TableGrid"/>
        <w:tblW w:w="0" w:type="auto"/>
        <w:tblLook w:val="04A0" w:firstRow="1" w:lastRow="0" w:firstColumn="1" w:lastColumn="0" w:noHBand="0" w:noVBand="1"/>
        <w:tblCaption w:val="Table 22: Key sensitivity analyses"/>
      </w:tblPr>
      <w:tblGrid>
        <w:gridCol w:w="3823"/>
        <w:gridCol w:w="1173"/>
        <w:gridCol w:w="1004"/>
        <w:gridCol w:w="1642"/>
        <w:gridCol w:w="1374"/>
      </w:tblGrid>
      <w:tr w:rsidR="00C851E1" w:rsidRPr="0070272E" w14:paraId="74759959" w14:textId="77777777" w:rsidTr="0011632C">
        <w:trPr>
          <w:cnfStyle w:val="100000000000" w:firstRow="1" w:lastRow="0" w:firstColumn="0" w:lastColumn="0" w:oddVBand="0" w:evenVBand="0" w:oddHBand="0" w:evenHBand="0" w:firstRowFirstColumn="0" w:firstRowLastColumn="0" w:lastRowFirstColumn="0" w:lastRowLastColumn="0"/>
          <w:trHeight w:val="20"/>
          <w:tblHeader/>
        </w:trPr>
        <w:tc>
          <w:tcPr>
            <w:tcW w:w="3823" w:type="dxa"/>
            <w:tcBorders>
              <w:top w:val="single" w:sz="4" w:space="0" w:color="auto"/>
              <w:left w:val="single" w:sz="4" w:space="0" w:color="auto"/>
              <w:bottom w:val="single" w:sz="4" w:space="0" w:color="auto"/>
              <w:right w:val="single" w:sz="4" w:space="0" w:color="auto"/>
            </w:tcBorders>
            <w:noWrap/>
            <w:vAlign w:val="center"/>
          </w:tcPr>
          <w:p w14:paraId="38B98D03" w14:textId="77777777" w:rsidR="0008002E" w:rsidRPr="0070272E" w:rsidRDefault="0008002E" w:rsidP="00E81465">
            <w:pPr>
              <w:pStyle w:val="TableText"/>
              <w:keepNext/>
              <w:keepLines/>
              <w:tabs>
                <w:tab w:val="center" w:pos="2593"/>
              </w:tabs>
              <w:contextualSpacing/>
              <w:jc w:val="center"/>
              <w:rPr>
                <w:bCs/>
                <w:lang w:val="en-AU"/>
              </w:rPr>
            </w:pPr>
            <w:r w:rsidRPr="0070272E">
              <w:rPr>
                <w:lang w:val="en-AU"/>
              </w:rPr>
              <w:t>Analyses</w:t>
            </w:r>
          </w:p>
        </w:tc>
        <w:tc>
          <w:tcPr>
            <w:tcW w:w="1173" w:type="dxa"/>
            <w:tcBorders>
              <w:top w:val="single" w:sz="4" w:space="0" w:color="auto"/>
              <w:left w:val="single" w:sz="4" w:space="0" w:color="auto"/>
              <w:bottom w:val="single" w:sz="4" w:space="0" w:color="auto"/>
              <w:right w:val="single" w:sz="4" w:space="0" w:color="auto"/>
            </w:tcBorders>
            <w:noWrap/>
            <w:vAlign w:val="center"/>
          </w:tcPr>
          <w:p w14:paraId="4163912B" w14:textId="77777777" w:rsidR="0008002E" w:rsidRPr="0070272E" w:rsidRDefault="0008002E" w:rsidP="00E81465">
            <w:pPr>
              <w:pStyle w:val="TableText"/>
              <w:keepNext/>
              <w:keepLines/>
              <w:contextualSpacing/>
              <w:jc w:val="center"/>
              <w:rPr>
                <w:bCs/>
                <w:lang w:val="en-AU"/>
              </w:rPr>
            </w:pPr>
            <w:r w:rsidRPr="0070272E">
              <w:rPr>
                <w:lang w:val="en-AU"/>
              </w:rPr>
              <w:t>Inc. costs</w:t>
            </w:r>
          </w:p>
        </w:tc>
        <w:tc>
          <w:tcPr>
            <w:tcW w:w="1004" w:type="dxa"/>
            <w:tcBorders>
              <w:top w:val="single" w:sz="4" w:space="0" w:color="auto"/>
              <w:left w:val="single" w:sz="4" w:space="0" w:color="auto"/>
              <w:bottom w:val="single" w:sz="4" w:space="0" w:color="auto"/>
              <w:right w:val="single" w:sz="4" w:space="0" w:color="auto"/>
            </w:tcBorders>
            <w:noWrap/>
            <w:vAlign w:val="center"/>
          </w:tcPr>
          <w:p w14:paraId="23C4F9BC" w14:textId="77777777" w:rsidR="0008002E" w:rsidRPr="0070272E" w:rsidRDefault="0008002E" w:rsidP="00E81465">
            <w:pPr>
              <w:pStyle w:val="TableText"/>
              <w:keepNext/>
              <w:keepLines/>
              <w:contextualSpacing/>
              <w:jc w:val="center"/>
              <w:rPr>
                <w:bCs/>
                <w:lang w:val="en-AU"/>
              </w:rPr>
            </w:pPr>
            <w:r w:rsidRPr="0070272E">
              <w:rPr>
                <w:lang w:val="en-AU"/>
              </w:rPr>
              <w:t>Inc. QALYs</w:t>
            </w:r>
          </w:p>
        </w:tc>
        <w:tc>
          <w:tcPr>
            <w:tcW w:w="1642" w:type="dxa"/>
            <w:tcBorders>
              <w:top w:val="single" w:sz="4" w:space="0" w:color="auto"/>
              <w:left w:val="single" w:sz="4" w:space="0" w:color="auto"/>
              <w:bottom w:val="single" w:sz="4" w:space="0" w:color="auto"/>
              <w:right w:val="single" w:sz="4" w:space="0" w:color="auto"/>
            </w:tcBorders>
            <w:noWrap/>
            <w:vAlign w:val="center"/>
          </w:tcPr>
          <w:p w14:paraId="56AD7657" w14:textId="77777777" w:rsidR="0008002E" w:rsidRPr="0070272E" w:rsidRDefault="0008002E" w:rsidP="00E81465">
            <w:pPr>
              <w:pStyle w:val="TableText"/>
              <w:keepNext/>
              <w:keepLines/>
              <w:contextualSpacing/>
              <w:jc w:val="center"/>
              <w:rPr>
                <w:bCs/>
                <w:lang w:val="en-AU"/>
              </w:rPr>
            </w:pPr>
            <w:r w:rsidRPr="0070272E">
              <w:rPr>
                <w:lang w:val="en-AU"/>
              </w:rPr>
              <w:t>ICER</w:t>
            </w:r>
          </w:p>
        </w:tc>
        <w:tc>
          <w:tcPr>
            <w:tcW w:w="1374" w:type="dxa"/>
            <w:tcBorders>
              <w:top w:val="single" w:sz="4" w:space="0" w:color="auto"/>
              <w:left w:val="single" w:sz="4" w:space="0" w:color="auto"/>
              <w:bottom w:val="single" w:sz="4" w:space="0" w:color="auto"/>
              <w:right w:val="single" w:sz="4" w:space="0" w:color="auto"/>
            </w:tcBorders>
            <w:noWrap/>
            <w:vAlign w:val="center"/>
          </w:tcPr>
          <w:p w14:paraId="57A1C7AA" w14:textId="1E4708F3" w:rsidR="0008002E" w:rsidRPr="0070272E" w:rsidRDefault="0008002E" w:rsidP="00E81465">
            <w:pPr>
              <w:pStyle w:val="TableText"/>
              <w:keepNext/>
              <w:keepLines/>
              <w:contextualSpacing/>
              <w:jc w:val="center"/>
              <w:rPr>
                <w:bCs/>
                <w:lang w:val="en-AU"/>
              </w:rPr>
            </w:pPr>
            <w:r w:rsidRPr="0070272E">
              <w:rPr>
                <w:lang w:val="en-AU"/>
              </w:rPr>
              <w:t>%</w:t>
            </w:r>
            <w:r w:rsidR="00D74627">
              <w:rPr>
                <w:lang w:val="en-AU"/>
              </w:rPr>
              <w:t xml:space="preserve"> change</w:t>
            </w:r>
          </w:p>
        </w:tc>
      </w:tr>
      <w:tr w:rsidR="0008002E" w:rsidRPr="0070272E" w14:paraId="45FF2A3F"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tcBorders>
            <w:noWrap/>
            <w:vAlign w:val="center"/>
          </w:tcPr>
          <w:p w14:paraId="5E88EE4E" w14:textId="77777777" w:rsidR="0008002E" w:rsidRPr="0070272E" w:rsidRDefault="0008002E" w:rsidP="00E81465">
            <w:pPr>
              <w:pStyle w:val="TableText"/>
              <w:keepNext/>
              <w:keepLines/>
              <w:contextualSpacing/>
              <w:rPr>
                <w:b/>
                <w:bCs/>
                <w:lang w:val="en-AU"/>
              </w:rPr>
            </w:pPr>
            <w:r w:rsidRPr="0070272E">
              <w:rPr>
                <w:b/>
                <w:bCs/>
                <w:lang w:val="en-AU"/>
              </w:rPr>
              <w:t>Base case</w:t>
            </w:r>
          </w:p>
        </w:tc>
        <w:tc>
          <w:tcPr>
            <w:tcW w:w="1173" w:type="dxa"/>
            <w:tcBorders>
              <w:top w:val="single" w:sz="4" w:space="0" w:color="auto"/>
            </w:tcBorders>
            <w:noWrap/>
            <w:vAlign w:val="center"/>
          </w:tcPr>
          <w:p w14:paraId="462B13A8" w14:textId="39994F8D" w:rsidR="0008002E" w:rsidRPr="00D47EDF" w:rsidRDefault="0008002E" w:rsidP="00E81465">
            <w:pPr>
              <w:pStyle w:val="TableText"/>
              <w:keepNext/>
              <w:keepLines/>
              <w:contextualSpacing/>
              <w:jc w:val="center"/>
              <w:rPr>
                <w:b/>
                <w:bCs/>
                <w:vertAlign w:val="superscript"/>
                <w:lang w:val="en-AU"/>
              </w:rPr>
            </w:pPr>
            <w:r w:rsidRPr="0070272E">
              <w:rPr>
                <w:lang w:val="en-AU"/>
              </w:rPr>
              <w:t>$</w:t>
            </w:r>
            <w:r w:rsidR="00CD4EA9" w:rsidRPr="00CD4EA9">
              <w:rPr>
                <w:color w:val="000000"/>
                <w:spacing w:val="53"/>
                <w:shd w:val="solid" w:color="000000" w:fill="000000"/>
                <w:fitText w:val="330" w:id="-632121329"/>
                <w:lang w:val="en-AU"/>
                <w14:textFill>
                  <w14:solidFill>
                    <w14:srgbClr w14:val="000000">
                      <w14:alpha w14:val="100000"/>
                    </w14:srgbClr>
                  </w14:solidFill>
                </w14:textFill>
              </w:rPr>
              <w:t>|||</w:t>
            </w:r>
            <w:r w:rsidR="00CD4EA9" w:rsidRPr="00CD4EA9">
              <w:rPr>
                <w:color w:val="000000"/>
                <w:spacing w:val="1"/>
                <w:shd w:val="solid" w:color="000000" w:fill="000000"/>
                <w:fitText w:val="330" w:id="-632121329"/>
                <w:lang w:val="en-AU"/>
                <w14:textFill>
                  <w14:solidFill>
                    <w14:srgbClr w14:val="000000">
                      <w14:alpha w14:val="100000"/>
                    </w14:srgbClr>
                  </w14:solidFill>
                </w14:textFill>
              </w:rPr>
              <w:t>|</w:t>
            </w:r>
          </w:p>
        </w:tc>
        <w:tc>
          <w:tcPr>
            <w:tcW w:w="1004" w:type="dxa"/>
            <w:tcBorders>
              <w:top w:val="single" w:sz="4" w:space="0" w:color="auto"/>
            </w:tcBorders>
            <w:noWrap/>
            <w:vAlign w:val="center"/>
          </w:tcPr>
          <w:p w14:paraId="7D9DEE64" w14:textId="77777777" w:rsidR="0008002E" w:rsidRPr="0070272E" w:rsidRDefault="0008002E" w:rsidP="00E81465">
            <w:pPr>
              <w:pStyle w:val="TableText"/>
              <w:keepNext/>
              <w:keepLines/>
              <w:contextualSpacing/>
              <w:jc w:val="center"/>
              <w:rPr>
                <w:b/>
                <w:bCs/>
                <w:lang w:val="en-AU"/>
              </w:rPr>
            </w:pPr>
            <w:r w:rsidRPr="0070272E">
              <w:rPr>
                <w:lang w:val="en-AU"/>
              </w:rPr>
              <w:t>0.42</w:t>
            </w:r>
          </w:p>
        </w:tc>
        <w:tc>
          <w:tcPr>
            <w:tcW w:w="1642" w:type="dxa"/>
            <w:tcBorders>
              <w:top w:val="single" w:sz="4" w:space="0" w:color="auto"/>
            </w:tcBorders>
            <w:noWrap/>
            <w:vAlign w:val="center"/>
          </w:tcPr>
          <w:p w14:paraId="2ECF74C8" w14:textId="028EC808" w:rsidR="0008002E" w:rsidRPr="0011632C" w:rsidRDefault="0008002E" w:rsidP="00E81465">
            <w:pPr>
              <w:pStyle w:val="TableText"/>
              <w:keepNext/>
              <w:keepLines/>
              <w:contextualSpacing/>
              <w:jc w:val="center"/>
              <w:rPr>
                <w:b/>
                <w:bCs/>
                <w:vertAlign w:val="superscript"/>
                <w:lang w:val="en-AU"/>
              </w:rPr>
            </w:pPr>
            <w:r w:rsidRPr="0070272E">
              <w:rPr>
                <w:lang w:val="en-AU"/>
              </w:rPr>
              <w:t>$</w:t>
            </w:r>
            <w:r w:rsidR="00CD4EA9" w:rsidRPr="00CD4EA9">
              <w:rPr>
                <w:color w:val="000000"/>
                <w:spacing w:val="53"/>
                <w:shd w:val="solid" w:color="000000" w:fill="000000"/>
                <w:fitText w:val="330" w:id="-632121328"/>
                <w:lang w:val="en-AU"/>
                <w14:textFill>
                  <w14:solidFill>
                    <w14:srgbClr w14:val="000000">
                      <w14:alpha w14:val="100000"/>
                    </w14:srgbClr>
                  </w14:solidFill>
                </w14:textFill>
              </w:rPr>
              <w:t>|||</w:t>
            </w:r>
            <w:r w:rsidR="00CD4EA9" w:rsidRPr="00CD4EA9">
              <w:rPr>
                <w:color w:val="000000"/>
                <w:spacing w:val="1"/>
                <w:shd w:val="solid" w:color="000000" w:fill="000000"/>
                <w:fitText w:val="330" w:id="-632121328"/>
                <w:lang w:val="en-AU"/>
                <w14:textFill>
                  <w14:solidFill>
                    <w14:srgbClr w14:val="000000">
                      <w14:alpha w14:val="100000"/>
                    </w14:srgbClr>
                  </w14:solidFill>
                </w14:textFill>
              </w:rPr>
              <w:t>|</w:t>
            </w:r>
            <w:r w:rsidR="0016393F">
              <w:rPr>
                <w:vertAlign w:val="superscript"/>
                <w:lang w:val="en-AU"/>
              </w:rPr>
              <w:t>1</w:t>
            </w:r>
          </w:p>
        </w:tc>
        <w:tc>
          <w:tcPr>
            <w:tcW w:w="1374" w:type="dxa"/>
            <w:tcBorders>
              <w:top w:val="single" w:sz="4" w:space="0" w:color="auto"/>
            </w:tcBorders>
            <w:noWrap/>
            <w:vAlign w:val="center"/>
          </w:tcPr>
          <w:p w14:paraId="67BFD945" w14:textId="77777777" w:rsidR="0008002E" w:rsidRPr="0070272E" w:rsidRDefault="0008002E" w:rsidP="00E81465">
            <w:pPr>
              <w:pStyle w:val="TableText"/>
              <w:keepNext/>
              <w:keepLines/>
              <w:contextualSpacing/>
              <w:jc w:val="center"/>
              <w:rPr>
                <w:b/>
                <w:bCs/>
                <w:lang w:val="en-AU"/>
              </w:rPr>
            </w:pPr>
            <w:r w:rsidRPr="00E80A5E">
              <w:rPr>
                <w:lang w:val="en-AU"/>
              </w:rPr>
              <w:t>0</w:t>
            </w:r>
            <w:r w:rsidRPr="0070272E">
              <w:rPr>
                <w:lang w:val="en-AU"/>
              </w:rPr>
              <w:t>%</w:t>
            </w:r>
          </w:p>
        </w:tc>
      </w:tr>
      <w:tr w:rsidR="0008002E" w:rsidRPr="0070272E" w14:paraId="6DEB1500"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single" w:sz="4" w:space="0" w:color="auto"/>
            </w:tcBorders>
            <w:noWrap/>
            <w:vAlign w:val="center"/>
          </w:tcPr>
          <w:p w14:paraId="6904883A" w14:textId="77777777" w:rsidR="0008002E" w:rsidRPr="0070272E" w:rsidRDefault="0008002E" w:rsidP="00E81465">
            <w:pPr>
              <w:pStyle w:val="TableText"/>
              <w:keepNext/>
              <w:keepLines/>
              <w:contextualSpacing/>
              <w:rPr>
                <w:lang w:val="en-AU"/>
              </w:rPr>
            </w:pPr>
            <w:r w:rsidRPr="0070272E">
              <w:rPr>
                <w:lang w:val="en-AU"/>
              </w:rPr>
              <w:t>Carer QALYs (base case: included)</w:t>
            </w:r>
          </w:p>
        </w:tc>
      </w:tr>
      <w:tr w:rsidR="0008002E" w:rsidRPr="0070272E" w14:paraId="77FDBED9"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tcBorders>
            <w:noWrap/>
            <w:vAlign w:val="center"/>
          </w:tcPr>
          <w:p w14:paraId="6E918B78" w14:textId="77777777" w:rsidR="0008002E" w:rsidRPr="0070272E" w:rsidRDefault="0008002E" w:rsidP="00DD02B1">
            <w:pPr>
              <w:pStyle w:val="TableText"/>
              <w:keepNext/>
              <w:keepLines/>
              <w:numPr>
                <w:ilvl w:val="0"/>
                <w:numId w:val="15"/>
              </w:numPr>
              <w:ind w:left="0" w:firstLine="0"/>
              <w:rPr>
                <w:lang w:val="en-AU"/>
              </w:rPr>
            </w:pPr>
            <w:r w:rsidRPr="0070272E">
              <w:rPr>
                <w:lang w:val="en-AU"/>
              </w:rPr>
              <w:t xml:space="preserve">Excluded </w:t>
            </w:r>
            <w:r w:rsidRPr="0070272E">
              <w:rPr>
                <w:b/>
                <w:bCs/>
                <w:lang w:val="en-AU"/>
              </w:rPr>
              <w:t>#1</w:t>
            </w:r>
          </w:p>
        </w:tc>
        <w:tc>
          <w:tcPr>
            <w:tcW w:w="1173" w:type="dxa"/>
            <w:tcBorders>
              <w:top w:val="nil"/>
            </w:tcBorders>
            <w:noWrap/>
          </w:tcPr>
          <w:p w14:paraId="60A07F24" w14:textId="5AB0E009"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4"/>
                <w:lang w:val="en-AU"/>
                <w14:textFill>
                  <w14:solidFill>
                    <w14:srgbClr w14:val="000000">
                      <w14:alpha w14:val="100000"/>
                    </w14:srgbClr>
                  </w14:solidFill>
                </w14:textFill>
              </w:rPr>
              <w:t>|||</w:t>
            </w:r>
            <w:r w:rsidR="00CD4EA9" w:rsidRPr="00CD4EA9">
              <w:rPr>
                <w:color w:val="000000"/>
                <w:spacing w:val="1"/>
                <w:shd w:val="solid" w:color="000000" w:fill="000000"/>
                <w:fitText w:val="330" w:id="-632121344"/>
                <w:lang w:val="en-AU"/>
                <w14:textFill>
                  <w14:solidFill>
                    <w14:srgbClr w14:val="000000">
                      <w14:alpha w14:val="100000"/>
                    </w14:srgbClr>
                  </w14:solidFill>
                </w14:textFill>
              </w:rPr>
              <w:t>|</w:t>
            </w:r>
          </w:p>
        </w:tc>
        <w:tc>
          <w:tcPr>
            <w:tcW w:w="1004" w:type="dxa"/>
            <w:tcBorders>
              <w:top w:val="nil"/>
            </w:tcBorders>
            <w:noWrap/>
          </w:tcPr>
          <w:p w14:paraId="083A6E5C" w14:textId="77777777" w:rsidR="0008002E" w:rsidRPr="0070272E" w:rsidRDefault="0008002E" w:rsidP="00E81465">
            <w:pPr>
              <w:pStyle w:val="TableText"/>
              <w:keepNext/>
              <w:keepLines/>
              <w:contextualSpacing/>
              <w:jc w:val="center"/>
              <w:rPr>
                <w:lang w:val="en-AU"/>
              </w:rPr>
            </w:pPr>
            <w:r w:rsidRPr="0070272E">
              <w:rPr>
                <w:lang w:val="en-AU"/>
              </w:rPr>
              <w:t>0.34</w:t>
            </w:r>
          </w:p>
        </w:tc>
        <w:tc>
          <w:tcPr>
            <w:tcW w:w="1642" w:type="dxa"/>
            <w:tcBorders>
              <w:top w:val="nil"/>
            </w:tcBorders>
            <w:noWrap/>
          </w:tcPr>
          <w:p w14:paraId="44A87093" w14:textId="3587E659"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3"/>
                <w:lang w:val="en-AU"/>
                <w14:textFill>
                  <w14:solidFill>
                    <w14:srgbClr w14:val="000000">
                      <w14:alpha w14:val="100000"/>
                    </w14:srgbClr>
                  </w14:solidFill>
                </w14:textFill>
              </w:rPr>
              <w:t>|||</w:t>
            </w:r>
            <w:r w:rsidR="00CD4EA9" w:rsidRPr="00CD4EA9">
              <w:rPr>
                <w:color w:val="000000"/>
                <w:spacing w:val="1"/>
                <w:shd w:val="solid" w:color="000000" w:fill="000000"/>
                <w:fitText w:val="330" w:id="-632121343"/>
                <w:lang w:val="en-AU"/>
                <w14:textFill>
                  <w14:solidFill>
                    <w14:srgbClr w14:val="000000">
                      <w14:alpha w14:val="100000"/>
                    </w14:srgbClr>
                  </w14:solidFill>
                </w14:textFill>
              </w:rPr>
              <w:t>|</w:t>
            </w:r>
            <w:r w:rsidR="00244C5F">
              <w:rPr>
                <w:vertAlign w:val="superscript"/>
                <w:lang w:val="en-AU"/>
              </w:rPr>
              <w:t>2</w:t>
            </w:r>
          </w:p>
        </w:tc>
        <w:tc>
          <w:tcPr>
            <w:tcW w:w="1374" w:type="dxa"/>
            <w:tcBorders>
              <w:top w:val="nil"/>
            </w:tcBorders>
            <w:noWrap/>
          </w:tcPr>
          <w:p w14:paraId="0CF3973D" w14:textId="50D55D73"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42"/>
                <w:lang w:val="en-AU"/>
                <w14:textFill>
                  <w14:solidFill>
                    <w14:srgbClr w14:val="000000">
                      <w14:alpha w14:val="100000"/>
                    </w14:srgbClr>
                  </w14:solidFill>
                </w14:textFill>
              </w:rPr>
              <w:t>|||</w:t>
            </w:r>
            <w:r w:rsidRPr="00CD4EA9">
              <w:rPr>
                <w:color w:val="000000"/>
                <w:spacing w:val="1"/>
                <w:shd w:val="solid" w:color="000000" w:fill="000000"/>
                <w:fitText w:val="330" w:id="-632121342"/>
                <w:lang w:val="en-AU"/>
                <w14:textFill>
                  <w14:solidFill>
                    <w14:srgbClr w14:val="000000">
                      <w14:alpha w14:val="100000"/>
                    </w14:srgbClr>
                  </w14:solidFill>
                </w14:textFill>
              </w:rPr>
              <w:t>|</w:t>
            </w:r>
            <w:r w:rsidR="0008002E" w:rsidRPr="0070272E">
              <w:rPr>
                <w:lang w:val="en-AU"/>
              </w:rPr>
              <w:t>%</w:t>
            </w:r>
          </w:p>
        </w:tc>
      </w:tr>
      <w:tr w:rsidR="0008002E" w:rsidRPr="0070272E" w14:paraId="065A921C"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bottom w:val="single" w:sz="4" w:space="0" w:color="auto"/>
            </w:tcBorders>
            <w:noWrap/>
            <w:vAlign w:val="center"/>
          </w:tcPr>
          <w:p w14:paraId="5C8F73CE" w14:textId="77777777" w:rsidR="0008002E" w:rsidRPr="0070272E" w:rsidRDefault="0008002E" w:rsidP="00E81465">
            <w:pPr>
              <w:pStyle w:val="TableText"/>
              <w:keepNext/>
              <w:keepLines/>
              <w:contextualSpacing/>
              <w:rPr>
                <w:lang w:val="en-AU"/>
              </w:rPr>
            </w:pPr>
            <w:r w:rsidRPr="0070272E">
              <w:rPr>
                <w:lang w:val="en-AU"/>
              </w:rPr>
              <w:t>Discount rate (base case: 5%)</w:t>
            </w:r>
          </w:p>
        </w:tc>
      </w:tr>
      <w:tr w:rsidR="0008002E" w:rsidRPr="0070272E" w14:paraId="4937B623"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3823" w:type="dxa"/>
            <w:tcBorders>
              <w:top w:val="single" w:sz="4" w:space="0" w:color="auto"/>
              <w:bottom w:val="nil"/>
            </w:tcBorders>
            <w:noWrap/>
            <w:vAlign w:val="center"/>
          </w:tcPr>
          <w:p w14:paraId="5BA401B4" w14:textId="77777777" w:rsidR="0008002E" w:rsidRPr="0070272E" w:rsidRDefault="0008002E" w:rsidP="00DD02B1">
            <w:pPr>
              <w:pStyle w:val="TableText"/>
              <w:keepNext/>
              <w:keepLines/>
              <w:numPr>
                <w:ilvl w:val="0"/>
                <w:numId w:val="15"/>
              </w:numPr>
              <w:ind w:left="0" w:firstLine="0"/>
              <w:rPr>
                <w:lang w:val="en-AU"/>
              </w:rPr>
            </w:pPr>
            <w:r w:rsidRPr="0070272E">
              <w:rPr>
                <w:lang w:val="en-AU"/>
              </w:rPr>
              <w:t>3.5%</w:t>
            </w:r>
          </w:p>
        </w:tc>
        <w:tc>
          <w:tcPr>
            <w:tcW w:w="1173" w:type="dxa"/>
            <w:tcBorders>
              <w:top w:val="single" w:sz="4" w:space="0" w:color="auto"/>
              <w:bottom w:val="nil"/>
            </w:tcBorders>
            <w:noWrap/>
          </w:tcPr>
          <w:p w14:paraId="3DE245CF" w14:textId="56DB3B01"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1"/>
                <w:lang w:val="en-AU"/>
                <w14:textFill>
                  <w14:solidFill>
                    <w14:srgbClr w14:val="000000">
                      <w14:alpha w14:val="100000"/>
                    </w14:srgbClr>
                  </w14:solidFill>
                </w14:textFill>
              </w:rPr>
              <w:t>|||</w:t>
            </w:r>
            <w:r w:rsidR="00CD4EA9" w:rsidRPr="00CD4EA9">
              <w:rPr>
                <w:color w:val="000000"/>
                <w:spacing w:val="1"/>
                <w:shd w:val="solid" w:color="000000" w:fill="000000"/>
                <w:fitText w:val="330" w:id="-632121341"/>
                <w:lang w:val="en-AU"/>
                <w14:textFill>
                  <w14:solidFill>
                    <w14:srgbClr w14:val="000000">
                      <w14:alpha w14:val="100000"/>
                    </w14:srgbClr>
                  </w14:solidFill>
                </w14:textFill>
              </w:rPr>
              <w:t>|</w:t>
            </w:r>
          </w:p>
        </w:tc>
        <w:tc>
          <w:tcPr>
            <w:tcW w:w="1004" w:type="dxa"/>
            <w:tcBorders>
              <w:top w:val="single" w:sz="4" w:space="0" w:color="auto"/>
              <w:bottom w:val="nil"/>
            </w:tcBorders>
            <w:noWrap/>
          </w:tcPr>
          <w:p w14:paraId="2C9CF3DC" w14:textId="77777777" w:rsidR="0008002E" w:rsidRPr="0070272E" w:rsidRDefault="0008002E" w:rsidP="00E81465">
            <w:pPr>
              <w:pStyle w:val="TableText"/>
              <w:keepNext/>
              <w:keepLines/>
              <w:contextualSpacing/>
              <w:jc w:val="center"/>
              <w:rPr>
                <w:lang w:val="en-AU"/>
              </w:rPr>
            </w:pPr>
            <w:r w:rsidRPr="0070272E">
              <w:rPr>
                <w:lang w:val="en-AU"/>
              </w:rPr>
              <w:t>0.46</w:t>
            </w:r>
          </w:p>
        </w:tc>
        <w:tc>
          <w:tcPr>
            <w:tcW w:w="1642" w:type="dxa"/>
            <w:tcBorders>
              <w:top w:val="single" w:sz="4" w:space="0" w:color="auto"/>
              <w:bottom w:val="nil"/>
            </w:tcBorders>
            <w:noWrap/>
          </w:tcPr>
          <w:p w14:paraId="1C441AB6" w14:textId="412F3E54"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0"/>
                <w:lang w:val="en-AU"/>
                <w14:textFill>
                  <w14:solidFill>
                    <w14:srgbClr w14:val="000000">
                      <w14:alpha w14:val="100000"/>
                    </w14:srgbClr>
                  </w14:solidFill>
                </w14:textFill>
              </w:rPr>
              <w:t>|||</w:t>
            </w:r>
            <w:r w:rsidR="00CD4EA9" w:rsidRPr="00CD4EA9">
              <w:rPr>
                <w:color w:val="000000"/>
                <w:spacing w:val="1"/>
                <w:shd w:val="solid" w:color="000000" w:fill="000000"/>
                <w:fitText w:val="330" w:id="-632121340"/>
                <w:lang w:val="en-AU"/>
                <w14:textFill>
                  <w14:solidFill>
                    <w14:srgbClr w14:val="000000">
                      <w14:alpha w14:val="100000"/>
                    </w14:srgbClr>
                  </w14:solidFill>
                </w14:textFill>
              </w:rPr>
              <w:t>|</w:t>
            </w:r>
            <w:r w:rsidR="00F65E0F">
              <w:rPr>
                <w:vertAlign w:val="superscript"/>
                <w:lang w:val="en-AU"/>
              </w:rPr>
              <w:t>3</w:t>
            </w:r>
          </w:p>
        </w:tc>
        <w:tc>
          <w:tcPr>
            <w:tcW w:w="1374" w:type="dxa"/>
            <w:tcBorders>
              <w:top w:val="single" w:sz="4" w:space="0" w:color="auto"/>
              <w:bottom w:val="nil"/>
            </w:tcBorders>
            <w:noWrap/>
          </w:tcPr>
          <w:p w14:paraId="7BC17F25" w14:textId="2127208B" w:rsidR="0008002E" w:rsidRPr="0070272E" w:rsidRDefault="0008002E" w:rsidP="00E81465">
            <w:pPr>
              <w:pStyle w:val="TableText"/>
              <w:keepNext/>
              <w:keepLines/>
              <w:contextualSpacing/>
              <w:jc w:val="center"/>
              <w:rPr>
                <w:lang w:val="en-AU"/>
              </w:rPr>
            </w:pPr>
            <w:r w:rsidRPr="0070272E">
              <w:rPr>
                <w:lang w:val="en-AU"/>
              </w:rPr>
              <w:t>-</w:t>
            </w:r>
            <w:r w:rsidR="00CD4EA9" w:rsidRPr="00CD4EA9">
              <w:rPr>
                <w:color w:val="000000"/>
                <w:spacing w:val="51"/>
                <w:shd w:val="solid" w:color="000000" w:fill="000000"/>
                <w:fitText w:val="324" w:id="-632121339"/>
                <w:lang w:val="en-AU"/>
                <w14:textFill>
                  <w14:solidFill>
                    <w14:srgbClr w14:val="000000">
                      <w14:alpha w14:val="100000"/>
                    </w14:srgbClr>
                  </w14:solidFill>
                </w14:textFill>
              </w:rPr>
              <w:t>|||</w:t>
            </w:r>
            <w:r w:rsidR="00CD4EA9" w:rsidRPr="00CD4EA9">
              <w:rPr>
                <w:color w:val="000000"/>
                <w:spacing w:val="1"/>
                <w:shd w:val="solid" w:color="000000" w:fill="000000"/>
                <w:fitText w:val="324" w:id="-632121339"/>
                <w:lang w:val="en-AU"/>
                <w14:textFill>
                  <w14:solidFill>
                    <w14:srgbClr w14:val="000000">
                      <w14:alpha w14:val="100000"/>
                    </w14:srgbClr>
                  </w14:solidFill>
                </w14:textFill>
              </w:rPr>
              <w:t>|</w:t>
            </w:r>
            <w:r w:rsidRPr="0070272E">
              <w:rPr>
                <w:lang w:val="en-AU"/>
              </w:rPr>
              <w:t>%</w:t>
            </w:r>
          </w:p>
        </w:tc>
      </w:tr>
      <w:tr w:rsidR="0008002E" w:rsidRPr="0070272E" w14:paraId="2AFC191E"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tcBorders>
            <w:noWrap/>
            <w:vAlign w:val="center"/>
          </w:tcPr>
          <w:p w14:paraId="795334C1" w14:textId="77777777" w:rsidR="0008002E" w:rsidRPr="0070272E" w:rsidRDefault="0008002E" w:rsidP="00DD02B1">
            <w:pPr>
              <w:pStyle w:val="TableText"/>
              <w:keepNext/>
              <w:keepLines/>
              <w:numPr>
                <w:ilvl w:val="0"/>
                <w:numId w:val="15"/>
              </w:numPr>
              <w:ind w:left="0" w:firstLine="0"/>
              <w:rPr>
                <w:lang w:val="en-AU"/>
              </w:rPr>
            </w:pPr>
            <w:r w:rsidRPr="0070272E">
              <w:rPr>
                <w:lang w:val="en-AU"/>
              </w:rPr>
              <w:t>0%</w:t>
            </w:r>
          </w:p>
        </w:tc>
        <w:tc>
          <w:tcPr>
            <w:tcW w:w="1173" w:type="dxa"/>
            <w:tcBorders>
              <w:top w:val="nil"/>
            </w:tcBorders>
            <w:noWrap/>
          </w:tcPr>
          <w:p w14:paraId="081BBA5E" w14:textId="0BEF06F6"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1"/>
                <w:shd w:val="solid" w:color="000000" w:fill="000000"/>
                <w:fitText w:val="324" w:id="-632121338"/>
                <w:lang w:val="en-AU"/>
                <w14:textFill>
                  <w14:solidFill>
                    <w14:srgbClr w14:val="000000">
                      <w14:alpha w14:val="100000"/>
                    </w14:srgbClr>
                  </w14:solidFill>
                </w14:textFill>
              </w:rPr>
              <w:t>|||</w:t>
            </w:r>
            <w:r w:rsidR="00CD4EA9" w:rsidRPr="00CD4EA9">
              <w:rPr>
                <w:color w:val="000000"/>
                <w:spacing w:val="1"/>
                <w:shd w:val="solid" w:color="000000" w:fill="000000"/>
                <w:fitText w:val="324" w:id="-632121338"/>
                <w:lang w:val="en-AU"/>
                <w14:textFill>
                  <w14:solidFill>
                    <w14:srgbClr w14:val="000000">
                      <w14:alpha w14:val="100000"/>
                    </w14:srgbClr>
                  </w14:solidFill>
                </w14:textFill>
              </w:rPr>
              <w:t>|</w:t>
            </w:r>
          </w:p>
        </w:tc>
        <w:tc>
          <w:tcPr>
            <w:tcW w:w="1004" w:type="dxa"/>
            <w:tcBorders>
              <w:top w:val="nil"/>
            </w:tcBorders>
            <w:noWrap/>
          </w:tcPr>
          <w:p w14:paraId="2AC94B24" w14:textId="77777777" w:rsidR="0008002E" w:rsidRPr="0070272E" w:rsidRDefault="0008002E" w:rsidP="00E81465">
            <w:pPr>
              <w:pStyle w:val="TableText"/>
              <w:keepNext/>
              <w:keepLines/>
              <w:contextualSpacing/>
              <w:jc w:val="center"/>
              <w:rPr>
                <w:lang w:val="en-AU"/>
              </w:rPr>
            </w:pPr>
            <w:r w:rsidRPr="0070272E">
              <w:rPr>
                <w:lang w:val="en-AU"/>
              </w:rPr>
              <w:t>0.57</w:t>
            </w:r>
          </w:p>
        </w:tc>
        <w:tc>
          <w:tcPr>
            <w:tcW w:w="1642" w:type="dxa"/>
            <w:tcBorders>
              <w:top w:val="nil"/>
            </w:tcBorders>
            <w:noWrap/>
          </w:tcPr>
          <w:p w14:paraId="07547741" w14:textId="2213472B" w:rsidR="0008002E" w:rsidRPr="0070272E" w:rsidRDefault="0008002E" w:rsidP="00E81465">
            <w:pPr>
              <w:pStyle w:val="TableText"/>
              <w:keepNext/>
              <w:keepLines/>
              <w:contextualSpacing/>
              <w:jc w:val="center"/>
              <w:rPr>
                <w:lang w:val="en-AU"/>
              </w:rPr>
            </w:pPr>
            <w:r w:rsidRPr="0070272E">
              <w:rPr>
                <w:lang w:val="en-AU"/>
              </w:rPr>
              <w:t>Dominan</w:t>
            </w:r>
            <w:r w:rsidR="00662D6C">
              <w:rPr>
                <w:lang w:val="en-AU"/>
              </w:rPr>
              <w:t>t</w:t>
            </w:r>
          </w:p>
        </w:tc>
        <w:tc>
          <w:tcPr>
            <w:tcW w:w="1374" w:type="dxa"/>
            <w:tcBorders>
              <w:top w:val="nil"/>
            </w:tcBorders>
            <w:noWrap/>
          </w:tcPr>
          <w:p w14:paraId="4E6F9D8D" w14:textId="4DAA637F" w:rsidR="0008002E" w:rsidRPr="0070272E" w:rsidRDefault="0008002E" w:rsidP="00E81465">
            <w:pPr>
              <w:pStyle w:val="TableText"/>
              <w:keepNext/>
              <w:keepLines/>
              <w:contextualSpacing/>
              <w:jc w:val="center"/>
              <w:rPr>
                <w:lang w:val="en-AU"/>
              </w:rPr>
            </w:pPr>
            <w:r w:rsidRPr="0070272E">
              <w:rPr>
                <w:lang w:val="en-AU"/>
              </w:rPr>
              <w:t>-</w:t>
            </w:r>
            <w:r w:rsidR="00CD4EA9" w:rsidRPr="00CD4EA9">
              <w:rPr>
                <w:color w:val="000000"/>
                <w:spacing w:val="51"/>
                <w:shd w:val="solid" w:color="000000" w:fill="000000"/>
                <w:fitText w:val="324" w:id="-632121337"/>
                <w:lang w:val="en-AU"/>
                <w14:textFill>
                  <w14:solidFill>
                    <w14:srgbClr w14:val="000000">
                      <w14:alpha w14:val="100000"/>
                    </w14:srgbClr>
                  </w14:solidFill>
                </w14:textFill>
              </w:rPr>
              <w:t>|||</w:t>
            </w:r>
            <w:r w:rsidR="00CD4EA9" w:rsidRPr="00CD4EA9">
              <w:rPr>
                <w:color w:val="000000"/>
                <w:spacing w:val="1"/>
                <w:shd w:val="solid" w:color="000000" w:fill="000000"/>
                <w:fitText w:val="324" w:id="-632121337"/>
                <w:lang w:val="en-AU"/>
                <w14:textFill>
                  <w14:solidFill>
                    <w14:srgbClr w14:val="000000">
                      <w14:alpha w14:val="100000"/>
                    </w14:srgbClr>
                  </w14:solidFill>
                </w14:textFill>
              </w:rPr>
              <w:t>|</w:t>
            </w:r>
            <w:r w:rsidRPr="0070272E">
              <w:rPr>
                <w:lang w:val="en-AU"/>
              </w:rPr>
              <w:t>%</w:t>
            </w:r>
          </w:p>
        </w:tc>
      </w:tr>
      <w:tr w:rsidR="0008002E" w:rsidRPr="0070272E" w14:paraId="07EDC8B7"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single" w:sz="4" w:space="0" w:color="auto"/>
            </w:tcBorders>
            <w:noWrap/>
            <w:vAlign w:val="center"/>
          </w:tcPr>
          <w:p w14:paraId="245C6725" w14:textId="77777777" w:rsidR="0008002E" w:rsidRPr="0070272E" w:rsidRDefault="0008002E" w:rsidP="00E81465">
            <w:pPr>
              <w:pStyle w:val="TableText"/>
              <w:keepNext/>
              <w:keepLines/>
              <w:contextualSpacing/>
              <w:rPr>
                <w:lang w:val="en-AU"/>
              </w:rPr>
            </w:pPr>
            <w:r w:rsidRPr="0070272E">
              <w:rPr>
                <w:lang w:val="en-AU"/>
              </w:rPr>
              <w:t>SOC transition probabilities (base case: NACC analysis)</w:t>
            </w:r>
          </w:p>
        </w:tc>
      </w:tr>
      <w:tr w:rsidR="0008002E" w:rsidRPr="0070272E" w14:paraId="1FC57992"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tcBorders>
            <w:noWrap/>
            <w:vAlign w:val="center"/>
          </w:tcPr>
          <w:p w14:paraId="4839D8E4" w14:textId="3C1FD962" w:rsidR="0008002E" w:rsidRPr="0070272E" w:rsidRDefault="0008002E" w:rsidP="00DD02B1">
            <w:pPr>
              <w:pStyle w:val="TableText"/>
              <w:keepNext/>
              <w:keepLines/>
              <w:numPr>
                <w:ilvl w:val="0"/>
                <w:numId w:val="15"/>
              </w:numPr>
              <w:ind w:left="0" w:firstLine="0"/>
              <w:rPr>
                <w:lang w:val="en-AU"/>
              </w:rPr>
            </w:pPr>
            <w:r w:rsidRPr="0070272E">
              <w:rPr>
                <w:lang w:val="en-AU"/>
              </w:rPr>
              <w:t>Sourced from Potashman et al.</w:t>
            </w:r>
            <w:r w:rsidR="00850A77" w:rsidRPr="0070272E">
              <w:rPr>
                <w:lang w:val="en-AU"/>
              </w:rPr>
              <w:t xml:space="preserve"> </w:t>
            </w:r>
          </w:p>
        </w:tc>
        <w:tc>
          <w:tcPr>
            <w:tcW w:w="1173" w:type="dxa"/>
            <w:tcBorders>
              <w:top w:val="nil"/>
            </w:tcBorders>
            <w:noWrap/>
            <w:vAlign w:val="center"/>
          </w:tcPr>
          <w:p w14:paraId="6E427672" w14:textId="6C778F8F"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6"/>
                <w:lang w:val="en-AU"/>
                <w14:textFill>
                  <w14:solidFill>
                    <w14:srgbClr w14:val="000000">
                      <w14:alpha w14:val="100000"/>
                    </w14:srgbClr>
                  </w14:solidFill>
                </w14:textFill>
              </w:rPr>
              <w:t>|||</w:t>
            </w:r>
            <w:r w:rsidR="00CD4EA9" w:rsidRPr="00CD4EA9">
              <w:rPr>
                <w:color w:val="000000"/>
                <w:spacing w:val="1"/>
                <w:shd w:val="solid" w:color="000000" w:fill="000000"/>
                <w:fitText w:val="330" w:id="-632121336"/>
                <w:lang w:val="en-AU"/>
                <w14:textFill>
                  <w14:solidFill>
                    <w14:srgbClr w14:val="000000">
                      <w14:alpha w14:val="100000"/>
                    </w14:srgbClr>
                  </w14:solidFill>
                </w14:textFill>
              </w:rPr>
              <w:t>|</w:t>
            </w:r>
          </w:p>
        </w:tc>
        <w:tc>
          <w:tcPr>
            <w:tcW w:w="1004" w:type="dxa"/>
            <w:tcBorders>
              <w:top w:val="nil"/>
            </w:tcBorders>
            <w:noWrap/>
            <w:vAlign w:val="center"/>
          </w:tcPr>
          <w:p w14:paraId="06C6E888" w14:textId="77777777" w:rsidR="0008002E" w:rsidRPr="0070272E" w:rsidRDefault="0008002E" w:rsidP="00E81465">
            <w:pPr>
              <w:pStyle w:val="TableText"/>
              <w:keepNext/>
              <w:keepLines/>
              <w:contextualSpacing/>
              <w:jc w:val="center"/>
              <w:rPr>
                <w:lang w:val="en-AU"/>
              </w:rPr>
            </w:pPr>
            <w:r w:rsidRPr="0070272E">
              <w:rPr>
                <w:lang w:val="en-AU"/>
              </w:rPr>
              <w:t>0.42</w:t>
            </w:r>
          </w:p>
        </w:tc>
        <w:tc>
          <w:tcPr>
            <w:tcW w:w="1642" w:type="dxa"/>
            <w:tcBorders>
              <w:top w:val="nil"/>
            </w:tcBorders>
            <w:noWrap/>
            <w:vAlign w:val="center"/>
          </w:tcPr>
          <w:p w14:paraId="17D3594A" w14:textId="3C45D0BE" w:rsidR="0008002E" w:rsidRPr="005C76A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5"/>
                <w:lang w:val="en-AU"/>
                <w14:textFill>
                  <w14:solidFill>
                    <w14:srgbClr w14:val="000000">
                      <w14:alpha w14:val="100000"/>
                    </w14:srgbClr>
                  </w14:solidFill>
                </w14:textFill>
              </w:rPr>
              <w:t>|||</w:t>
            </w:r>
            <w:r w:rsidR="00CD4EA9" w:rsidRPr="00CD4EA9">
              <w:rPr>
                <w:color w:val="000000"/>
                <w:spacing w:val="1"/>
                <w:shd w:val="solid" w:color="000000" w:fill="000000"/>
                <w:fitText w:val="330" w:id="-632121335"/>
                <w:lang w:val="en-AU"/>
                <w14:textFill>
                  <w14:solidFill>
                    <w14:srgbClr w14:val="000000">
                      <w14:alpha w14:val="100000"/>
                    </w14:srgbClr>
                  </w14:solidFill>
                </w14:textFill>
              </w:rPr>
              <w:t>|</w:t>
            </w:r>
            <w:r w:rsidR="005C76A7">
              <w:rPr>
                <w:vertAlign w:val="superscript"/>
                <w:lang w:val="en-AU"/>
              </w:rPr>
              <w:t>1</w:t>
            </w:r>
          </w:p>
        </w:tc>
        <w:tc>
          <w:tcPr>
            <w:tcW w:w="1374" w:type="dxa"/>
            <w:tcBorders>
              <w:top w:val="nil"/>
            </w:tcBorders>
            <w:noWrap/>
            <w:vAlign w:val="center"/>
          </w:tcPr>
          <w:p w14:paraId="221521FC" w14:textId="30A573D5"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4"/>
                <w:lang w:val="en-AU"/>
                <w14:textFill>
                  <w14:solidFill>
                    <w14:srgbClr w14:val="000000">
                      <w14:alpha w14:val="100000"/>
                    </w14:srgbClr>
                  </w14:solidFill>
                </w14:textFill>
              </w:rPr>
              <w:t>|||</w:t>
            </w:r>
            <w:r w:rsidRPr="00CD4EA9">
              <w:rPr>
                <w:color w:val="000000"/>
                <w:spacing w:val="1"/>
                <w:shd w:val="solid" w:color="000000" w:fill="000000"/>
                <w:fitText w:val="330" w:id="-632121334"/>
                <w:lang w:val="en-AU"/>
                <w14:textFill>
                  <w14:solidFill>
                    <w14:srgbClr w14:val="000000">
                      <w14:alpha w14:val="100000"/>
                    </w14:srgbClr>
                  </w14:solidFill>
                </w14:textFill>
              </w:rPr>
              <w:t>|</w:t>
            </w:r>
            <w:r w:rsidR="0008002E" w:rsidRPr="0070272E">
              <w:rPr>
                <w:lang w:val="en-AU"/>
              </w:rPr>
              <w:t>%</w:t>
            </w:r>
          </w:p>
        </w:tc>
      </w:tr>
      <w:tr w:rsidR="0008002E" w:rsidRPr="0070272E" w14:paraId="1D59AF7F"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nil"/>
            </w:tcBorders>
            <w:noWrap/>
            <w:vAlign w:val="center"/>
          </w:tcPr>
          <w:p w14:paraId="75D59247" w14:textId="77777777" w:rsidR="0008002E" w:rsidRPr="0070272E" w:rsidRDefault="0008002E" w:rsidP="00E81465">
            <w:pPr>
              <w:pStyle w:val="TableText"/>
              <w:keepNext/>
              <w:keepLines/>
              <w:contextualSpacing/>
            </w:pPr>
            <w:r w:rsidRPr="0070272E">
              <w:t>Population modelled (base case: proposed TGA population, HR of 0.64)</w:t>
            </w:r>
          </w:p>
        </w:tc>
      </w:tr>
      <w:tr w:rsidR="0008002E" w:rsidRPr="0070272E" w14:paraId="682D8A52"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tcBorders>
            <w:noWrap/>
            <w:vAlign w:val="center"/>
          </w:tcPr>
          <w:p w14:paraId="14AE5ECD" w14:textId="77777777" w:rsidR="0008002E" w:rsidRPr="0070272E" w:rsidRDefault="0008002E" w:rsidP="00DD02B1">
            <w:pPr>
              <w:pStyle w:val="TableText"/>
              <w:keepNext/>
              <w:keepLines/>
              <w:numPr>
                <w:ilvl w:val="0"/>
                <w:numId w:val="15"/>
              </w:numPr>
              <w:ind w:left="0" w:firstLine="0"/>
            </w:pPr>
            <w:r w:rsidRPr="0070272E">
              <w:t>ITT of TB-2 (HR of 0.62)</w:t>
            </w:r>
          </w:p>
        </w:tc>
        <w:tc>
          <w:tcPr>
            <w:tcW w:w="1173" w:type="dxa"/>
            <w:tcBorders>
              <w:top w:val="nil"/>
            </w:tcBorders>
            <w:noWrap/>
          </w:tcPr>
          <w:p w14:paraId="007792C7" w14:textId="2BA87335" w:rsidR="0008002E" w:rsidRPr="0011632C" w:rsidRDefault="0008002E" w:rsidP="00E81465">
            <w:pPr>
              <w:pStyle w:val="TableText"/>
              <w:keepNext/>
              <w:keepLines/>
              <w:contextualSpacing/>
              <w:jc w:val="center"/>
              <w:rPr>
                <w:vertAlign w:val="superscript"/>
              </w:rPr>
            </w:pPr>
            <w:r w:rsidRPr="0070272E">
              <w:t>$</w:t>
            </w:r>
            <w:r w:rsidR="00CD4EA9" w:rsidRPr="00CD4EA9">
              <w:rPr>
                <w:color w:val="000000"/>
                <w:spacing w:val="53"/>
                <w:shd w:val="solid" w:color="000000" w:fill="000000"/>
                <w:fitText w:val="330" w:id="-632121333"/>
                <w14:textFill>
                  <w14:solidFill>
                    <w14:srgbClr w14:val="000000">
                      <w14:alpha w14:val="100000"/>
                    </w14:srgbClr>
                  </w14:solidFill>
                </w14:textFill>
              </w:rPr>
              <w:t>|||</w:t>
            </w:r>
            <w:r w:rsidR="00CD4EA9" w:rsidRPr="00CD4EA9">
              <w:rPr>
                <w:color w:val="000000"/>
                <w:spacing w:val="1"/>
                <w:shd w:val="solid" w:color="000000" w:fill="000000"/>
                <w:fitText w:val="330" w:id="-632121333"/>
                <w14:textFill>
                  <w14:solidFill>
                    <w14:srgbClr w14:val="000000">
                      <w14:alpha w14:val="100000"/>
                    </w14:srgbClr>
                  </w14:solidFill>
                </w14:textFill>
              </w:rPr>
              <w:t>|</w:t>
            </w:r>
          </w:p>
        </w:tc>
        <w:tc>
          <w:tcPr>
            <w:tcW w:w="1004" w:type="dxa"/>
            <w:tcBorders>
              <w:top w:val="nil"/>
            </w:tcBorders>
            <w:noWrap/>
          </w:tcPr>
          <w:p w14:paraId="06468788" w14:textId="77777777" w:rsidR="0008002E" w:rsidRPr="0070272E" w:rsidRDefault="0008002E" w:rsidP="00E81465">
            <w:pPr>
              <w:pStyle w:val="TableText"/>
              <w:keepNext/>
              <w:keepLines/>
              <w:contextualSpacing/>
              <w:jc w:val="center"/>
            </w:pPr>
            <w:r w:rsidRPr="0070272E">
              <w:t>0.45</w:t>
            </w:r>
          </w:p>
        </w:tc>
        <w:tc>
          <w:tcPr>
            <w:tcW w:w="1642" w:type="dxa"/>
            <w:tcBorders>
              <w:top w:val="nil"/>
            </w:tcBorders>
            <w:noWrap/>
          </w:tcPr>
          <w:p w14:paraId="5ACA1877" w14:textId="0906C711" w:rsidR="0008002E" w:rsidRPr="0011632C" w:rsidRDefault="0008002E" w:rsidP="00E81465">
            <w:pPr>
              <w:pStyle w:val="TableText"/>
              <w:keepNext/>
              <w:keepLines/>
              <w:contextualSpacing/>
              <w:jc w:val="center"/>
              <w:rPr>
                <w:vertAlign w:val="superscript"/>
              </w:rPr>
            </w:pPr>
            <w:r w:rsidRPr="0070272E">
              <w:t>$</w:t>
            </w:r>
            <w:r w:rsidR="00CD4EA9" w:rsidRPr="00CD4EA9">
              <w:rPr>
                <w:color w:val="000000"/>
                <w:spacing w:val="53"/>
                <w:shd w:val="solid" w:color="000000" w:fill="000000"/>
                <w:fitText w:val="330" w:id="-632121332"/>
                <w14:textFill>
                  <w14:solidFill>
                    <w14:srgbClr w14:val="000000">
                      <w14:alpha w14:val="100000"/>
                    </w14:srgbClr>
                  </w14:solidFill>
                </w14:textFill>
              </w:rPr>
              <w:t>|||</w:t>
            </w:r>
            <w:r w:rsidR="00CD4EA9" w:rsidRPr="00CD4EA9">
              <w:rPr>
                <w:color w:val="000000"/>
                <w:spacing w:val="1"/>
                <w:shd w:val="solid" w:color="000000" w:fill="000000"/>
                <w:fitText w:val="330" w:id="-632121332"/>
                <w14:textFill>
                  <w14:solidFill>
                    <w14:srgbClr w14:val="000000">
                      <w14:alpha w14:val="100000"/>
                    </w14:srgbClr>
                  </w14:solidFill>
                </w14:textFill>
              </w:rPr>
              <w:t>|</w:t>
            </w:r>
            <w:r w:rsidR="00CE63A8">
              <w:rPr>
                <w:vertAlign w:val="superscript"/>
              </w:rPr>
              <w:t>4</w:t>
            </w:r>
          </w:p>
        </w:tc>
        <w:tc>
          <w:tcPr>
            <w:tcW w:w="1374" w:type="dxa"/>
            <w:tcBorders>
              <w:top w:val="nil"/>
            </w:tcBorders>
            <w:noWrap/>
          </w:tcPr>
          <w:p w14:paraId="16196B14" w14:textId="5FFA4F4D" w:rsidR="0008002E" w:rsidRPr="0070272E" w:rsidRDefault="0008002E" w:rsidP="00E81465">
            <w:pPr>
              <w:pStyle w:val="TableText"/>
              <w:keepNext/>
              <w:keepLines/>
              <w:contextualSpacing/>
              <w:jc w:val="center"/>
            </w:pPr>
            <w:r w:rsidRPr="0070272E">
              <w:t>-</w:t>
            </w:r>
            <w:r w:rsidR="00CD4EA9" w:rsidRPr="00CD4EA9">
              <w:rPr>
                <w:color w:val="000000"/>
                <w:spacing w:val="51"/>
                <w:shd w:val="solid" w:color="000000" w:fill="000000"/>
                <w:fitText w:val="324" w:id="-632121331"/>
                <w14:textFill>
                  <w14:solidFill>
                    <w14:srgbClr w14:val="000000">
                      <w14:alpha w14:val="100000"/>
                    </w14:srgbClr>
                  </w14:solidFill>
                </w14:textFill>
              </w:rPr>
              <w:t>|||</w:t>
            </w:r>
            <w:r w:rsidR="00CD4EA9" w:rsidRPr="00CD4EA9">
              <w:rPr>
                <w:color w:val="000000"/>
                <w:spacing w:val="1"/>
                <w:shd w:val="solid" w:color="000000" w:fill="000000"/>
                <w:fitText w:val="324" w:id="-632121331"/>
                <w14:textFill>
                  <w14:solidFill>
                    <w14:srgbClr w14:val="000000">
                      <w14:alpha w14:val="100000"/>
                    </w14:srgbClr>
                  </w14:solidFill>
                </w14:textFill>
              </w:rPr>
              <w:t>|</w:t>
            </w:r>
            <w:r w:rsidRPr="0070272E">
              <w:t>%</w:t>
            </w:r>
          </w:p>
        </w:tc>
      </w:tr>
      <w:tr w:rsidR="0008002E" w:rsidRPr="0070272E" w14:paraId="13BC4DE2"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nil"/>
            </w:tcBorders>
            <w:noWrap/>
            <w:vAlign w:val="center"/>
          </w:tcPr>
          <w:p w14:paraId="36206480" w14:textId="77777777" w:rsidR="0008002E" w:rsidRPr="0070272E" w:rsidRDefault="0008002E" w:rsidP="00E81465">
            <w:pPr>
              <w:pStyle w:val="TableText"/>
              <w:keepNext/>
              <w:keepLines/>
              <w:contextualSpacing/>
              <w:rPr>
                <w:lang w:val="en-AU"/>
              </w:rPr>
            </w:pPr>
            <w:r w:rsidRPr="0070272E">
              <w:rPr>
                <w:lang w:val="en-AU"/>
              </w:rPr>
              <w:t>Treatment effect applied to patients in the moderate AD health state (base case: applied)</w:t>
            </w:r>
          </w:p>
        </w:tc>
      </w:tr>
      <w:tr w:rsidR="0008002E" w:rsidRPr="0070272E" w14:paraId="26CCDEEF"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tcBorders>
            <w:noWrap/>
            <w:vAlign w:val="center"/>
          </w:tcPr>
          <w:p w14:paraId="3A04803D" w14:textId="77777777" w:rsidR="0008002E" w:rsidRPr="0070272E" w:rsidRDefault="0008002E" w:rsidP="00DD02B1">
            <w:pPr>
              <w:pStyle w:val="TableText"/>
              <w:keepNext/>
              <w:keepLines/>
              <w:numPr>
                <w:ilvl w:val="0"/>
                <w:numId w:val="15"/>
              </w:numPr>
              <w:ind w:left="0" w:firstLine="0"/>
              <w:rPr>
                <w:lang w:val="en-AU"/>
              </w:rPr>
            </w:pPr>
            <w:r w:rsidRPr="0070272E">
              <w:rPr>
                <w:lang w:val="en-AU"/>
              </w:rPr>
              <w:t xml:space="preserve">Not applied </w:t>
            </w:r>
            <w:r w:rsidRPr="0070272E">
              <w:rPr>
                <w:b/>
                <w:bCs/>
                <w:lang w:val="en-AU"/>
              </w:rPr>
              <w:t>#3</w:t>
            </w:r>
          </w:p>
        </w:tc>
        <w:tc>
          <w:tcPr>
            <w:tcW w:w="1173" w:type="dxa"/>
            <w:tcBorders>
              <w:top w:val="nil"/>
            </w:tcBorders>
            <w:noWrap/>
          </w:tcPr>
          <w:p w14:paraId="59B87348" w14:textId="3295E1A6"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0"/>
                <w:lang w:val="en-AU"/>
                <w14:textFill>
                  <w14:solidFill>
                    <w14:srgbClr w14:val="000000">
                      <w14:alpha w14:val="100000"/>
                    </w14:srgbClr>
                  </w14:solidFill>
                </w14:textFill>
              </w:rPr>
              <w:t>|||</w:t>
            </w:r>
            <w:r w:rsidR="00CD4EA9" w:rsidRPr="00CD4EA9">
              <w:rPr>
                <w:color w:val="000000"/>
                <w:spacing w:val="1"/>
                <w:shd w:val="solid" w:color="000000" w:fill="000000"/>
                <w:fitText w:val="330" w:id="-632121330"/>
                <w:lang w:val="en-AU"/>
                <w14:textFill>
                  <w14:solidFill>
                    <w14:srgbClr w14:val="000000">
                      <w14:alpha w14:val="100000"/>
                    </w14:srgbClr>
                  </w14:solidFill>
                </w14:textFill>
              </w:rPr>
              <w:t>|</w:t>
            </w:r>
          </w:p>
        </w:tc>
        <w:tc>
          <w:tcPr>
            <w:tcW w:w="1004" w:type="dxa"/>
            <w:tcBorders>
              <w:top w:val="nil"/>
            </w:tcBorders>
            <w:noWrap/>
          </w:tcPr>
          <w:p w14:paraId="142B8A2B" w14:textId="77777777" w:rsidR="0008002E" w:rsidRPr="0070272E" w:rsidRDefault="0008002E" w:rsidP="00E81465">
            <w:pPr>
              <w:pStyle w:val="TableText"/>
              <w:keepNext/>
              <w:keepLines/>
              <w:contextualSpacing/>
              <w:jc w:val="center"/>
              <w:rPr>
                <w:lang w:val="en-AU"/>
              </w:rPr>
            </w:pPr>
            <w:r w:rsidRPr="0070272E">
              <w:rPr>
                <w:lang w:val="en-AU"/>
              </w:rPr>
              <w:t>0.34</w:t>
            </w:r>
          </w:p>
        </w:tc>
        <w:tc>
          <w:tcPr>
            <w:tcW w:w="1642" w:type="dxa"/>
            <w:tcBorders>
              <w:top w:val="nil"/>
            </w:tcBorders>
            <w:noWrap/>
          </w:tcPr>
          <w:p w14:paraId="65605482" w14:textId="0EC06944"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29"/>
                <w:lang w:val="en-AU"/>
                <w14:textFill>
                  <w14:solidFill>
                    <w14:srgbClr w14:val="000000">
                      <w14:alpha w14:val="100000"/>
                    </w14:srgbClr>
                  </w14:solidFill>
                </w14:textFill>
              </w:rPr>
              <w:t>|||</w:t>
            </w:r>
            <w:r w:rsidR="00CD4EA9" w:rsidRPr="00CD4EA9">
              <w:rPr>
                <w:color w:val="000000"/>
                <w:spacing w:val="1"/>
                <w:shd w:val="solid" w:color="000000" w:fill="000000"/>
                <w:fitText w:val="330" w:id="-632121329"/>
                <w:lang w:val="en-AU"/>
                <w14:textFill>
                  <w14:solidFill>
                    <w14:srgbClr w14:val="000000">
                      <w14:alpha w14:val="100000"/>
                    </w14:srgbClr>
                  </w14:solidFill>
                </w14:textFill>
              </w:rPr>
              <w:t>|</w:t>
            </w:r>
            <w:r w:rsidR="00244C5F">
              <w:rPr>
                <w:vertAlign w:val="superscript"/>
                <w:lang w:val="en-AU"/>
              </w:rPr>
              <w:t>2</w:t>
            </w:r>
          </w:p>
        </w:tc>
        <w:tc>
          <w:tcPr>
            <w:tcW w:w="1374" w:type="dxa"/>
            <w:tcBorders>
              <w:top w:val="nil"/>
            </w:tcBorders>
            <w:noWrap/>
          </w:tcPr>
          <w:p w14:paraId="3B96E49B" w14:textId="23138259"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28"/>
                <w:lang w:val="en-AU"/>
                <w14:textFill>
                  <w14:solidFill>
                    <w14:srgbClr w14:val="000000">
                      <w14:alpha w14:val="100000"/>
                    </w14:srgbClr>
                  </w14:solidFill>
                </w14:textFill>
              </w:rPr>
              <w:t>|||</w:t>
            </w:r>
            <w:r w:rsidRPr="00CD4EA9">
              <w:rPr>
                <w:color w:val="000000"/>
                <w:spacing w:val="1"/>
                <w:shd w:val="solid" w:color="000000" w:fill="000000"/>
                <w:fitText w:val="330" w:id="-632121328"/>
                <w:lang w:val="en-AU"/>
                <w14:textFill>
                  <w14:solidFill>
                    <w14:srgbClr w14:val="000000">
                      <w14:alpha w14:val="100000"/>
                    </w14:srgbClr>
                  </w14:solidFill>
                </w14:textFill>
              </w:rPr>
              <w:t>|</w:t>
            </w:r>
            <w:r w:rsidR="0008002E" w:rsidRPr="0070272E">
              <w:rPr>
                <w:lang w:val="en-AU"/>
              </w:rPr>
              <w:t>%</w:t>
            </w:r>
          </w:p>
        </w:tc>
      </w:tr>
      <w:tr w:rsidR="0008002E" w:rsidRPr="0070272E" w14:paraId="0AA00029"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nil"/>
            </w:tcBorders>
            <w:noWrap/>
            <w:vAlign w:val="center"/>
          </w:tcPr>
          <w:p w14:paraId="1C913B63" w14:textId="77777777" w:rsidR="0008002E" w:rsidRPr="0070272E" w:rsidRDefault="0008002E" w:rsidP="00E81465">
            <w:pPr>
              <w:pStyle w:val="TableText"/>
              <w:keepNext/>
              <w:keepLines/>
              <w:contextualSpacing/>
              <w:rPr>
                <w:lang w:val="en-AU"/>
              </w:rPr>
            </w:pPr>
            <w:r w:rsidRPr="0070272E">
              <w:rPr>
                <w:lang w:val="en-AU"/>
              </w:rPr>
              <w:t xml:space="preserve">Treatment effect waning for patients who cease treatment due to AE in the first six months (base case: retain full treatment effect for six months after cessation followed by linear treatment waning over 2.5 years) </w:t>
            </w:r>
          </w:p>
        </w:tc>
      </w:tr>
      <w:tr w:rsidR="0008002E" w:rsidRPr="0070272E" w14:paraId="535C6B30"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tcBorders>
            <w:noWrap/>
            <w:vAlign w:val="center"/>
          </w:tcPr>
          <w:p w14:paraId="3732EB67" w14:textId="77777777" w:rsidR="0008002E" w:rsidRPr="0070272E" w:rsidRDefault="0008002E" w:rsidP="00DD02B1">
            <w:pPr>
              <w:pStyle w:val="TableText"/>
              <w:keepNext/>
              <w:keepLines/>
              <w:numPr>
                <w:ilvl w:val="0"/>
                <w:numId w:val="15"/>
              </w:numPr>
              <w:ind w:left="0" w:firstLine="0"/>
              <w:rPr>
                <w:lang w:val="en-AU"/>
              </w:rPr>
            </w:pPr>
            <w:r w:rsidRPr="0070272E">
              <w:rPr>
                <w:lang w:val="en-AU"/>
              </w:rPr>
              <w:t xml:space="preserve">Loss of all treatment effect immediately after treatment cessation for AEs </w:t>
            </w:r>
            <w:r w:rsidRPr="0070272E">
              <w:rPr>
                <w:b/>
                <w:bCs/>
                <w:lang w:val="en-AU"/>
              </w:rPr>
              <w:t>#4</w:t>
            </w:r>
          </w:p>
        </w:tc>
        <w:tc>
          <w:tcPr>
            <w:tcW w:w="1173" w:type="dxa"/>
            <w:tcBorders>
              <w:top w:val="nil"/>
            </w:tcBorders>
            <w:noWrap/>
            <w:vAlign w:val="center"/>
          </w:tcPr>
          <w:p w14:paraId="377DA556" w14:textId="1698509E"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4"/>
                <w:lang w:val="en-AU"/>
                <w14:textFill>
                  <w14:solidFill>
                    <w14:srgbClr w14:val="000000">
                      <w14:alpha w14:val="100000"/>
                    </w14:srgbClr>
                  </w14:solidFill>
                </w14:textFill>
              </w:rPr>
              <w:t>|||</w:t>
            </w:r>
            <w:r w:rsidR="00CD4EA9" w:rsidRPr="00CD4EA9">
              <w:rPr>
                <w:color w:val="000000"/>
                <w:spacing w:val="1"/>
                <w:shd w:val="solid" w:color="000000" w:fill="000000"/>
                <w:fitText w:val="330" w:id="-632121344"/>
                <w:lang w:val="en-AU"/>
                <w14:textFill>
                  <w14:solidFill>
                    <w14:srgbClr w14:val="000000">
                      <w14:alpha w14:val="100000"/>
                    </w14:srgbClr>
                  </w14:solidFill>
                </w14:textFill>
              </w:rPr>
              <w:t>|</w:t>
            </w:r>
          </w:p>
        </w:tc>
        <w:tc>
          <w:tcPr>
            <w:tcW w:w="1004" w:type="dxa"/>
            <w:tcBorders>
              <w:top w:val="nil"/>
            </w:tcBorders>
            <w:noWrap/>
            <w:vAlign w:val="center"/>
          </w:tcPr>
          <w:p w14:paraId="6A3CA2B1" w14:textId="77777777" w:rsidR="0008002E" w:rsidRPr="0070272E" w:rsidRDefault="0008002E" w:rsidP="00E81465">
            <w:pPr>
              <w:pStyle w:val="TableText"/>
              <w:keepNext/>
              <w:keepLines/>
              <w:contextualSpacing/>
              <w:jc w:val="center"/>
              <w:rPr>
                <w:lang w:val="en-AU"/>
              </w:rPr>
            </w:pPr>
            <w:r w:rsidRPr="0070272E">
              <w:rPr>
                <w:lang w:val="en-AU"/>
              </w:rPr>
              <w:t>0.41</w:t>
            </w:r>
          </w:p>
        </w:tc>
        <w:tc>
          <w:tcPr>
            <w:tcW w:w="1642" w:type="dxa"/>
            <w:tcBorders>
              <w:top w:val="nil"/>
            </w:tcBorders>
            <w:noWrap/>
            <w:vAlign w:val="center"/>
          </w:tcPr>
          <w:p w14:paraId="333A40F6" w14:textId="2847FD6B"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3"/>
                <w:lang w:val="en-AU"/>
                <w14:textFill>
                  <w14:solidFill>
                    <w14:srgbClr w14:val="000000">
                      <w14:alpha w14:val="100000"/>
                    </w14:srgbClr>
                  </w14:solidFill>
                </w14:textFill>
              </w:rPr>
              <w:t>|||</w:t>
            </w:r>
            <w:r w:rsidR="00CD4EA9" w:rsidRPr="00CD4EA9">
              <w:rPr>
                <w:color w:val="000000"/>
                <w:spacing w:val="1"/>
                <w:shd w:val="solid" w:color="000000" w:fill="000000"/>
                <w:fitText w:val="330" w:id="-632121343"/>
                <w:lang w:val="en-AU"/>
                <w14:textFill>
                  <w14:solidFill>
                    <w14:srgbClr w14:val="000000">
                      <w14:alpha w14:val="100000"/>
                    </w14:srgbClr>
                  </w14:solidFill>
                </w14:textFill>
              </w:rPr>
              <w:t>|</w:t>
            </w:r>
            <w:r w:rsidR="005C76A7">
              <w:rPr>
                <w:vertAlign w:val="superscript"/>
                <w:lang w:val="en-AU"/>
              </w:rPr>
              <w:t>1</w:t>
            </w:r>
          </w:p>
        </w:tc>
        <w:tc>
          <w:tcPr>
            <w:tcW w:w="1374" w:type="dxa"/>
            <w:tcBorders>
              <w:top w:val="nil"/>
            </w:tcBorders>
            <w:noWrap/>
            <w:vAlign w:val="center"/>
          </w:tcPr>
          <w:p w14:paraId="5CDADCFB" w14:textId="4DF36C81"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42"/>
                <w:lang w:val="en-AU"/>
                <w14:textFill>
                  <w14:solidFill>
                    <w14:srgbClr w14:val="000000">
                      <w14:alpha w14:val="100000"/>
                    </w14:srgbClr>
                  </w14:solidFill>
                </w14:textFill>
              </w:rPr>
              <w:t>|||</w:t>
            </w:r>
            <w:r w:rsidRPr="00CD4EA9">
              <w:rPr>
                <w:color w:val="000000"/>
                <w:spacing w:val="1"/>
                <w:shd w:val="solid" w:color="000000" w:fill="000000"/>
                <w:fitText w:val="330" w:id="-632121342"/>
                <w:lang w:val="en-AU"/>
                <w14:textFill>
                  <w14:solidFill>
                    <w14:srgbClr w14:val="000000">
                      <w14:alpha w14:val="100000"/>
                    </w14:srgbClr>
                  </w14:solidFill>
                </w14:textFill>
              </w:rPr>
              <w:t>|</w:t>
            </w:r>
            <w:r w:rsidR="0008002E" w:rsidRPr="0070272E">
              <w:rPr>
                <w:lang w:val="en-AU"/>
              </w:rPr>
              <w:t>%</w:t>
            </w:r>
          </w:p>
        </w:tc>
      </w:tr>
      <w:tr w:rsidR="0008002E" w:rsidRPr="0070272E" w14:paraId="71EED0AA"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nil"/>
              <w:bottom w:val="single" w:sz="4" w:space="0" w:color="auto"/>
            </w:tcBorders>
            <w:noWrap/>
            <w:vAlign w:val="center"/>
          </w:tcPr>
          <w:p w14:paraId="1B8900C2" w14:textId="77777777" w:rsidR="0008002E" w:rsidRPr="0070272E" w:rsidRDefault="0008002E" w:rsidP="00E81465">
            <w:pPr>
              <w:pStyle w:val="TableText"/>
              <w:keepNext/>
              <w:keepLines/>
              <w:contextualSpacing/>
              <w:rPr>
                <w:lang w:val="en-AU"/>
              </w:rPr>
            </w:pPr>
            <w:r w:rsidRPr="0070272E">
              <w:rPr>
                <w:lang w:val="en-AU"/>
              </w:rPr>
              <w:t>Treatment effect waning for patients who complete the full treatment course or cease treatment early due to amyloid clearance (base case: retain full treatment effect for four years after cessation followed by linear treatment waning over 9.5 years)</w:t>
            </w:r>
          </w:p>
        </w:tc>
      </w:tr>
      <w:tr w:rsidR="0008002E" w:rsidRPr="0070272E" w14:paraId="5F431ACE"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nil"/>
            </w:tcBorders>
            <w:noWrap/>
            <w:vAlign w:val="center"/>
          </w:tcPr>
          <w:p w14:paraId="71C800D1" w14:textId="77777777" w:rsidR="0008002E" w:rsidRPr="0070272E" w:rsidRDefault="0008002E" w:rsidP="00DD02B1">
            <w:pPr>
              <w:pStyle w:val="TableText"/>
              <w:keepNext/>
              <w:keepLines/>
              <w:numPr>
                <w:ilvl w:val="0"/>
                <w:numId w:val="15"/>
              </w:numPr>
              <w:ind w:left="0" w:firstLine="0"/>
              <w:rPr>
                <w:lang w:val="en-AU"/>
              </w:rPr>
            </w:pPr>
            <w:r w:rsidRPr="0070272E">
              <w:rPr>
                <w:lang w:val="en-AU"/>
              </w:rPr>
              <w:t xml:space="preserve">All treatment effect lost after maximum treatment duration </w:t>
            </w:r>
            <w:r w:rsidRPr="0070272E">
              <w:rPr>
                <w:b/>
                <w:bCs/>
                <w:lang w:val="en-AU"/>
              </w:rPr>
              <w:t>#8</w:t>
            </w:r>
          </w:p>
        </w:tc>
        <w:tc>
          <w:tcPr>
            <w:tcW w:w="1173" w:type="dxa"/>
            <w:tcBorders>
              <w:top w:val="single" w:sz="4" w:space="0" w:color="auto"/>
              <w:bottom w:val="nil"/>
            </w:tcBorders>
            <w:noWrap/>
            <w:vAlign w:val="center"/>
          </w:tcPr>
          <w:p w14:paraId="20D443E5" w14:textId="24219C44"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1"/>
                <w:lang w:val="en-AU"/>
                <w14:textFill>
                  <w14:solidFill>
                    <w14:srgbClr w14:val="000000">
                      <w14:alpha w14:val="100000"/>
                    </w14:srgbClr>
                  </w14:solidFill>
                </w14:textFill>
              </w:rPr>
              <w:t>|||</w:t>
            </w:r>
            <w:r w:rsidR="00CD4EA9" w:rsidRPr="00CD4EA9">
              <w:rPr>
                <w:color w:val="000000"/>
                <w:spacing w:val="1"/>
                <w:shd w:val="solid" w:color="000000" w:fill="000000"/>
                <w:fitText w:val="330" w:id="-632121341"/>
                <w:lang w:val="en-AU"/>
                <w14:textFill>
                  <w14:solidFill>
                    <w14:srgbClr w14:val="000000">
                      <w14:alpha w14:val="100000"/>
                    </w14:srgbClr>
                  </w14:solidFill>
                </w14:textFill>
              </w:rPr>
              <w:t>|</w:t>
            </w:r>
          </w:p>
        </w:tc>
        <w:tc>
          <w:tcPr>
            <w:tcW w:w="1004" w:type="dxa"/>
            <w:tcBorders>
              <w:top w:val="single" w:sz="4" w:space="0" w:color="auto"/>
              <w:bottom w:val="nil"/>
            </w:tcBorders>
            <w:noWrap/>
            <w:vAlign w:val="center"/>
          </w:tcPr>
          <w:p w14:paraId="0A3D6650" w14:textId="77777777" w:rsidR="0008002E" w:rsidRPr="0070272E" w:rsidRDefault="0008002E" w:rsidP="00E81465">
            <w:pPr>
              <w:pStyle w:val="TableText"/>
              <w:keepNext/>
              <w:keepLines/>
              <w:contextualSpacing/>
              <w:jc w:val="center"/>
              <w:rPr>
                <w:lang w:val="en-AU"/>
              </w:rPr>
            </w:pPr>
            <w:r w:rsidRPr="0070272E">
              <w:rPr>
                <w:lang w:val="en-AU"/>
              </w:rPr>
              <w:t>0.10</w:t>
            </w:r>
          </w:p>
        </w:tc>
        <w:tc>
          <w:tcPr>
            <w:tcW w:w="1642" w:type="dxa"/>
            <w:tcBorders>
              <w:top w:val="single" w:sz="4" w:space="0" w:color="auto"/>
              <w:bottom w:val="nil"/>
            </w:tcBorders>
            <w:noWrap/>
            <w:vAlign w:val="center"/>
          </w:tcPr>
          <w:p w14:paraId="708AAE6D" w14:textId="0DAAE060"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0"/>
                <w:lang w:val="en-AU"/>
                <w14:textFill>
                  <w14:solidFill>
                    <w14:srgbClr w14:val="000000">
                      <w14:alpha w14:val="100000"/>
                    </w14:srgbClr>
                  </w14:solidFill>
                </w14:textFill>
              </w:rPr>
              <w:t>|||</w:t>
            </w:r>
            <w:r w:rsidR="00CD4EA9" w:rsidRPr="00CD4EA9">
              <w:rPr>
                <w:color w:val="000000"/>
                <w:spacing w:val="1"/>
                <w:shd w:val="solid" w:color="000000" w:fill="000000"/>
                <w:fitText w:val="330" w:id="-632121340"/>
                <w:lang w:val="en-AU"/>
                <w14:textFill>
                  <w14:solidFill>
                    <w14:srgbClr w14:val="000000">
                      <w14:alpha w14:val="100000"/>
                    </w14:srgbClr>
                  </w14:solidFill>
                </w14:textFill>
              </w:rPr>
              <w:t>|</w:t>
            </w:r>
            <w:r w:rsidR="0034614B">
              <w:rPr>
                <w:vertAlign w:val="superscript"/>
                <w:lang w:val="en-AU"/>
              </w:rPr>
              <w:t>5</w:t>
            </w:r>
          </w:p>
        </w:tc>
        <w:tc>
          <w:tcPr>
            <w:tcW w:w="1374" w:type="dxa"/>
            <w:tcBorders>
              <w:top w:val="single" w:sz="4" w:space="0" w:color="auto"/>
              <w:bottom w:val="nil"/>
            </w:tcBorders>
            <w:noWrap/>
            <w:vAlign w:val="center"/>
          </w:tcPr>
          <w:p w14:paraId="1352819D" w14:textId="45B71A82"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9"/>
                <w:lang w:val="en-AU"/>
                <w14:textFill>
                  <w14:solidFill>
                    <w14:srgbClr w14:val="000000">
                      <w14:alpha w14:val="100000"/>
                    </w14:srgbClr>
                  </w14:solidFill>
                </w14:textFill>
              </w:rPr>
              <w:t>|||</w:t>
            </w:r>
            <w:r w:rsidRPr="00CD4EA9">
              <w:rPr>
                <w:color w:val="000000"/>
                <w:spacing w:val="1"/>
                <w:shd w:val="solid" w:color="000000" w:fill="000000"/>
                <w:fitText w:val="330" w:id="-632121339"/>
                <w:lang w:val="en-AU"/>
                <w14:textFill>
                  <w14:solidFill>
                    <w14:srgbClr w14:val="000000">
                      <w14:alpha w14:val="100000"/>
                    </w14:srgbClr>
                  </w14:solidFill>
                </w14:textFill>
              </w:rPr>
              <w:t>|</w:t>
            </w:r>
            <w:r w:rsidR="0008002E" w:rsidRPr="0070272E">
              <w:rPr>
                <w:lang w:val="en-AU"/>
              </w:rPr>
              <w:t>%</w:t>
            </w:r>
          </w:p>
        </w:tc>
      </w:tr>
      <w:tr w:rsidR="0008002E" w:rsidRPr="0070272E" w14:paraId="3F1ACAD6"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bottom w:val="nil"/>
            </w:tcBorders>
            <w:noWrap/>
            <w:vAlign w:val="center"/>
          </w:tcPr>
          <w:p w14:paraId="2C684893" w14:textId="77777777" w:rsidR="0008002E" w:rsidRPr="0070272E" w:rsidRDefault="0008002E" w:rsidP="00DD02B1">
            <w:pPr>
              <w:pStyle w:val="TableText"/>
              <w:keepNext/>
              <w:keepLines/>
              <w:numPr>
                <w:ilvl w:val="0"/>
                <w:numId w:val="15"/>
              </w:numPr>
              <w:ind w:left="0" w:firstLine="0"/>
              <w:rPr>
                <w:lang w:val="en-AU"/>
              </w:rPr>
            </w:pPr>
            <w:r w:rsidRPr="0070272E">
              <w:rPr>
                <w:lang w:val="en-AU"/>
              </w:rPr>
              <w:t xml:space="preserve">Full treatment effect for one year after cessation followed by five years of linear waning </w:t>
            </w:r>
            <w:r w:rsidRPr="0070272E">
              <w:rPr>
                <w:b/>
                <w:bCs/>
                <w:lang w:val="en-AU"/>
              </w:rPr>
              <w:t>#7</w:t>
            </w:r>
          </w:p>
        </w:tc>
        <w:tc>
          <w:tcPr>
            <w:tcW w:w="1173" w:type="dxa"/>
            <w:tcBorders>
              <w:top w:val="nil"/>
              <w:bottom w:val="nil"/>
            </w:tcBorders>
            <w:noWrap/>
            <w:vAlign w:val="center"/>
          </w:tcPr>
          <w:p w14:paraId="37B4ECEB" w14:textId="6014F589"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8"/>
                <w:lang w:val="en-AU"/>
                <w14:textFill>
                  <w14:solidFill>
                    <w14:srgbClr w14:val="000000">
                      <w14:alpha w14:val="100000"/>
                    </w14:srgbClr>
                  </w14:solidFill>
                </w14:textFill>
              </w:rPr>
              <w:t>|||</w:t>
            </w:r>
            <w:r w:rsidR="00CD4EA9" w:rsidRPr="00CD4EA9">
              <w:rPr>
                <w:color w:val="000000"/>
                <w:spacing w:val="1"/>
                <w:shd w:val="solid" w:color="000000" w:fill="000000"/>
                <w:fitText w:val="330" w:id="-632121338"/>
                <w:lang w:val="en-AU"/>
                <w14:textFill>
                  <w14:solidFill>
                    <w14:srgbClr w14:val="000000">
                      <w14:alpha w14:val="100000"/>
                    </w14:srgbClr>
                  </w14:solidFill>
                </w14:textFill>
              </w:rPr>
              <w:t>|</w:t>
            </w:r>
          </w:p>
        </w:tc>
        <w:tc>
          <w:tcPr>
            <w:tcW w:w="1004" w:type="dxa"/>
            <w:tcBorders>
              <w:top w:val="nil"/>
              <w:bottom w:val="nil"/>
            </w:tcBorders>
            <w:noWrap/>
            <w:vAlign w:val="center"/>
          </w:tcPr>
          <w:p w14:paraId="32F1D215" w14:textId="77777777" w:rsidR="0008002E" w:rsidRPr="0070272E" w:rsidRDefault="0008002E" w:rsidP="00E81465">
            <w:pPr>
              <w:pStyle w:val="TableText"/>
              <w:keepNext/>
              <w:keepLines/>
              <w:contextualSpacing/>
              <w:jc w:val="center"/>
              <w:rPr>
                <w:lang w:val="en-AU"/>
              </w:rPr>
            </w:pPr>
            <w:r w:rsidRPr="0070272E">
              <w:rPr>
                <w:lang w:val="en-AU"/>
              </w:rPr>
              <w:t>0.30</w:t>
            </w:r>
          </w:p>
        </w:tc>
        <w:tc>
          <w:tcPr>
            <w:tcW w:w="1642" w:type="dxa"/>
            <w:tcBorders>
              <w:top w:val="nil"/>
              <w:bottom w:val="nil"/>
            </w:tcBorders>
            <w:noWrap/>
            <w:vAlign w:val="center"/>
          </w:tcPr>
          <w:p w14:paraId="021539E3" w14:textId="4B428881"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7"/>
                <w:lang w:val="en-AU"/>
                <w14:textFill>
                  <w14:solidFill>
                    <w14:srgbClr w14:val="000000">
                      <w14:alpha w14:val="100000"/>
                    </w14:srgbClr>
                  </w14:solidFill>
                </w14:textFill>
              </w:rPr>
              <w:t>|||</w:t>
            </w:r>
            <w:r w:rsidR="00CD4EA9" w:rsidRPr="00CD4EA9">
              <w:rPr>
                <w:color w:val="000000"/>
                <w:spacing w:val="1"/>
                <w:shd w:val="solid" w:color="000000" w:fill="000000"/>
                <w:fitText w:val="330" w:id="-632121337"/>
                <w:lang w:val="en-AU"/>
                <w14:textFill>
                  <w14:solidFill>
                    <w14:srgbClr w14:val="000000">
                      <w14:alpha w14:val="100000"/>
                    </w14:srgbClr>
                  </w14:solidFill>
                </w14:textFill>
              </w:rPr>
              <w:t>|</w:t>
            </w:r>
            <w:r w:rsidR="0032414E">
              <w:rPr>
                <w:vertAlign w:val="superscript"/>
                <w:lang w:val="en-AU"/>
              </w:rPr>
              <w:t>6</w:t>
            </w:r>
          </w:p>
        </w:tc>
        <w:tc>
          <w:tcPr>
            <w:tcW w:w="1374" w:type="dxa"/>
            <w:tcBorders>
              <w:top w:val="nil"/>
              <w:bottom w:val="nil"/>
            </w:tcBorders>
            <w:noWrap/>
            <w:vAlign w:val="center"/>
          </w:tcPr>
          <w:p w14:paraId="035A6D2B" w14:textId="7353FB95"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6"/>
                <w:lang w:val="en-AU"/>
                <w14:textFill>
                  <w14:solidFill>
                    <w14:srgbClr w14:val="000000">
                      <w14:alpha w14:val="100000"/>
                    </w14:srgbClr>
                  </w14:solidFill>
                </w14:textFill>
              </w:rPr>
              <w:t>|||</w:t>
            </w:r>
            <w:r w:rsidRPr="00CD4EA9">
              <w:rPr>
                <w:color w:val="000000"/>
                <w:spacing w:val="1"/>
                <w:shd w:val="solid" w:color="000000" w:fill="000000"/>
                <w:fitText w:val="330" w:id="-632121336"/>
                <w:lang w:val="en-AU"/>
                <w14:textFill>
                  <w14:solidFill>
                    <w14:srgbClr w14:val="000000">
                      <w14:alpha w14:val="100000"/>
                    </w14:srgbClr>
                  </w14:solidFill>
                </w14:textFill>
              </w:rPr>
              <w:t>|</w:t>
            </w:r>
            <w:r w:rsidR="0008002E" w:rsidRPr="0070272E">
              <w:rPr>
                <w:lang w:val="en-AU"/>
              </w:rPr>
              <w:t>%</w:t>
            </w:r>
          </w:p>
        </w:tc>
      </w:tr>
      <w:tr w:rsidR="0008002E" w:rsidRPr="0070272E" w14:paraId="4032A2AE"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bottom w:val="nil"/>
            </w:tcBorders>
            <w:noWrap/>
            <w:vAlign w:val="center"/>
          </w:tcPr>
          <w:p w14:paraId="01E457C4" w14:textId="77777777" w:rsidR="0008002E" w:rsidRPr="0070272E" w:rsidRDefault="0008002E" w:rsidP="00DD02B1">
            <w:pPr>
              <w:pStyle w:val="TableText"/>
              <w:keepNext/>
              <w:keepLines/>
              <w:numPr>
                <w:ilvl w:val="0"/>
                <w:numId w:val="15"/>
              </w:numPr>
              <w:ind w:left="0" w:firstLine="0"/>
              <w:rPr>
                <w:lang w:val="en-AU"/>
              </w:rPr>
            </w:pPr>
            <w:r w:rsidRPr="0070272E">
              <w:rPr>
                <w:lang w:val="en-AU"/>
              </w:rPr>
              <w:t xml:space="preserve">Full treatment effect for two years after cessation followed by five years of linear waning </w:t>
            </w:r>
          </w:p>
        </w:tc>
        <w:tc>
          <w:tcPr>
            <w:tcW w:w="1173" w:type="dxa"/>
            <w:tcBorders>
              <w:top w:val="nil"/>
              <w:bottom w:val="nil"/>
            </w:tcBorders>
            <w:noWrap/>
            <w:vAlign w:val="center"/>
          </w:tcPr>
          <w:p w14:paraId="3007B134" w14:textId="65C5AD11"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5"/>
                <w:lang w:val="en-AU"/>
                <w14:textFill>
                  <w14:solidFill>
                    <w14:srgbClr w14:val="000000">
                      <w14:alpha w14:val="100000"/>
                    </w14:srgbClr>
                  </w14:solidFill>
                </w14:textFill>
              </w:rPr>
              <w:t>|||</w:t>
            </w:r>
            <w:r w:rsidR="00CD4EA9" w:rsidRPr="00CD4EA9">
              <w:rPr>
                <w:color w:val="000000"/>
                <w:spacing w:val="1"/>
                <w:shd w:val="solid" w:color="000000" w:fill="000000"/>
                <w:fitText w:val="330" w:id="-632121335"/>
                <w:lang w:val="en-AU"/>
                <w14:textFill>
                  <w14:solidFill>
                    <w14:srgbClr w14:val="000000">
                      <w14:alpha w14:val="100000"/>
                    </w14:srgbClr>
                  </w14:solidFill>
                </w14:textFill>
              </w:rPr>
              <w:t>|</w:t>
            </w:r>
          </w:p>
        </w:tc>
        <w:tc>
          <w:tcPr>
            <w:tcW w:w="1004" w:type="dxa"/>
            <w:tcBorders>
              <w:top w:val="nil"/>
              <w:bottom w:val="nil"/>
            </w:tcBorders>
            <w:noWrap/>
            <w:vAlign w:val="center"/>
          </w:tcPr>
          <w:p w14:paraId="3225D7CF" w14:textId="77777777" w:rsidR="0008002E" w:rsidRPr="0070272E" w:rsidRDefault="0008002E" w:rsidP="00E81465">
            <w:pPr>
              <w:pStyle w:val="TableText"/>
              <w:keepNext/>
              <w:keepLines/>
              <w:contextualSpacing/>
              <w:jc w:val="center"/>
              <w:rPr>
                <w:lang w:val="en-AU"/>
              </w:rPr>
            </w:pPr>
            <w:r w:rsidRPr="0070272E">
              <w:rPr>
                <w:lang w:val="en-AU"/>
              </w:rPr>
              <w:t>0.34</w:t>
            </w:r>
          </w:p>
        </w:tc>
        <w:tc>
          <w:tcPr>
            <w:tcW w:w="1642" w:type="dxa"/>
            <w:tcBorders>
              <w:top w:val="nil"/>
              <w:bottom w:val="nil"/>
            </w:tcBorders>
            <w:noWrap/>
            <w:vAlign w:val="center"/>
          </w:tcPr>
          <w:p w14:paraId="70D4E85A" w14:textId="4E148728"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4"/>
                <w:lang w:val="en-AU"/>
                <w14:textFill>
                  <w14:solidFill>
                    <w14:srgbClr w14:val="000000">
                      <w14:alpha w14:val="100000"/>
                    </w14:srgbClr>
                  </w14:solidFill>
                </w14:textFill>
              </w:rPr>
              <w:t>|||</w:t>
            </w:r>
            <w:r w:rsidR="00CD4EA9" w:rsidRPr="00CD4EA9">
              <w:rPr>
                <w:color w:val="000000"/>
                <w:spacing w:val="1"/>
                <w:shd w:val="solid" w:color="000000" w:fill="000000"/>
                <w:fitText w:val="330" w:id="-632121334"/>
                <w:lang w:val="en-AU"/>
                <w14:textFill>
                  <w14:solidFill>
                    <w14:srgbClr w14:val="000000">
                      <w14:alpha w14:val="100000"/>
                    </w14:srgbClr>
                  </w14:solidFill>
                </w14:textFill>
              </w:rPr>
              <w:t>|</w:t>
            </w:r>
            <w:r w:rsidR="0064670C">
              <w:rPr>
                <w:vertAlign w:val="superscript"/>
                <w:lang w:val="en-AU"/>
              </w:rPr>
              <w:t>7</w:t>
            </w:r>
          </w:p>
        </w:tc>
        <w:tc>
          <w:tcPr>
            <w:tcW w:w="1374" w:type="dxa"/>
            <w:tcBorders>
              <w:top w:val="nil"/>
              <w:bottom w:val="nil"/>
            </w:tcBorders>
            <w:noWrap/>
            <w:vAlign w:val="center"/>
          </w:tcPr>
          <w:p w14:paraId="32E2C1D4" w14:textId="6E462107"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3"/>
                <w:lang w:val="en-AU"/>
                <w14:textFill>
                  <w14:solidFill>
                    <w14:srgbClr w14:val="000000">
                      <w14:alpha w14:val="100000"/>
                    </w14:srgbClr>
                  </w14:solidFill>
                </w14:textFill>
              </w:rPr>
              <w:t>|||</w:t>
            </w:r>
            <w:r w:rsidRPr="00CD4EA9">
              <w:rPr>
                <w:color w:val="000000"/>
                <w:spacing w:val="1"/>
                <w:shd w:val="solid" w:color="000000" w:fill="000000"/>
                <w:fitText w:val="330" w:id="-632121333"/>
                <w:lang w:val="en-AU"/>
                <w14:textFill>
                  <w14:solidFill>
                    <w14:srgbClr w14:val="000000">
                      <w14:alpha w14:val="100000"/>
                    </w14:srgbClr>
                  </w14:solidFill>
                </w14:textFill>
              </w:rPr>
              <w:t>|</w:t>
            </w:r>
            <w:r w:rsidR="0008002E" w:rsidRPr="0070272E">
              <w:rPr>
                <w:lang w:val="en-AU"/>
              </w:rPr>
              <w:t>%</w:t>
            </w:r>
          </w:p>
        </w:tc>
      </w:tr>
      <w:tr w:rsidR="0008002E" w:rsidRPr="0070272E" w14:paraId="6554BF8F"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single" w:sz="4" w:space="0" w:color="auto"/>
              <w:bottom w:val="single" w:sz="4" w:space="0" w:color="auto"/>
            </w:tcBorders>
            <w:noWrap/>
            <w:vAlign w:val="center"/>
          </w:tcPr>
          <w:p w14:paraId="7197BDAE" w14:textId="77777777" w:rsidR="0008002E" w:rsidRPr="0070272E" w:rsidRDefault="0008002E" w:rsidP="00E81465">
            <w:pPr>
              <w:pStyle w:val="TableText"/>
              <w:keepNext/>
              <w:keepLines/>
              <w:contextualSpacing/>
              <w:rPr>
                <w:lang w:val="en-AU"/>
              </w:rPr>
            </w:pPr>
            <w:r w:rsidRPr="0070272E">
              <w:rPr>
                <w:lang w:val="en-AU"/>
              </w:rPr>
              <w:t>Risk of institutionalisation (base case: calculated from prevalence of institutionalisation among Australian dementia patients)</w:t>
            </w:r>
          </w:p>
        </w:tc>
      </w:tr>
      <w:tr w:rsidR="0008002E" w:rsidRPr="0070272E" w14:paraId="3F0F57FE"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nil"/>
            </w:tcBorders>
            <w:noWrap/>
            <w:vAlign w:val="center"/>
          </w:tcPr>
          <w:p w14:paraId="7F45BAD2" w14:textId="202FE8BA" w:rsidR="0008002E" w:rsidRPr="0070272E" w:rsidRDefault="0008002E" w:rsidP="00DD02B1">
            <w:pPr>
              <w:pStyle w:val="TableText"/>
              <w:keepNext/>
              <w:keepLines/>
              <w:numPr>
                <w:ilvl w:val="0"/>
                <w:numId w:val="15"/>
              </w:numPr>
              <w:ind w:left="0" w:firstLine="0"/>
              <w:rPr>
                <w:lang w:val="en-AU"/>
              </w:rPr>
            </w:pPr>
            <w:r w:rsidRPr="0070272E">
              <w:rPr>
                <w:lang w:val="en-AU"/>
              </w:rPr>
              <w:t>Sourced from Knapp et al.</w:t>
            </w:r>
            <w:r w:rsidR="00850A77" w:rsidRPr="0070272E">
              <w:rPr>
                <w:lang w:val="en-AU"/>
              </w:rPr>
              <w:t xml:space="preserve"> </w:t>
            </w:r>
          </w:p>
        </w:tc>
        <w:tc>
          <w:tcPr>
            <w:tcW w:w="1173" w:type="dxa"/>
            <w:tcBorders>
              <w:top w:val="single" w:sz="4" w:space="0" w:color="auto"/>
              <w:bottom w:val="nil"/>
            </w:tcBorders>
            <w:noWrap/>
            <w:vAlign w:val="center"/>
          </w:tcPr>
          <w:p w14:paraId="311CFD61" w14:textId="0D070B45"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2"/>
                <w:lang w:val="en-AU"/>
                <w14:textFill>
                  <w14:solidFill>
                    <w14:srgbClr w14:val="000000">
                      <w14:alpha w14:val="100000"/>
                    </w14:srgbClr>
                  </w14:solidFill>
                </w14:textFill>
              </w:rPr>
              <w:t>|||</w:t>
            </w:r>
            <w:r w:rsidR="00CD4EA9" w:rsidRPr="00CD4EA9">
              <w:rPr>
                <w:color w:val="000000"/>
                <w:spacing w:val="1"/>
                <w:shd w:val="solid" w:color="000000" w:fill="000000"/>
                <w:fitText w:val="330" w:id="-632121332"/>
                <w:lang w:val="en-AU"/>
                <w14:textFill>
                  <w14:solidFill>
                    <w14:srgbClr w14:val="000000">
                      <w14:alpha w14:val="100000"/>
                    </w14:srgbClr>
                  </w14:solidFill>
                </w14:textFill>
              </w:rPr>
              <w:t>|</w:t>
            </w:r>
          </w:p>
        </w:tc>
        <w:tc>
          <w:tcPr>
            <w:tcW w:w="1004" w:type="dxa"/>
            <w:tcBorders>
              <w:top w:val="single" w:sz="4" w:space="0" w:color="auto"/>
              <w:bottom w:val="nil"/>
            </w:tcBorders>
            <w:noWrap/>
            <w:vAlign w:val="center"/>
          </w:tcPr>
          <w:p w14:paraId="40314C14" w14:textId="77777777" w:rsidR="0008002E" w:rsidRPr="0070272E" w:rsidRDefault="0008002E" w:rsidP="00E81465">
            <w:pPr>
              <w:pStyle w:val="TableText"/>
              <w:keepNext/>
              <w:keepLines/>
              <w:contextualSpacing/>
              <w:jc w:val="center"/>
              <w:rPr>
                <w:lang w:val="en-AU"/>
              </w:rPr>
            </w:pPr>
            <w:r w:rsidRPr="0070272E">
              <w:rPr>
                <w:lang w:val="en-AU"/>
              </w:rPr>
              <w:t>0.43</w:t>
            </w:r>
          </w:p>
        </w:tc>
        <w:tc>
          <w:tcPr>
            <w:tcW w:w="1642" w:type="dxa"/>
            <w:tcBorders>
              <w:top w:val="single" w:sz="4" w:space="0" w:color="auto"/>
              <w:bottom w:val="nil"/>
            </w:tcBorders>
            <w:noWrap/>
            <w:vAlign w:val="center"/>
          </w:tcPr>
          <w:p w14:paraId="3E406CF0" w14:textId="61E5D97B"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1"/>
                <w:lang w:val="en-AU"/>
                <w14:textFill>
                  <w14:solidFill>
                    <w14:srgbClr w14:val="000000">
                      <w14:alpha w14:val="100000"/>
                    </w14:srgbClr>
                  </w14:solidFill>
                </w14:textFill>
              </w:rPr>
              <w:t>|||</w:t>
            </w:r>
            <w:r w:rsidR="00CD4EA9" w:rsidRPr="00CD4EA9">
              <w:rPr>
                <w:color w:val="000000"/>
                <w:spacing w:val="1"/>
                <w:shd w:val="solid" w:color="000000" w:fill="000000"/>
                <w:fitText w:val="330" w:id="-632121331"/>
                <w:lang w:val="en-AU"/>
                <w14:textFill>
                  <w14:solidFill>
                    <w14:srgbClr w14:val="000000">
                      <w14:alpha w14:val="100000"/>
                    </w14:srgbClr>
                  </w14:solidFill>
                </w14:textFill>
              </w:rPr>
              <w:t>|</w:t>
            </w:r>
            <w:r w:rsidR="00D23B5C" w:rsidRPr="00D23B5C">
              <w:rPr>
                <w:vertAlign w:val="superscript"/>
                <w:lang w:val="en-AU"/>
              </w:rPr>
              <w:t>6</w:t>
            </w:r>
          </w:p>
        </w:tc>
        <w:tc>
          <w:tcPr>
            <w:tcW w:w="1374" w:type="dxa"/>
            <w:tcBorders>
              <w:top w:val="single" w:sz="4" w:space="0" w:color="auto"/>
              <w:bottom w:val="nil"/>
            </w:tcBorders>
            <w:noWrap/>
            <w:vAlign w:val="center"/>
          </w:tcPr>
          <w:p w14:paraId="48A00C94" w14:textId="4E9A3116"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0"/>
                <w:lang w:val="en-AU"/>
                <w14:textFill>
                  <w14:solidFill>
                    <w14:srgbClr w14:val="000000">
                      <w14:alpha w14:val="100000"/>
                    </w14:srgbClr>
                  </w14:solidFill>
                </w14:textFill>
              </w:rPr>
              <w:t>|||</w:t>
            </w:r>
            <w:r w:rsidRPr="00CD4EA9">
              <w:rPr>
                <w:color w:val="000000"/>
                <w:spacing w:val="1"/>
                <w:shd w:val="solid" w:color="000000" w:fill="000000"/>
                <w:fitText w:val="330" w:id="-632121330"/>
                <w:lang w:val="en-AU"/>
                <w14:textFill>
                  <w14:solidFill>
                    <w14:srgbClr w14:val="000000">
                      <w14:alpha w14:val="100000"/>
                    </w14:srgbClr>
                  </w14:solidFill>
                </w14:textFill>
              </w:rPr>
              <w:t>|</w:t>
            </w:r>
            <w:r w:rsidR="0008002E" w:rsidRPr="0070272E">
              <w:rPr>
                <w:lang w:val="en-AU"/>
              </w:rPr>
              <w:t>%</w:t>
            </w:r>
          </w:p>
        </w:tc>
      </w:tr>
      <w:tr w:rsidR="0008002E" w:rsidRPr="0070272E" w14:paraId="13385A72"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tcBorders>
            <w:noWrap/>
            <w:vAlign w:val="center"/>
          </w:tcPr>
          <w:p w14:paraId="4AAF7707" w14:textId="23C630E2" w:rsidR="0008002E" w:rsidRPr="0070272E" w:rsidRDefault="0008002E" w:rsidP="00DD02B1">
            <w:pPr>
              <w:pStyle w:val="TableText"/>
              <w:keepNext/>
              <w:keepLines/>
              <w:numPr>
                <w:ilvl w:val="0"/>
                <w:numId w:val="15"/>
              </w:numPr>
              <w:ind w:left="0" w:firstLine="0"/>
              <w:rPr>
                <w:lang w:val="en-AU"/>
              </w:rPr>
            </w:pPr>
            <w:r w:rsidRPr="0070272E">
              <w:rPr>
                <w:lang w:val="en-AU"/>
              </w:rPr>
              <w:t>Sourced from Belger et al.</w:t>
            </w:r>
            <w:r w:rsidR="00850A77" w:rsidRPr="0070272E">
              <w:rPr>
                <w:b/>
                <w:bCs/>
                <w:lang w:val="en-AU"/>
              </w:rPr>
              <w:t xml:space="preserve"> </w:t>
            </w:r>
            <w:r w:rsidRPr="0070272E">
              <w:rPr>
                <w:b/>
                <w:bCs/>
                <w:lang w:val="en-AU"/>
              </w:rPr>
              <w:t>#6</w:t>
            </w:r>
            <w:r w:rsidRPr="0070272E">
              <w:rPr>
                <w:lang w:val="en-AU"/>
              </w:rPr>
              <w:t xml:space="preserve"> </w:t>
            </w:r>
          </w:p>
        </w:tc>
        <w:tc>
          <w:tcPr>
            <w:tcW w:w="1173" w:type="dxa"/>
            <w:tcBorders>
              <w:top w:val="nil"/>
            </w:tcBorders>
            <w:noWrap/>
            <w:vAlign w:val="center"/>
          </w:tcPr>
          <w:p w14:paraId="48761385" w14:textId="379E3384"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29"/>
                <w:lang w:val="en-AU"/>
                <w14:textFill>
                  <w14:solidFill>
                    <w14:srgbClr w14:val="000000">
                      <w14:alpha w14:val="100000"/>
                    </w14:srgbClr>
                  </w14:solidFill>
                </w14:textFill>
              </w:rPr>
              <w:t>|||</w:t>
            </w:r>
            <w:r w:rsidR="00CD4EA9" w:rsidRPr="00CD4EA9">
              <w:rPr>
                <w:color w:val="000000"/>
                <w:spacing w:val="1"/>
                <w:shd w:val="solid" w:color="000000" w:fill="000000"/>
                <w:fitText w:val="330" w:id="-632121329"/>
                <w:lang w:val="en-AU"/>
                <w14:textFill>
                  <w14:solidFill>
                    <w14:srgbClr w14:val="000000">
                      <w14:alpha w14:val="100000"/>
                    </w14:srgbClr>
                  </w14:solidFill>
                </w14:textFill>
              </w:rPr>
              <w:t>|</w:t>
            </w:r>
          </w:p>
        </w:tc>
        <w:tc>
          <w:tcPr>
            <w:tcW w:w="1004" w:type="dxa"/>
            <w:tcBorders>
              <w:top w:val="nil"/>
            </w:tcBorders>
            <w:noWrap/>
            <w:vAlign w:val="center"/>
          </w:tcPr>
          <w:p w14:paraId="74D7B632" w14:textId="77777777" w:rsidR="0008002E" w:rsidRPr="0070272E" w:rsidRDefault="0008002E" w:rsidP="00E81465">
            <w:pPr>
              <w:pStyle w:val="TableText"/>
              <w:keepNext/>
              <w:keepLines/>
              <w:contextualSpacing/>
              <w:jc w:val="center"/>
              <w:rPr>
                <w:lang w:val="en-AU"/>
              </w:rPr>
            </w:pPr>
            <w:r w:rsidRPr="0070272E">
              <w:rPr>
                <w:lang w:val="en-AU"/>
              </w:rPr>
              <w:t>0.45</w:t>
            </w:r>
          </w:p>
        </w:tc>
        <w:tc>
          <w:tcPr>
            <w:tcW w:w="1642" w:type="dxa"/>
            <w:tcBorders>
              <w:top w:val="nil"/>
            </w:tcBorders>
            <w:noWrap/>
            <w:vAlign w:val="center"/>
          </w:tcPr>
          <w:p w14:paraId="1275970D" w14:textId="5EA3CDDF"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28"/>
                <w:lang w:val="en-AU"/>
                <w14:textFill>
                  <w14:solidFill>
                    <w14:srgbClr w14:val="000000">
                      <w14:alpha w14:val="100000"/>
                    </w14:srgbClr>
                  </w14:solidFill>
                </w14:textFill>
              </w:rPr>
              <w:t>|||</w:t>
            </w:r>
            <w:r w:rsidR="00CD4EA9" w:rsidRPr="00CD4EA9">
              <w:rPr>
                <w:color w:val="000000"/>
                <w:spacing w:val="1"/>
                <w:shd w:val="solid" w:color="000000" w:fill="000000"/>
                <w:fitText w:val="330" w:id="-632121328"/>
                <w:lang w:val="en-AU"/>
                <w14:textFill>
                  <w14:solidFill>
                    <w14:srgbClr w14:val="000000">
                      <w14:alpha w14:val="100000"/>
                    </w14:srgbClr>
                  </w14:solidFill>
                </w14:textFill>
              </w:rPr>
              <w:t>|</w:t>
            </w:r>
            <w:r w:rsidR="0064670C">
              <w:rPr>
                <w:vertAlign w:val="superscript"/>
                <w:lang w:val="en-AU"/>
              </w:rPr>
              <w:t>8</w:t>
            </w:r>
          </w:p>
        </w:tc>
        <w:tc>
          <w:tcPr>
            <w:tcW w:w="1374" w:type="dxa"/>
            <w:tcBorders>
              <w:top w:val="nil"/>
            </w:tcBorders>
            <w:noWrap/>
            <w:vAlign w:val="center"/>
          </w:tcPr>
          <w:p w14:paraId="44307D01" w14:textId="6CB04A02"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44"/>
                <w:lang w:val="en-AU"/>
                <w14:textFill>
                  <w14:solidFill>
                    <w14:srgbClr w14:val="000000">
                      <w14:alpha w14:val="100000"/>
                    </w14:srgbClr>
                  </w14:solidFill>
                </w14:textFill>
              </w:rPr>
              <w:t>|||</w:t>
            </w:r>
            <w:r w:rsidRPr="00CD4EA9">
              <w:rPr>
                <w:color w:val="000000"/>
                <w:spacing w:val="1"/>
                <w:shd w:val="solid" w:color="000000" w:fill="000000"/>
                <w:fitText w:val="330" w:id="-632121344"/>
                <w:lang w:val="en-AU"/>
                <w14:textFill>
                  <w14:solidFill>
                    <w14:srgbClr w14:val="000000">
                      <w14:alpha w14:val="100000"/>
                    </w14:srgbClr>
                  </w14:solidFill>
                </w14:textFill>
              </w:rPr>
              <w:t>|</w:t>
            </w:r>
            <w:r w:rsidR="0008002E" w:rsidRPr="0070272E">
              <w:rPr>
                <w:lang w:val="en-AU"/>
              </w:rPr>
              <w:t>%</w:t>
            </w:r>
          </w:p>
        </w:tc>
      </w:tr>
      <w:tr w:rsidR="0008002E" w:rsidRPr="0070272E" w14:paraId="38670E3E"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nil"/>
              <w:bottom w:val="single" w:sz="4" w:space="0" w:color="auto"/>
            </w:tcBorders>
            <w:noWrap/>
            <w:vAlign w:val="center"/>
          </w:tcPr>
          <w:p w14:paraId="73F27B09" w14:textId="77777777" w:rsidR="0008002E" w:rsidRPr="0070272E" w:rsidRDefault="0008002E" w:rsidP="00E81465">
            <w:pPr>
              <w:pStyle w:val="TableText"/>
              <w:keepNext/>
              <w:keepLines/>
              <w:contextualSpacing/>
              <w:rPr>
                <w:lang w:val="en-AU"/>
              </w:rPr>
            </w:pPr>
            <w:r w:rsidRPr="0070272E">
              <w:rPr>
                <w:lang w:val="en-AU"/>
              </w:rPr>
              <w:t>Mortality modelling approach (base case: same risk of death (HR of 2.55) for patients in the mild, moderate and severe AD health state)</w:t>
            </w:r>
          </w:p>
        </w:tc>
      </w:tr>
      <w:tr w:rsidR="0008002E" w:rsidRPr="0070272E" w14:paraId="3CDFF7F5"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noWrap/>
            <w:vAlign w:val="center"/>
          </w:tcPr>
          <w:p w14:paraId="649A31AB" w14:textId="5F2222EF" w:rsidR="0008002E" w:rsidRPr="0070272E" w:rsidRDefault="0008002E" w:rsidP="00DD02B1">
            <w:pPr>
              <w:pStyle w:val="TableText"/>
              <w:keepNext/>
              <w:keepLines/>
              <w:numPr>
                <w:ilvl w:val="0"/>
                <w:numId w:val="15"/>
              </w:numPr>
              <w:ind w:left="0" w:firstLine="0"/>
              <w:rPr>
                <w:lang w:val="en-AU"/>
              </w:rPr>
            </w:pPr>
            <w:r w:rsidRPr="0070272E">
              <w:rPr>
                <w:lang w:val="en-AU"/>
              </w:rPr>
              <w:t>Health state specific mortality HRs sourced from Crowell et al.</w:t>
            </w:r>
            <w:r w:rsidR="00850A77" w:rsidRPr="0070272E">
              <w:rPr>
                <w:b/>
                <w:bCs/>
                <w:lang w:val="en-AU"/>
              </w:rPr>
              <w:t xml:space="preserve"> </w:t>
            </w:r>
            <w:r w:rsidRPr="0070272E">
              <w:rPr>
                <w:b/>
                <w:bCs/>
                <w:lang w:val="en-AU"/>
              </w:rPr>
              <w:t>#2</w:t>
            </w:r>
          </w:p>
        </w:tc>
        <w:tc>
          <w:tcPr>
            <w:tcW w:w="1173" w:type="dxa"/>
            <w:tcBorders>
              <w:top w:val="single" w:sz="4" w:space="0" w:color="auto"/>
              <w:bottom w:val="single" w:sz="4" w:space="0" w:color="auto"/>
            </w:tcBorders>
            <w:noWrap/>
            <w:vAlign w:val="center"/>
          </w:tcPr>
          <w:p w14:paraId="0A706276" w14:textId="287A8698"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3"/>
                <w:lang w:val="en-AU"/>
                <w14:textFill>
                  <w14:solidFill>
                    <w14:srgbClr w14:val="000000">
                      <w14:alpha w14:val="100000"/>
                    </w14:srgbClr>
                  </w14:solidFill>
                </w14:textFill>
              </w:rPr>
              <w:t>|||</w:t>
            </w:r>
            <w:r w:rsidR="00CD4EA9" w:rsidRPr="00CD4EA9">
              <w:rPr>
                <w:color w:val="000000"/>
                <w:spacing w:val="1"/>
                <w:shd w:val="solid" w:color="000000" w:fill="000000"/>
                <w:fitText w:val="330" w:id="-632121343"/>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vAlign w:val="center"/>
          </w:tcPr>
          <w:p w14:paraId="147E0D94" w14:textId="77777777" w:rsidR="0008002E" w:rsidRPr="0070272E" w:rsidRDefault="0008002E" w:rsidP="00E81465">
            <w:pPr>
              <w:pStyle w:val="TableText"/>
              <w:keepNext/>
              <w:keepLines/>
              <w:contextualSpacing/>
              <w:jc w:val="center"/>
              <w:rPr>
                <w:lang w:val="en-AU"/>
              </w:rPr>
            </w:pPr>
            <w:r w:rsidRPr="0070272E">
              <w:rPr>
                <w:lang w:val="en-AU"/>
              </w:rPr>
              <w:t>0.52</w:t>
            </w:r>
          </w:p>
        </w:tc>
        <w:tc>
          <w:tcPr>
            <w:tcW w:w="1642" w:type="dxa"/>
            <w:tcBorders>
              <w:top w:val="single" w:sz="4" w:space="0" w:color="auto"/>
              <w:bottom w:val="single" w:sz="4" w:space="0" w:color="auto"/>
            </w:tcBorders>
            <w:noWrap/>
            <w:vAlign w:val="center"/>
          </w:tcPr>
          <w:p w14:paraId="42DBAFE5" w14:textId="18FC05EC"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2"/>
                <w:lang w:val="en-AU"/>
                <w14:textFill>
                  <w14:solidFill>
                    <w14:srgbClr w14:val="000000">
                      <w14:alpha w14:val="100000"/>
                    </w14:srgbClr>
                  </w14:solidFill>
                </w14:textFill>
              </w:rPr>
              <w:t>|||</w:t>
            </w:r>
            <w:r w:rsidR="00CD4EA9" w:rsidRPr="00CD4EA9">
              <w:rPr>
                <w:color w:val="000000"/>
                <w:spacing w:val="1"/>
                <w:shd w:val="solid" w:color="000000" w:fill="000000"/>
                <w:fitText w:val="330" w:id="-632121342"/>
                <w:lang w:val="en-AU"/>
                <w14:textFill>
                  <w14:solidFill>
                    <w14:srgbClr w14:val="000000">
                      <w14:alpha w14:val="100000"/>
                    </w14:srgbClr>
                  </w14:solidFill>
                </w14:textFill>
              </w:rPr>
              <w:t>|</w:t>
            </w:r>
            <w:r w:rsidR="00D23B5C">
              <w:rPr>
                <w:vertAlign w:val="superscript"/>
                <w:lang w:val="en-AU"/>
              </w:rPr>
              <w:t>6</w:t>
            </w:r>
          </w:p>
        </w:tc>
        <w:tc>
          <w:tcPr>
            <w:tcW w:w="1374" w:type="dxa"/>
            <w:tcBorders>
              <w:top w:val="single" w:sz="4" w:space="0" w:color="auto"/>
              <w:bottom w:val="single" w:sz="4" w:space="0" w:color="auto"/>
            </w:tcBorders>
            <w:noWrap/>
            <w:vAlign w:val="center"/>
          </w:tcPr>
          <w:p w14:paraId="00F7C8D3" w14:textId="25E7C325"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41"/>
                <w:lang w:val="en-AU"/>
                <w14:textFill>
                  <w14:solidFill>
                    <w14:srgbClr w14:val="000000">
                      <w14:alpha w14:val="100000"/>
                    </w14:srgbClr>
                  </w14:solidFill>
                </w14:textFill>
              </w:rPr>
              <w:t>|||</w:t>
            </w:r>
            <w:r w:rsidRPr="00CD4EA9">
              <w:rPr>
                <w:color w:val="000000"/>
                <w:spacing w:val="1"/>
                <w:shd w:val="solid" w:color="000000" w:fill="000000"/>
                <w:fitText w:val="330" w:id="-632121341"/>
                <w:lang w:val="en-AU"/>
                <w14:textFill>
                  <w14:solidFill>
                    <w14:srgbClr w14:val="000000">
                      <w14:alpha w14:val="100000"/>
                    </w14:srgbClr>
                  </w14:solidFill>
                </w14:textFill>
              </w:rPr>
              <w:t>|</w:t>
            </w:r>
            <w:r w:rsidR="0008002E" w:rsidRPr="0070272E">
              <w:rPr>
                <w:lang w:val="en-AU"/>
              </w:rPr>
              <w:t>%</w:t>
            </w:r>
          </w:p>
        </w:tc>
      </w:tr>
      <w:tr w:rsidR="0008002E" w:rsidRPr="0070272E" w14:paraId="42FF5A6B"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bottom w:val="single" w:sz="4" w:space="0" w:color="auto"/>
            </w:tcBorders>
            <w:noWrap/>
            <w:vAlign w:val="center"/>
          </w:tcPr>
          <w:p w14:paraId="77383969" w14:textId="77777777" w:rsidR="0008002E" w:rsidRPr="0070272E" w:rsidRDefault="0008002E" w:rsidP="00E81465">
            <w:pPr>
              <w:pStyle w:val="TableText"/>
              <w:keepNext/>
              <w:keepLines/>
              <w:contextualSpacing/>
              <w:rPr>
                <w:lang w:val="en-AU"/>
              </w:rPr>
            </w:pPr>
            <w:r w:rsidRPr="0070272E">
              <w:rPr>
                <w:lang w:val="en-AU"/>
              </w:rPr>
              <w:t>Donanemab patients undergoing treat to clear strategy (base case: 40%)</w:t>
            </w:r>
          </w:p>
        </w:tc>
      </w:tr>
      <w:tr w:rsidR="0008002E" w:rsidRPr="0070272E" w14:paraId="3BB2FD95"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
        </w:trPr>
        <w:tc>
          <w:tcPr>
            <w:tcW w:w="3823" w:type="dxa"/>
            <w:tcBorders>
              <w:bottom w:val="nil"/>
            </w:tcBorders>
            <w:noWrap/>
            <w:vAlign w:val="center"/>
          </w:tcPr>
          <w:p w14:paraId="593C9CA7" w14:textId="77777777" w:rsidR="0008002E" w:rsidRPr="0070272E" w:rsidRDefault="0008002E" w:rsidP="00DD02B1">
            <w:pPr>
              <w:pStyle w:val="TableText"/>
              <w:keepNext/>
              <w:keepLines/>
              <w:numPr>
                <w:ilvl w:val="0"/>
                <w:numId w:val="15"/>
              </w:numPr>
              <w:ind w:left="0" w:firstLine="0"/>
              <w:rPr>
                <w:lang w:val="en-AU"/>
              </w:rPr>
            </w:pPr>
            <w:r w:rsidRPr="0070272E">
              <w:rPr>
                <w:lang w:val="en-AU"/>
              </w:rPr>
              <w:t>60%</w:t>
            </w:r>
          </w:p>
        </w:tc>
        <w:tc>
          <w:tcPr>
            <w:tcW w:w="1173" w:type="dxa"/>
            <w:tcBorders>
              <w:bottom w:val="nil"/>
            </w:tcBorders>
            <w:noWrap/>
          </w:tcPr>
          <w:p w14:paraId="05528E16" w14:textId="41CC6E6C" w:rsidR="0008002E" w:rsidRPr="0011632C"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0"/>
                <w:lang w:val="en-AU"/>
                <w14:textFill>
                  <w14:solidFill>
                    <w14:srgbClr w14:val="000000">
                      <w14:alpha w14:val="100000"/>
                    </w14:srgbClr>
                  </w14:solidFill>
                </w14:textFill>
              </w:rPr>
              <w:t>|||</w:t>
            </w:r>
            <w:r w:rsidR="00CD4EA9" w:rsidRPr="00CD4EA9">
              <w:rPr>
                <w:color w:val="000000"/>
                <w:spacing w:val="1"/>
                <w:shd w:val="solid" w:color="000000" w:fill="000000"/>
                <w:fitText w:val="330" w:id="-632121340"/>
                <w:lang w:val="en-AU"/>
                <w14:textFill>
                  <w14:solidFill>
                    <w14:srgbClr w14:val="000000">
                      <w14:alpha w14:val="100000"/>
                    </w14:srgbClr>
                  </w14:solidFill>
                </w14:textFill>
              </w:rPr>
              <w:t>|</w:t>
            </w:r>
          </w:p>
        </w:tc>
        <w:tc>
          <w:tcPr>
            <w:tcW w:w="1004" w:type="dxa"/>
            <w:tcBorders>
              <w:bottom w:val="nil"/>
            </w:tcBorders>
            <w:noWrap/>
          </w:tcPr>
          <w:p w14:paraId="4B21862F" w14:textId="77777777" w:rsidR="0008002E" w:rsidRPr="0070272E" w:rsidRDefault="0008002E" w:rsidP="00E81465">
            <w:pPr>
              <w:pStyle w:val="TableText"/>
              <w:keepNext/>
              <w:keepLines/>
              <w:contextualSpacing/>
              <w:jc w:val="center"/>
              <w:rPr>
                <w:lang w:val="en-AU"/>
              </w:rPr>
            </w:pPr>
            <w:r w:rsidRPr="0070272E">
              <w:rPr>
                <w:lang w:val="en-AU"/>
              </w:rPr>
              <w:t>0.42</w:t>
            </w:r>
          </w:p>
        </w:tc>
        <w:tc>
          <w:tcPr>
            <w:tcW w:w="1642" w:type="dxa"/>
            <w:tcBorders>
              <w:bottom w:val="nil"/>
            </w:tcBorders>
            <w:noWrap/>
          </w:tcPr>
          <w:p w14:paraId="602588A5" w14:textId="78A056CF"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9"/>
                <w:lang w:val="en-AU"/>
                <w14:textFill>
                  <w14:solidFill>
                    <w14:srgbClr w14:val="000000">
                      <w14:alpha w14:val="100000"/>
                    </w14:srgbClr>
                  </w14:solidFill>
                </w14:textFill>
              </w:rPr>
              <w:t>|||</w:t>
            </w:r>
            <w:r w:rsidR="00CD4EA9" w:rsidRPr="00CD4EA9">
              <w:rPr>
                <w:color w:val="000000"/>
                <w:spacing w:val="1"/>
                <w:shd w:val="solid" w:color="000000" w:fill="000000"/>
                <w:fitText w:val="330" w:id="-632121339"/>
                <w:lang w:val="en-AU"/>
                <w14:textFill>
                  <w14:solidFill>
                    <w14:srgbClr w14:val="000000">
                      <w14:alpha w14:val="100000"/>
                    </w14:srgbClr>
                  </w14:solidFill>
                </w14:textFill>
              </w:rPr>
              <w:t>|</w:t>
            </w:r>
            <w:r w:rsidR="00CE63A8">
              <w:rPr>
                <w:vertAlign w:val="superscript"/>
                <w:lang w:val="en-AU"/>
              </w:rPr>
              <w:t>4</w:t>
            </w:r>
          </w:p>
        </w:tc>
        <w:tc>
          <w:tcPr>
            <w:tcW w:w="1374" w:type="dxa"/>
            <w:tcBorders>
              <w:bottom w:val="nil"/>
            </w:tcBorders>
            <w:noWrap/>
          </w:tcPr>
          <w:p w14:paraId="1AF81E66" w14:textId="5F9EBF16" w:rsidR="0008002E" w:rsidRPr="0070272E" w:rsidRDefault="0008002E" w:rsidP="00E81465">
            <w:pPr>
              <w:pStyle w:val="TableText"/>
              <w:keepNext/>
              <w:keepLines/>
              <w:contextualSpacing/>
              <w:jc w:val="center"/>
              <w:rPr>
                <w:lang w:val="en-AU"/>
              </w:rPr>
            </w:pPr>
            <w:r w:rsidRPr="0070272E">
              <w:rPr>
                <w:lang w:val="en-AU"/>
              </w:rPr>
              <w:t>-</w:t>
            </w:r>
            <w:r w:rsidR="00CD4EA9" w:rsidRPr="00CD4EA9">
              <w:rPr>
                <w:color w:val="000000"/>
                <w:spacing w:val="51"/>
                <w:shd w:val="solid" w:color="000000" w:fill="000000"/>
                <w:fitText w:val="324" w:id="-632121338"/>
                <w:lang w:val="en-AU"/>
                <w14:textFill>
                  <w14:solidFill>
                    <w14:srgbClr w14:val="000000">
                      <w14:alpha w14:val="100000"/>
                    </w14:srgbClr>
                  </w14:solidFill>
                </w14:textFill>
              </w:rPr>
              <w:t>|||</w:t>
            </w:r>
            <w:r w:rsidR="00CD4EA9" w:rsidRPr="00CD4EA9">
              <w:rPr>
                <w:color w:val="000000"/>
                <w:spacing w:val="1"/>
                <w:shd w:val="solid" w:color="000000" w:fill="000000"/>
                <w:fitText w:val="324" w:id="-632121338"/>
                <w:lang w:val="en-AU"/>
                <w14:textFill>
                  <w14:solidFill>
                    <w14:srgbClr w14:val="000000">
                      <w14:alpha w14:val="100000"/>
                    </w14:srgbClr>
                  </w14:solidFill>
                </w14:textFill>
              </w:rPr>
              <w:t>|</w:t>
            </w:r>
            <w:r w:rsidRPr="0070272E">
              <w:rPr>
                <w:lang w:val="en-AU"/>
              </w:rPr>
              <w:t>%</w:t>
            </w:r>
          </w:p>
        </w:tc>
      </w:tr>
      <w:tr w:rsidR="0008002E" w:rsidRPr="0070272E" w14:paraId="678DE90C"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nil"/>
              <w:bottom w:val="single" w:sz="4" w:space="0" w:color="auto"/>
            </w:tcBorders>
            <w:noWrap/>
            <w:vAlign w:val="center"/>
          </w:tcPr>
          <w:p w14:paraId="5CB6FE64" w14:textId="77777777" w:rsidR="0008002E" w:rsidRPr="0070272E" w:rsidRDefault="0008002E" w:rsidP="00DD02B1">
            <w:pPr>
              <w:pStyle w:val="TableText"/>
              <w:keepNext/>
              <w:keepLines/>
              <w:numPr>
                <w:ilvl w:val="0"/>
                <w:numId w:val="15"/>
              </w:numPr>
              <w:ind w:left="0" w:firstLine="0"/>
              <w:rPr>
                <w:lang w:val="en-AU"/>
              </w:rPr>
            </w:pPr>
            <w:r w:rsidRPr="0070272E">
              <w:rPr>
                <w:lang w:val="en-AU"/>
              </w:rPr>
              <w:t>25%</w:t>
            </w:r>
          </w:p>
        </w:tc>
        <w:tc>
          <w:tcPr>
            <w:tcW w:w="1173" w:type="dxa"/>
            <w:tcBorders>
              <w:top w:val="nil"/>
              <w:bottom w:val="single" w:sz="4" w:space="0" w:color="auto"/>
            </w:tcBorders>
            <w:noWrap/>
          </w:tcPr>
          <w:p w14:paraId="734A242F" w14:textId="091947EF"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7"/>
                <w:lang w:val="en-AU"/>
                <w14:textFill>
                  <w14:solidFill>
                    <w14:srgbClr w14:val="000000">
                      <w14:alpha w14:val="100000"/>
                    </w14:srgbClr>
                  </w14:solidFill>
                </w14:textFill>
              </w:rPr>
              <w:t>|||</w:t>
            </w:r>
            <w:r w:rsidR="00CD4EA9" w:rsidRPr="00CD4EA9">
              <w:rPr>
                <w:color w:val="000000"/>
                <w:spacing w:val="1"/>
                <w:shd w:val="solid" w:color="000000" w:fill="000000"/>
                <w:fitText w:val="330" w:id="-632121337"/>
                <w:lang w:val="en-AU"/>
                <w14:textFill>
                  <w14:solidFill>
                    <w14:srgbClr w14:val="000000">
                      <w14:alpha w14:val="100000"/>
                    </w14:srgbClr>
                  </w14:solidFill>
                </w14:textFill>
              </w:rPr>
              <w:t>|</w:t>
            </w:r>
          </w:p>
        </w:tc>
        <w:tc>
          <w:tcPr>
            <w:tcW w:w="1004" w:type="dxa"/>
            <w:tcBorders>
              <w:top w:val="nil"/>
              <w:bottom w:val="single" w:sz="4" w:space="0" w:color="auto"/>
            </w:tcBorders>
            <w:noWrap/>
          </w:tcPr>
          <w:p w14:paraId="7E5B0174" w14:textId="77777777" w:rsidR="0008002E" w:rsidRPr="0070272E" w:rsidRDefault="0008002E" w:rsidP="00E81465">
            <w:pPr>
              <w:pStyle w:val="TableText"/>
              <w:keepNext/>
              <w:keepLines/>
              <w:contextualSpacing/>
              <w:jc w:val="center"/>
              <w:rPr>
                <w:lang w:val="en-AU"/>
              </w:rPr>
            </w:pPr>
            <w:r w:rsidRPr="0070272E">
              <w:rPr>
                <w:lang w:val="en-AU"/>
              </w:rPr>
              <w:t>0.42</w:t>
            </w:r>
          </w:p>
        </w:tc>
        <w:tc>
          <w:tcPr>
            <w:tcW w:w="1642" w:type="dxa"/>
            <w:tcBorders>
              <w:top w:val="nil"/>
              <w:bottom w:val="single" w:sz="4" w:space="0" w:color="auto"/>
            </w:tcBorders>
            <w:noWrap/>
          </w:tcPr>
          <w:p w14:paraId="0453AC04" w14:textId="4D62A68F"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6"/>
                <w:lang w:val="en-AU"/>
                <w14:textFill>
                  <w14:solidFill>
                    <w14:srgbClr w14:val="000000">
                      <w14:alpha w14:val="100000"/>
                    </w14:srgbClr>
                  </w14:solidFill>
                </w14:textFill>
              </w:rPr>
              <w:t>|||</w:t>
            </w:r>
            <w:r w:rsidR="00CD4EA9" w:rsidRPr="00CD4EA9">
              <w:rPr>
                <w:color w:val="000000"/>
                <w:spacing w:val="1"/>
                <w:shd w:val="solid" w:color="000000" w:fill="000000"/>
                <w:fitText w:val="330" w:id="-632121336"/>
                <w:lang w:val="en-AU"/>
                <w14:textFill>
                  <w14:solidFill>
                    <w14:srgbClr w14:val="000000">
                      <w14:alpha w14:val="100000"/>
                    </w14:srgbClr>
                  </w14:solidFill>
                </w14:textFill>
              </w:rPr>
              <w:t>|</w:t>
            </w:r>
            <w:r w:rsidR="005C76A7">
              <w:rPr>
                <w:vertAlign w:val="superscript"/>
                <w:lang w:val="en-AU"/>
              </w:rPr>
              <w:t>1</w:t>
            </w:r>
          </w:p>
        </w:tc>
        <w:tc>
          <w:tcPr>
            <w:tcW w:w="1374" w:type="dxa"/>
            <w:tcBorders>
              <w:top w:val="nil"/>
              <w:bottom w:val="single" w:sz="4" w:space="0" w:color="auto"/>
            </w:tcBorders>
            <w:noWrap/>
          </w:tcPr>
          <w:p w14:paraId="18FAC616" w14:textId="5E01871D"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5"/>
                <w:lang w:val="en-AU"/>
                <w14:textFill>
                  <w14:solidFill>
                    <w14:srgbClr w14:val="000000">
                      <w14:alpha w14:val="100000"/>
                    </w14:srgbClr>
                  </w14:solidFill>
                </w14:textFill>
              </w:rPr>
              <w:t>|||</w:t>
            </w:r>
            <w:r w:rsidRPr="00CD4EA9">
              <w:rPr>
                <w:color w:val="000000"/>
                <w:spacing w:val="1"/>
                <w:shd w:val="solid" w:color="000000" w:fill="000000"/>
                <w:fitText w:val="330" w:id="-632121335"/>
                <w:lang w:val="en-AU"/>
                <w14:textFill>
                  <w14:solidFill>
                    <w14:srgbClr w14:val="000000">
                      <w14:alpha w14:val="100000"/>
                    </w14:srgbClr>
                  </w14:solidFill>
                </w14:textFill>
              </w:rPr>
              <w:t>|</w:t>
            </w:r>
            <w:r w:rsidR="0008002E" w:rsidRPr="0070272E">
              <w:rPr>
                <w:lang w:val="en-AU"/>
              </w:rPr>
              <w:t>%</w:t>
            </w:r>
          </w:p>
        </w:tc>
      </w:tr>
      <w:tr w:rsidR="0008002E" w:rsidRPr="0070272E" w14:paraId="06E3308C"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single" w:sz="4" w:space="0" w:color="auto"/>
              <w:bottom w:val="single" w:sz="4" w:space="0" w:color="auto"/>
            </w:tcBorders>
            <w:noWrap/>
            <w:vAlign w:val="center"/>
          </w:tcPr>
          <w:p w14:paraId="4A324DE5" w14:textId="77777777" w:rsidR="0008002E" w:rsidRPr="0070272E" w:rsidRDefault="0008002E" w:rsidP="00E81465">
            <w:pPr>
              <w:pStyle w:val="TableText"/>
              <w:keepNext/>
              <w:keepLines/>
              <w:contextualSpacing/>
              <w:rPr>
                <w:lang w:val="en-AU"/>
              </w:rPr>
            </w:pPr>
            <w:r w:rsidRPr="0070272E">
              <w:rPr>
                <w:lang w:val="en-AU"/>
              </w:rPr>
              <w:t>Donanemab dosing strategy (base case: standard)</w:t>
            </w:r>
          </w:p>
        </w:tc>
      </w:tr>
      <w:tr w:rsidR="0008002E" w:rsidRPr="0070272E" w14:paraId="47F966D2"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nil"/>
            </w:tcBorders>
            <w:noWrap/>
            <w:vAlign w:val="center"/>
          </w:tcPr>
          <w:p w14:paraId="54CA22FB" w14:textId="77777777" w:rsidR="0008002E" w:rsidRPr="0070272E" w:rsidRDefault="0008002E" w:rsidP="00DD02B1">
            <w:pPr>
              <w:pStyle w:val="TableText"/>
              <w:keepNext/>
              <w:keepLines/>
              <w:numPr>
                <w:ilvl w:val="0"/>
                <w:numId w:val="15"/>
              </w:numPr>
              <w:ind w:left="0" w:firstLine="0"/>
            </w:pPr>
            <w:r w:rsidRPr="0070272E">
              <w:t>Enhanced titration regimen</w:t>
            </w:r>
            <w:r>
              <w:t xml:space="preserve"> </w:t>
            </w:r>
          </w:p>
        </w:tc>
        <w:tc>
          <w:tcPr>
            <w:tcW w:w="1173" w:type="dxa"/>
            <w:tcBorders>
              <w:top w:val="single" w:sz="4" w:space="0" w:color="auto"/>
              <w:bottom w:val="nil"/>
            </w:tcBorders>
            <w:noWrap/>
            <w:vAlign w:val="center"/>
          </w:tcPr>
          <w:p w14:paraId="69ACD2E5" w14:textId="6FCE1516" w:rsidR="0008002E" w:rsidRPr="00AC5827" w:rsidRDefault="0008002E" w:rsidP="00E81465">
            <w:pPr>
              <w:pStyle w:val="TableText"/>
              <w:keepNext/>
              <w:keepLines/>
              <w:contextualSpacing/>
              <w:jc w:val="center"/>
              <w:rPr>
                <w:vertAlign w:val="superscript"/>
              </w:rPr>
            </w:pPr>
            <w:r w:rsidRPr="0070272E">
              <w:rPr>
                <w:lang w:val="en-AU"/>
              </w:rPr>
              <w:t>$</w:t>
            </w:r>
            <w:r w:rsidR="00CD4EA9" w:rsidRPr="00CD4EA9">
              <w:rPr>
                <w:color w:val="000000"/>
                <w:spacing w:val="53"/>
                <w:shd w:val="solid" w:color="000000" w:fill="000000"/>
                <w:fitText w:val="330" w:id="-632121334"/>
                <w:lang w:val="en-AU"/>
                <w14:textFill>
                  <w14:solidFill>
                    <w14:srgbClr w14:val="000000">
                      <w14:alpha w14:val="100000"/>
                    </w14:srgbClr>
                  </w14:solidFill>
                </w14:textFill>
              </w:rPr>
              <w:t>|||</w:t>
            </w:r>
            <w:r w:rsidR="00CD4EA9" w:rsidRPr="00CD4EA9">
              <w:rPr>
                <w:color w:val="000000"/>
                <w:spacing w:val="1"/>
                <w:shd w:val="solid" w:color="000000" w:fill="000000"/>
                <w:fitText w:val="330" w:id="-632121334"/>
                <w:lang w:val="en-AU"/>
                <w14:textFill>
                  <w14:solidFill>
                    <w14:srgbClr w14:val="000000">
                      <w14:alpha w14:val="100000"/>
                    </w14:srgbClr>
                  </w14:solidFill>
                </w14:textFill>
              </w:rPr>
              <w:t>|</w:t>
            </w:r>
          </w:p>
        </w:tc>
        <w:tc>
          <w:tcPr>
            <w:tcW w:w="1004" w:type="dxa"/>
            <w:tcBorders>
              <w:top w:val="single" w:sz="4" w:space="0" w:color="auto"/>
              <w:bottom w:val="nil"/>
            </w:tcBorders>
            <w:noWrap/>
            <w:vAlign w:val="center"/>
          </w:tcPr>
          <w:p w14:paraId="2623819F" w14:textId="77777777" w:rsidR="0008002E" w:rsidRPr="0070272E" w:rsidRDefault="0008002E" w:rsidP="00E81465">
            <w:pPr>
              <w:pStyle w:val="TableText"/>
              <w:keepNext/>
              <w:keepLines/>
              <w:contextualSpacing/>
              <w:jc w:val="center"/>
            </w:pPr>
            <w:r w:rsidRPr="0070272E">
              <w:rPr>
                <w:lang w:val="en-AU"/>
              </w:rPr>
              <w:t>0.42</w:t>
            </w:r>
          </w:p>
        </w:tc>
        <w:tc>
          <w:tcPr>
            <w:tcW w:w="1642" w:type="dxa"/>
            <w:tcBorders>
              <w:top w:val="single" w:sz="4" w:space="0" w:color="auto"/>
              <w:bottom w:val="nil"/>
            </w:tcBorders>
            <w:noWrap/>
            <w:vAlign w:val="center"/>
          </w:tcPr>
          <w:p w14:paraId="3B306FDA" w14:textId="04A5072A" w:rsidR="0008002E" w:rsidRPr="00AC5827" w:rsidRDefault="0008002E" w:rsidP="00E81465">
            <w:pPr>
              <w:pStyle w:val="TableText"/>
              <w:keepNext/>
              <w:keepLines/>
              <w:contextualSpacing/>
              <w:jc w:val="center"/>
              <w:rPr>
                <w:vertAlign w:val="superscript"/>
              </w:rPr>
            </w:pPr>
            <w:r w:rsidRPr="0070272E">
              <w:rPr>
                <w:lang w:val="en-AU"/>
              </w:rPr>
              <w:t>$</w:t>
            </w:r>
            <w:r w:rsidR="00CD4EA9" w:rsidRPr="00CD4EA9">
              <w:rPr>
                <w:color w:val="000000"/>
                <w:spacing w:val="53"/>
                <w:shd w:val="solid" w:color="000000" w:fill="000000"/>
                <w:fitText w:val="330" w:id="-632121333"/>
                <w:lang w:val="en-AU"/>
                <w14:textFill>
                  <w14:solidFill>
                    <w14:srgbClr w14:val="000000">
                      <w14:alpha w14:val="100000"/>
                    </w14:srgbClr>
                  </w14:solidFill>
                </w14:textFill>
              </w:rPr>
              <w:t>|||</w:t>
            </w:r>
            <w:r w:rsidR="00CD4EA9" w:rsidRPr="00CD4EA9">
              <w:rPr>
                <w:color w:val="000000"/>
                <w:spacing w:val="1"/>
                <w:shd w:val="solid" w:color="000000" w:fill="000000"/>
                <w:fitText w:val="330" w:id="-632121333"/>
                <w:lang w:val="en-AU"/>
                <w14:textFill>
                  <w14:solidFill>
                    <w14:srgbClr w14:val="000000">
                      <w14:alpha w14:val="100000"/>
                    </w14:srgbClr>
                  </w14:solidFill>
                </w14:textFill>
              </w:rPr>
              <w:t>|</w:t>
            </w:r>
            <w:r w:rsidR="005C76A7">
              <w:rPr>
                <w:vertAlign w:val="superscript"/>
                <w:lang w:val="en-AU"/>
              </w:rPr>
              <w:t>1</w:t>
            </w:r>
          </w:p>
        </w:tc>
        <w:tc>
          <w:tcPr>
            <w:tcW w:w="1374" w:type="dxa"/>
            <w:tcBorders>
              <w:top w:val="single" w:sz="4" w:space="0" w:color="auto"/>
              <w:bottom w:val="nil"/>
            </w:tcBorders>
            <w:noWrap/>
            <w:vAlign w:val="center"/>
          </w:tcPr>
          <w:p w14:paraId="4C3FD5C9" w14:textId="50D24CA9" w:rsidR="0008002E" w:rsidRPr="0070272E" w:rsidRDefault="00CD4EA9" w:rsidP="00E81465">
            <w:pPr>
              <w:pStyle w:val="TableText"/>
              <w:keepNext/>
              <w:keepLines/>
              <w:contextualSpacing/>
              <w:jc w:val="center"/>
            </w:pPr>
            <w:r w:rsidRPr="00CD4EA9">
              <w:rPr>
                <w:color w:val="000000"/>
                <w:spacing w:val="53"/>
                <w:shd w:val="solid" w:color="000000" w:fill="000000"/>
                <w:fitText w:val="330" w:id="-632121332"/>
                <w:lang w:val="en-AU"/>
                <w14:textFill>
                  <w14:solidFill>
                    <w14:srgbClr w14:val="000000">
                      <w14:alpha w14:val="100000"/>
                    </w14:srgbClr>
                  </w14:solidFill>
                </w14:textFill>
              </w:rPr>
              <w:t>|||</w:t>
            </w:r>
            <w:r w:rsidRPr="00CD4EA9">
              <w:rPr>
                <w:color w:val="000000"/>
                <w:spacing w:val="1"/>
                <w:shd w:val="solid" w:color="000000" w:fill="000000"/>
                <w:fitText w:val="330" w:id="-632121332"/>
                <w:lang w:val="en-AU"/>
                <w14:textFill>
                  <w14:solidFill>
                    <w14:srgbClr w14:val="000000">
                      <w14:alpha w14:val="100000"/>
                    </w14:srgbClr>
                  </w14:solidFill>
                </w14:textFill>
              </w:rPr>
              <w:t>|</w:t>
            </w:r>
            <w:r w:rsidR="0008002E" w:rsidRPr="0070272E">
              <w:rPr>
                <w:lang w:val="en-AU"/>
              </w:rPr>
              <w:t>%</w:t>
            </w:r>
          </w:p>
        </w:tc>
      </w:tr>
      <w:tr w:rsidR="0008002E" w:rsidRPr="0070272E" w14:paraId="4CAD15B1"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noWrap/>
            <w:vAlign w:val="center"/>
          </w:tcPr>
          <w:p w14:paraId="45EA6838" w14:textId="77777777" w:rsidR="0008002E" w:rsidRPr="0070272E" w:rsidRDefault="0008002E" w:rsidP="00E81465">
            <w:pPr>
              <w:pStyle w:val="TableText"/>
              <w:keepNext/>
              <w:keepLines/>
              <w:contextualSpacing/>
              <w:rPr>
                <w:lang w:val="en-AU"/>
              </w:rPr>
            </w:pPr>
            <w:r w:rsidRPr="0070272E">
              <w:rPr>
                <w:lang w:val="en-AU"/>
              </w:rPr>
              <w:t>Institutionalisation costs (base case: based on ACFI and basic subsidy rates)</w:t>
            </w:r>
          </w:p>
        </w:tc>
      </w:tr>
      <w:tr w:rsidR="0008002E" w:rsidRPr="0070272E" w14:paraId="5C3A7CA5"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vAlign w:val="center"/>
          </w:tcPr>
          <w:p w14:paraId="27260FFA" w14:textId="7555AB86" w:rsidR="0008002E" w:rsidRPr="0070272E" w:rsidRDefault="0008002E" w:rsidP="00DD02B1">
            <w:pPr>
              <w:pStyle w:val="TableText"/>
              <w:keepNext/>
              <w:keepLines/>
              <w:numPr>
                <w:ilvl w:val="0"/>
                <w:numId w:val="15"/>
              </w:numPr>
              <w:ind w:left="0" w:firstLine="0"/>
              <w:rPr>
                <w:lang w:val="en-AU"/>
              </w:rPr>
            </w:pPr>
            <w:r w:rsidRPr="0070272E">
              <w:rPr>
                <w:lang w:val="en-AU"/>
              </w:rPr>
              <w:t>AN-ACC variable component</w:t>
            </w:r>
            <w:r w:rsidR="00850A77">
              <w:t xml:space="preserve"> </w:t>
            </w:r>
            <w:r w:rsidRPr="0070272E">
              <w:rPr>
                <w:lang w:val="en-AU"/>
              </w:rPr>
              <w:t xml:space="preserve">applied to different health states </w:t>
            </w:r>
            <w:r w:rsidRPr="0070272E">
              <w:rPr>
                <w:b/>
                <w:bCs/>
                <w:lang w:val="en-AU"/>
              </w:rPr>
              <w:t>#5</w:t>
            </w:r>
          </w:p>
        </w:tc>
        <w:tc>
          <w:tcPr>
            <w:tcW w:w="1173" w:type="dxa"/>
            <w:noWrap/>
            <w:vAlign w:val="center"/>
          </w:tcPr>
          <w:p w14:paraId="7A3FBA24" w14:textId="3C0D4350"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1"/>
                <w:lang w:val="en-AU"/>
                <w14:textFill>
                  <w14:solidFill>
                    <w14:srgbClr w14:val="000000">
                      <w14:alpha w14:val="100000"/>
                    </w14:srgbClr>
                  </w14:solidFill>
                </w14:textFill>
              </w:rPr>
              <w:t>|||</w:t>
            </w:r>
            <w:r w:rsidR="00CD4EA9" w:rsidRPr="00CD4EA9">
              <w:rPr>
                <w:color w:val="000000"/>
                <w:spacing w:val="1"/>
                <w:shd w:val="solid" w:color="000000" w:fill="000000"/>
                <w:fitText w:val="330" w:id="-632121331"/>
                <w:lang w:val="en-AU"/>
                <w14:textFill>
                  <w14:solidFill>
                    <w14:srgbClr w14:val="000000">
                      <w14:alpha w14:val="100000"/>
                    </w14:srgbClr>
                  </w14:solidFill>
                </w14:textFill>
              </w:rPr>
              <w:t>|</w:t>
            </w:r>
          </w:p>
        </w:tc>
        <w:tc>
          <w:tcPr>
            <w:tcW w:w="1004" w:type="dxa"/>
            <w:noWrap/>
            <w:vAlign w:val="center"/>
          </w:tcPr>
          <w:p w14:paraId="79D4EC7D" w14:textId="77777777" w:rsidR="0008002E" w:rsidRPr="0070272E" w:rsidRDefault="0008002E" w:rsidP="00E81465">
            <w:pPr>
              <w:pStyle w:val="TableText"/>
              <w:keepNext/>
              <w:keepLines/>
              <w:contextualSpacing/>
              <w:jc w:val="center"/>
              <w:rPr>
                <w:lang w:val="en-AU"/>
              </w:rPr>
            </w:pPr>
            <w:r w:rsidRPr="0070272E">
              <w:rPr>
                <w:lang w:val="en-AU"/>
              </w:rPr>
              <w:t>0.42</w:t>
            </w:r>
          </w:p>
        </w:tc>
        <w:tc>
          <w:tcPr>
            <w:tcW w:w="1642" w:type="dxa"/>
            <w:noWrap/>
            <w:vAlign w:val="center"/>
          </w:tcPr>
          <w:p w14:paraId="78816986" w14:textId="24089872"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0"/>
                <w:lang w:val="en-AU"/>
                <w14:textFill>
                  <w14:solidFill>
                    <w14:srgbClr w14:val="000000">
                      <w14:alpha w14:val="100000"/>
                    </w14:srgbClr>
                  </w14:solidFill>
                </w14:textFill>
              </w:rPr>
              <w:t>|||</w:t>
            </w:r>
            <w:r w:rsidR="00CD4EA9" w:rsidRPr="00CD4EA9">
              <w:rPr>
                <w:color w:val="000000"/>
                <w:spacing w:val="1"/>
                <w:shd w:val="solid" w:color="000000" w:fill="000000"/>
                <w:fitText w:val="330" w:id="-632121330"/>
                <w:lang w:val="en-AU"/>
                <w14:textFill>
                  <w14:solidFill>
                    <w14:srgbClr w14:val="000000">
                      <w14:alpha w14:val="100000"/>
                    </w14:srgbClr>
                  </w14:solidFill>
                </w14:textFill>
              </w:rPr>
              <w:t>|</w:t>
            </w:r>
            <w:r w:rsidR="00D23B5C">
              <w:rPr>
                <w:vertAlign w:val="superscript"/>
                <w:lang w:val="en-AU"/>
              </w:rPr>
              <w:t>6</w:t>
            </w:r>
          </w:p>
        </w:tc>
        <w:tc>
          <w:tcPr>
            <w:tcW w:w="1374" w:type="dxa"/>
            <w:noWrap/>
            <w:vAlign w:val="center"/>
          </w:tcPr>
          <w:p w14:paraId="17BA2C19" w14:textId="1752BE55"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29"/>
                <w:lang w:val="en-AU"/>
                <w14:textFill>
                  <w14:solidFill>
                    <w14:srgbClr w14:val="000000">
                      <w14:alpha w14:val="100000"/>
                    </w14:srgbClr>
                  </w14:solidFill>
                </w14:textFill>
              </w:rPr>
              <w:t>|||</w:t>
            </w:r>
            <w:r w:rsidRPr="00CD4EA9">
              <w:rPr>
                <w:color w:val="000000"/>
                <w:spacing w:val="1"/>
                <w:shd w:val="solid" w:color="000000" w:fill="000000"/>
                <w:fitText w:val="330" w:id="-632121329"/>
                <w:lang w:val="en-AU"/>
                <w14:textFill>
                  <w14:solidFill>
                    <w14:srgbClr w14:val="000000">
                      <w14:alpha w14:val="100000"/>
                    </w14:srgbClr>
                  </w14:solidFill>
                </w14:textFill>
              </w:rPr>
              <w:t>|</w:t>
            </w:r>
            <w:r w:rsidR="0008002E" w:rsidRPr="0070272E">
              <w:rPr>
                <w:lang w:val="en-AU"/>
              </w:rPr>
              <w:t>%</w:t>
            </w:r>
          </w:p>
        </w:tc>
      </w:tr>
      <w:tr w:rsidR="0008002E" w:rsidRPr="0070272E" w14:paraId="26BBB199" w14:textId="77777777" w:rsidTr="00E81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16" w:type="dxa"/>
            <w:gridSpan w:val="5"/>
            <w:tcBorders>
              <w:top w:val="single" w:sz="4" w:space="0" w:color="auto"/>
              <w:bottom w:val="single" w:sz="4" w:space="0" w:color="auto"/>
            </w:tcBorders>
            <w:vAlign w:val="center"/>
          </w:tcPr>
          <w:p w14:paraId="4ACC9D4F" w14:textId="77777777" w:rsidR="0008002E" w:rsidRPr="0070272E" w:rsidRDefault="0008002E" w:rsidP="00E81465">
            <w:pPr>
              <w:pStyle w:val="TableText"/>
              <w:keepNext/>
              <w:keepLines/>
              <w:contextualSpacing/>
              <w:rPr>
                <w:lang w:val="en-AU"/>
              </w:rPr>
            </w:pPr>
            <w:r w:rsidRPr="0070272E">
              <w:rPr>
                <w:b/>
                <w:bCs/>
                <w:lang w:val="en-AU"/>
              </w:rPr>
              <w:t>Multivariate Analyses</w:t>
            </w:r>
          </w:p>
        </w:tc>
      </w:tr>
      <w:tr w:rsidR="0008002E" w:rsidRPr="0070272E" w14:paraId="6102B659"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vAlign w:val="center"/>
          </w:tcPr>
          <w:p w14:paraId="09990284" w14:textId="77777777" w:rsidR="0008002E" w:rsidRPr="0070272E" w:rsidRDefault="0008002E" w:rsidP="00E81465">
            <w:pPr>
              <w:pStyle w:val="TableText"/>
              <w:keepNext/>
              <w:keepLines/>
              <w:rPr>
                <w:b/>
                <w:bCs/>
                <w:lang w:val="en-AU"/>
              </w:rPr>
            </w:pPr>
            <w:r w:rsidRPr="0070272E">
              <w:rPr>
                <w:b/>
                <w:bCs/>
                <w:lang w:val="en-AU"/>
              </w:rPr>
              <w:t>#1, #2</w:t>
            </w:r>
          </w:p>
        </w:tc>
        <w:tc>
          <w:tcPr>
            <w:tcW w:w="1173" w:type="dxa"/>
            <w:tcBorders>
              <w:top w:val="single" w:sz="4" w:space="0" w:color="auto"/>
              <w:bottom w:val="single" w:sz="4" w:space="0" w:color="auto"/>
            </w:tcBorders>
            <w:noWrap/>
          </w:tcPr>
          <w:p w14:paraId="4E0243D1" w14:textId="75352F9D" w:rsidR="0008002E" w:rsidRPr="00751B81" w:rsidRDefault="0008002E" w:rsidP="00E81465">
            <w:pPr>
              <w:pStyle w:val="TableText"/>
              <w:keepNext/>
              <w:keepLines/>
              <w:contextualSpacing/>
              <w:jc w:val="center"/>
              <w:rPr>
                <w:highlight w:val="darkGray"/>
                <w:vertAlign w:val="superscript"/>
                <w:lang w:val="en-AU"/>
              </w:rPr>
            </w:pPr>
            <w:r w:rsidRPr="00751B81">
              <w:rPr>
                <w:lang w:val="en-AU"/>
              </w:rPr>
              <w:t>$</w:t>
            </w:r>
            <w:r w:rsidR="00CD4EA9" w:rsidRPr="00CD4EA9">
              <w:rPr>
                <w:color w:val="000000"/>
                <w:spacing w:val="53"/>
                <w:shd w:val="solid" w:color="000000" w:fill="000000"/>
                <w:fitText w:val="330" w:id="-632121328"/>
                <w:lang w:val="en-AU"/>
                <w14:textFill>
                  <w14:solidFill>
                    <w14:srgbClr w14:val="000000">
                      <w14:alpha w14:val="100000"/>
                    </w14:srgbClr>
                  </w14:solidFill>
                </w14:textFill>
              </w:rPr>
              <w:t>|||</w:t>
            </w:r>
            <w:r w:rsidR="00CD4EA9" w:rsidRPr="00CD4EA9">
              <w:rPr>
                <w:color w:val="000000"/>
                <w:spacing w:val="1"/>
                <w:shd w:val="solid" w:color="000000" w:fill="000000"/>
                <w:fitText w:val="330" w:id="-632121328"/>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tcPr>
          <w:p w14:paraId="47F075CD" w14:textId="77777777" w:rsidR="0008002E" w:rsidRPr="0070272E" w:rsidRDefault="0008002E" w:rsidP="00E81465">
            <w:pPr>
              <w:pStyle w:val="TableText"/>
              <w:keepNext/>
              <w:keepLines/>
              <w:contextualSpacing/>
              <w:jc w:val="center"/>
              <w:rPr>
                <w:lang w:val="en-AU"/>
              </w:rPr>
            </w:pPr>
            <w:r w:rsidRPr="0070272E">
              <w:rPr>
                <w:lang w:val="en-AU"/>
              </w:rPr>
              <w:t>0.48</w:t>
            </w:r>
          </w:p>
        </w:tc>
        <w:tc>
          <w:tcPr>
            <w:tcW w:w="1642" w:type="dxa"/>
            <w:tcBorders>
              <w:top w:val="single" w:sz="4" w:space="0" w:color="auto"/>
              <w:bottom w:val="single" w:sz="4" w:space="0" w:color="auto"/>
            </w:tcBorders>
            <w:noWrap/>
          </w:tcPr>
          <w:p w14:paraId="6EE4213F" w14:textId="7728781F"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4"/>
                <w:lang w:val="en-AU"/>
                <w14:textFill>
                  <w14:solidFill>
                    <w14:srgbClr w14:val="000000">
                      <w14:alpha w14:val="100000"/>
                    </w14:srgbClr>
                  </w14:solidFill>
                </w14:textFill>
              </w:rPr>
              <w:t>|||</w:t>
            </w:r>
            <w:r w:rsidR="00CD4EA9" w:rsidRPr="00CD4EA9">
              <w:rPr>
                <w:color w:val="000000"/>
                <w:spacing w:val="1"/>
                <w:shd w:val="solid" w:color="000000" w:fill="000000"/>
                <w:fitText w:val="330" w:id="-632121344"/>
                <w:lang w:val="en-AU"/>
                <w14:textFill>
                  <w14:solidFill>
                    <w14:srgbClr w14:val="000000">
                      <w14:alpha w14:val="100000"/>
                    </w14:srgbClr>
                  </w14:solidFill>
                </w14:textFill>
              </w:rPr>
              <w:t>|</w:t>
            </w:r>
            <w:r w:rsidR="006509BE">
              <w:rPr>
                <w:vertAlign w:val="superscript"/>
                <w:lang w:val="en-AU"/>
              </w:rPr>
              <w:t>8</w:t>
            </w:r>
          </w:p>
        </w:tc>
        <w:tc>
          <w:tcPr>
            <w:tcW w:w="1374" w:type="dxa"/>
            <w:tcBorders>
              <w:top w:val="single" w:sz="4" w:space="0" w:color="auto"/>
              <w:bottom w:val="single" w:sz="4" w:space="0" w:color="auto"/>
            </w:tcBorders>
            <w:noWrap/>
          </w:tcPr>
          <w:p w14:paraId="40DC5DAE" w14:textId="1634AEC1"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43"/>
                <w:lang w:val="en-AU"/>
                <w14:textFill>
                  <w14:solidFill>
                    <w14:srgbClr w14:val="000000">
                      <w14:alpha w14:val="100000"/>
                    </w14:srgbClr>
                  </w14:solidFill>
                </w14:textFill>
              </w:rPr>
              <w:t>|||</w:t>
            </w:r>
            <w:r w:rsidRPr="00CD4EA9">
              <w:rPr>
                <w:color w:val="000000"/>
                <w:spacing w:val="1"/>
                <w:shd w:val="solid" w:color="000000" w:fill="000000"/>
                <w:fitText w:val="330" w:id="-632121343"/>
                <w:lang w:val="en-AU"/>
                <w14:textFill>
                  <w14:solidFill>
                    <w14:srgbClr w14:val="000000">
                      <w14:alpha w14:val="100000"/>
                    </w14:srgbClr>
                  </w14:solidFill>
                </w14:textFill>
              </w:rPr>
              <w:t>|</w:t>
            </w:r>
            <w:r w:rsidR="0008002E" w:rsidRPr="0070272E">
              <w:rPr>
                <w:lang w:val="en-AU"/>
              </w:rPr>
              <w:t>%</w:t>
            </w:r>
          </w:p>
        </w:tc>
      </w:tr>
      <w:tr w:rsidR="0008002E" w:rsidRPr="0070272E" w14:paraId="36156022"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vAlign w:val="center"/>
          </w:tcPr>
          <w:p w14:paraId="401A61E1" w14:textId="77777777" w:rsidR="0008002E" w:rsidRPr="0070272E" w:rsidRDefault="0008002E" w:rsidP="00E81465">
            <w:pPr>
              <w:pStyle w:val="TableText"/>
              <w:keepNext/>
              <w:keepLines/>
              <w:rPr>
                <w:lang w:val="en-AU"/>
              </w:rPr>
            </w:pPr>
            <w:r w:rsidRPr="0070272E">
              <w:rPr>
                <w:b/>
                <w:bCs/>
                <w:lang w:val="en-AU"/>
              </w:rPr>
              <w:t>#1, #2, #3</w:t>
            </w:r>
          </w:p>
        </w:tc>
        <w:tc>
          <w:tcPr>
            <w:tcW w:w="1173" w:type="dxa"/>
            <w:tcBorders>
              <w:top w:val="single" w:sz="4" w:space="0" w:color="auto"/>
              <w:bottom w:val="single" w:sz="4" w:space="0" w:color="auto"/>
            </w:tcBorders>
            <w:noWrap/>
          </w:tcPr>
          <w:p w14:paraId="4F29BDA5" w14:textId="57175861" w:rsidR="0008002E" w:rsidRPr="00751B81" w:rsidRDefault="00751B81" w:rsidP="00E81465">
            <w:pPr>
              <w:pStyle w:val="TableText"/>
              <w:keepNext/>
              <w:keepLines/>
              <w:contextualSpacing/>
              <w:jc w:val="center"/>
              <w:rPr>
                <w:highlight w:val="darkGray"/>
                <w:vertAlign w:val="superscript"/>
                <w:lang w:val="en-AU"/>
              </w:rPr>
            </w:pPr>
            <w:r w:rsidRPr="00751B81">
              <w:rPr>
                <w:lang w:val="en-AU"/>
              </w:rPr>
              <w:t>$</w:t>
            </w:r>
            <w:r w:rsidR="00CD4EA9" w:rsidRPr="00CD4EA9">
              <w:rPr>
                <w:color w:val="000000"/>
                <w:spacing w:val="53"/>
                <w:shd w:val="solid" w:color="000000" w:fill="000000"/>
                <w:fitText w:val="330" w:id="-632121342"/>
                <w:lang w:val="en-AU"/>
                <w14:textFill>
                  <w14:solidFill>
                    <w14:srgbClr w14:val="000000">
                      <w14:alpha w14:val="100000"/>
                    </w14:srgbClr>
                  </w14:solidFill>
                </w14:textFill>
              </w:rPr>
              <w:t>|||</w:t>
            </w:r>
            <w:r w:rsidR="00CD4EA9" w:rsidRPr="00CD4EA9">
              <w:rPr>
                <w:color w:val="000000"/>
                <w:spacing w:val="1"/>
                <w:shd w:val="solid" w:color="000000" w:fill="000000"/>
                <w:fitText w:val="330" w:id="-632121342"/>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tcPr>
          <w:p w14:paraId="0F5D32AB" w14:textId="77777777" w:rsidR="0008002E" w:rsidRPr="0070272E" w:rsidRDefault="0008002E" w:rsidP="00E81465">
            <w:pPr>
              <w:pStyle w:val="TableText"/>
              <w:keepNext/>
              <w:keepLines/>
              <w:contextualSpacing/>
              <w:jc w:val="center"/>
              <w:rPr>
                <w:lang w:val="en-AU"/>
              </w:rPr>
            </w:pPr>
            <w:r w:rsidRPr="0070272E">
              <w:rPr>
                <w:lang w:val="en-AU"/>
              </w:rPr>
              <w:t>0.38</w:t>
            </w:r>
          </w:p>
        </w:tc>
        <w:tc>
          <w:tcPr>
            <w:tcW w:w="1642" w:type="dxa"/>
            <w:tcBorders>
              <w:top w:val="single" w:sz="4" w:space="0" w:color="auto"/>
              <w:bottom w:val="single" w:sz="4" w:space="0" w:color="auto"/>
            </w:tcBorders>
            <w:noWrap/>
          </w:tcPr>
          <w:p w14:paraId="056D87CA" w14:textId="3050BBC5"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1"/>
                <w:lang w:val="en-AU"/>
                <w14:textFill>
                  <w14:solidFill>
                    <w14:srgbClr w14:val="000000">
                      <w14:alpha w14:val="100000"/>
                    </w14:srgbClr>
                  </w14:solidFill>
                </w14:textFill>
              </w:rPr>
              <w:t>|||</w:t>
            </w:r>
            <w:r w:rsidR="00CD4EA9" w:rsidRPr="00CD4EA9">
              <w:rPr>
                <w:color w:val="000000"/>
                <w:spacing w:val="1"/>
                <w:shd w:val="solid" w:color="000000" w:fill="000000"/>
                <w:fitText w:val="330" w:id="-632121341"/>
                <w:lang w:val="en-AU"/>
                <w14:textFill>
                  <w14:solidFill>
                    <w14:srgbClr w14:val="000000">
                      <w14:alpha w14:val="100000"/>
                    </w14:srgbClr>
                  </w14:solidFill>
                </w14:textFill>
              </w:rPr>
              <w:t>|</w:t>
            </w:r>
            <w:r w:rsidR="006509BE">
              <w:rPr>
                <w:vertAlign w:val="superscript"/>
                <w:lang w:val="en-AU"/>
              </w:rPr>
              <w:t>8</w:t>
            </w:r>
          </w:p>
        </w:tc>
        <w:tc>
          <w:tcPr>
            <w:tcW w:w="1374" w:type="dxa"/>
            <w:tcBorders>
              <w:top w:val="single" w:sz="4" w:space="0" w:color="auto"/>
              <w:bottom w:val="single" w:sz="4" w:space="0" w:color="auto"/>
            </w:tcBorders>
            <w:noWrap/>
          </w:tcPr>
          <w:p w14:paraId="55FF16AA" w14:textId="4628BDB7"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40"/>
                <w:lang w:val="en-AU"/>
                <w14:textFill>
                  <w14:solidFill>
                    <w14:srgbClr w14:val="000000">
                      <w14:alpha w14:val="100000"/>
                    </w14:srgbClr>
                  </w14:solidFill>
                </w14:textFill>
              </w:rPr>
              <w:t>|||</w:t>
            </w:r>
            <w:r w:rsidRPr="00CD4EA9">
              <w:rPr>
                <w:color w:val="000000"/>
                <w:spacing w:val="1"/>
                <w:shd w:val="solid" w:color="000000" w:fill="000000"/>
                <w:fitText w:val="330" w:id="-632121340"/>
                <w:lang w:val="en-AU"/>
                <w14:textFill>
                  <w14:solidFill>
                    <w14:srgbClr w14:val="000000">
                      <w14:alpha w14:val="100000"/>
                    </w14:srgbClr>
                  </w14:solidFill>
                </w14:textFill>
              </w:rPr>
              <w:t>|</w:t>
            </w:r>
            <w:r w:rsidR="0008002E" w:rsidRPr="0070272E">
              <w:rPr>
                <w:lang w:val="en-AU"/>
              </w:rPr>
              <w:t>%</w:t>
            </w:r>
          </w:p>
        </w:tc>
      </w:tr>
      <w:tr w:rsidR="0008002E" w:rsidRPr="0070272E" w14:paraId="4E00881D"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vAlign w:val="center"/>
          </w:tcPr>
          <w:p w14:paraId="6D15D32A" w14:textId="77777777" w:rsidR="0008002E" w:rsidRPr="0070272E" w:rsidRDefault="0008002E" w:rsidP="00E81465">
            <w:pPr>
              <w:pStyle w:val="TableText"/>
              <w:keepNext/>
              <w:keepLines/>
              <w:rPr>
                <w:lang w:val="en-AU"/>
              </w:rPr>
            </w:pPr>
            <w:r w:rsidRPr="0070272E">
              <w:rPr>
                <w:b/>
                <w:bCs/>
                <w:lang w:val="en-AU"/>
              </w:rPr>
              <w:t>#1, #2, #3, #4</w:t>
            </w:r>
          </w:p>
        </w:tc>
        <w:tc>
          <w:tcPr>
            <w:tcW w:w="1173" w:type="dxa"/>
            <w:tcBorders>
              <w:top w:val="single" w:sz="4" w:space="0" w:color="auto"/>
              <w:bottom w:val="single" w:sz="4" w:space="0" w:color="auto"/>
            </w:tcBorders>
            <w:noWrap/>
          </w:tcPr>
          <w:p w14:paraId="7952D1CA" w14:textId="73807BA0" w:rsidR="0008002E" w:rsidRPr="00751B81" w:rsidRDefault="00751B81" w:rsidP="00E81465">
            <w:pPr>
              <w:pStyle w:val="TableText"/>
              <w:keepNext/>
              <w:keepLines/>
              <w:contextualSpacing/>
              <w:jc w:val="center"/>
              <w:rPr>
                <w:highlight w:val="darkGray"/>
                <w:vertAlign w:val="superscript"/>
                <w:lang w:val="en-AU"/>
              </w:rPr>
            </w:pPr>
            <w:r w:rsidRPr="00751B81">
              <w:rPr>
                <w:lang w:val="en-AU"/>
              </w:rPr>
              <w:t>$</w:t>
            </w:r>
            <w:r w:rsidR="00CD4EA9" w:rsidRPr="00CD4EA9">
              <w:rPr>
                <w:color w:val="000000"/>
                <w:spacing w:val="53"/>
                <w:shd w:val="solid" w:color="000000" w:fill="000000"/>
                <w:fitText w:val="330" w:id="-632121339"/>
                <w:lang w:val="en-AU"/>
                <w14:textFill>
                  <w14:solidFill>
                    <w14:srgbClr w14:val="000000">
                      <w14:alpha w14:val="100000"/>
                    </w14:srgbClr>
                  </w14:solidFill>
                </w14:textFill>
              </w:rPr>
              <w:t>|||</w:t>
            </w:r>
            <w:r w:rsidR="00CD4EA9" w:rsidRPr="00CD4EA9">
              <w:rPr>
                <w:color w:val="000000"/>
                <w:spacing w:val="1"/>
                <w:shd w:val="solid" w:color="000000" w:fill="000000"/>
                <w:fitText w:val="330" w:id="-632121339"/>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tcPr>
          <w:p w14:paraId="794722FF" w14:textId="77777777" w:rsidR="0008002E" w:rsidRPr="0070272E" w:rsidRDefault="0008002E" w:rsidP="00E81465">
            <w:pPr>
              <w:pStyle w:val="TableText"/>
              <w:keepNext/>
              <w:keepLines/>
              <w:contextualSpacing/>
              <w:jc w:val="center"/>
              <w:rPr>
                <w:lang w:val="en-AU"/>
              </w:rPr>
            </w:pPr>
            <w:r w:rsidRPr="0070272E">
              <w:rPr>
                <w:lang w:val="en-AU"/>
              </w:rPr>
              <w:t>0.37</w:t>
            </w:r>
          </w:p>
        </w:tc>
        <w:tc>
          <w:tcPr>
            <w:tcW w:w="1642" w:type="dxa"/>
            <w:tcBorders>
              <w:top w:val="single" w:sz="4" w:space="0" w:color="auto"/>
              <w:bottom w:val="single" w:sz="4" w:space="0" w:color="auto"/>
            </w:tcBorders>
            <w:noWrap/>
          </w:tcPr>
          <w:p w14:paraId="39169124" w14:textId="3D8EA879"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8"/>
                <w:lang w:val="en-AU"/>
                <w14:textFill>
                  <w14:solidFill>
                    <w14:srgbClr w14:val="000000">
                      <w14:alpha w14:val="100000"/>
                    </w14:srgbClr>
                  </w14:solidFill>
                </w14:textFill>
              </w:rPr>
              <w:t>|||</w:t>
            </w:r>
            <w:r w:rsidR="00CD4EA9" w:rsidRPr="00CD4EA9">
              <w:rPr>
                <w:color w:val="000000"/>
                <w:spacing w:val="1"/>
                <w:shd w:val="solid" w:color="000000" w:fill="000000"/>
                <w:fitText w:val="330" w:id="-632121338"/>
                <w:lang w:val="en-AU"/>
                <w14:textFill>
                  <w14:solidFill>
                    <w14:srgbClr w14:val="000000">
                      <w14:alpha w14:val="100000"/>
                    </w14:srgbClr>
                  </w14:solidFill>
                </w14:textFill>
              </w:rPr>
              <w:t>|</w:t>
            </w:r>
            <w:r w:rsidR="006509BE">
              <w:rPr>
                <w:vertAlign w:val="superscript"/>
                <w:lang w:val="en-AU"/>
              </w:rPr>
              <w:t>8</w:t>
            </w:r>
          </w:p>
        </w:tc>
        <w:tc>
          <w:tcPr>
            <w:tcW w:w="1374" w:type="dxa"/>
            <w:tcBorders>
              <w:top w:val="single" w:sz="4" w:space="0" w:color="auto"/>
              <w:bottom w:val="single" w:sz="4" w:space="0" w:color="auto"/>
            </w:tcBorders>
            <w:noWrap/>
          </w:tcPr>
          <w:p w14:paraId="31CAD956" w14:textId="3AFA7811"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7"/>
                <w:lang w:val="en-AU"/>
                <w14:textFill>
                  <w14:solidFill>
                    <w14:srgbClr w14:val="000000">
                      <w14:alpha w14:val="100000"/>
                    </w14:srgbClr>
                  </w14:solidFill>
                </w14:textFill>
              </w:rPr>
              <w:t>|||</w:t>
            </w:r>
            <w:r w:rsidRPr="00CD4EA9">
              <w:rPr>
                <w:color w:val="000000"/>
                <w:spacing w:val="1"/>
                <w:shd w:val="solid" w:color="000000" w:fill="000000"/>
                <w:fitText w:val="330" w:id="-632121337"/>
                <w:lang w:val="en-AU"/>
                <w14:textFill>
                  <w14:solidFill>
                    <w14:srgbClr w14:val="000000">
                      <w14:alpha w14:val="100000"/>
                    </w14:srgbClr>
                  </w14:solidFill>
                </w14:textFill>
              </w:rPr>
              <w:t>|</w:t>
            </w:r>
            <w:r w:rsidR="0008002E" w:rsidRPr="0070272E">
              <w:rPr>
                <w:lang w:val="en-AU"/>
              </w:rPr>
              <w:t>%</w:t>
            </w:r>
          </w:p>
        </w:tc>
      </w:tr>
      <w:tr w:rsidR="0008002E" w:rsidRPr="0070272E" w14:paraId="6FB9477E"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vAlign w:val="center"/>
          </w:tcPr>
          <w:p w14:paraId="0572B281" w14:textId="77777777" w:rsidR="0008002E" w:rsidRPr="0070272E" w:rsidRDefault="0008002E" w:rsidP="00E81465">
            <w:pPr>
              <w:pStyle w:val="TableText"/>
              <w:keepNext/>
              <w:keepLines/>
              <w:rPr>
                <w:lang w:val="en-AU"/>
              </w:rPr>
            </w:pPr>
            <w:r w:rsidRPr="0070272E">
              <w:rPr>
                <w:b/>
                <w:bCs/>
                <w:lang w:val="en-AU"/>
              </w:rPr>
              <w:t>#1, #2, #3, #4, #5</w:t>
            </w:r>
          </w:p>
        </w:tc>
        <w:tc>
          <w:tcPr>
            <w:tcW w:w="1173" w:type="dxa"/>
            <w:tcBorders>
              <w:top w:val="single" w:sz="4" w:space="0" w:color="auto"/>
              <w:bottom w:val="single" w:sz="4" w:space="0" w:color="auto"/>
            </w:tcBorders>
            <w:noWrap/>
          </w:tcPr>
          <w:p w14:paraId="1C36BCE8" w14:textId="5DAA670B" w:rsidR="0008002E" w:rsidRPr="00751B81" w:rsidRDefault="00751B81" w:rsidP="00E81465">
            <w:pPr>
              <w:pStyle w:val="TableText"/>
              <w:keepNext/>
              <w:keepLines/>
              <w:contextualSpacing/>
              <w:jc w:val="center"/>
              <w:rPr>
                <w:highlight w:val="darkGray"/>
                <w:vertAlign w:val="superscript"/>
                <w:lang w:val="en-AU"/>
              </w:rPr>
            </w:pPr>
            <w:r w:rsidRPr="00751B81">
              <w:rPr>
                <w:lang w:val="en-AU"/>
              </w:rPr>
              <w:t>$</w:t>
            </w:r>
            <w:r w:rsidR="00CD4EA9" w:rsidRPr="00CD4EA9">
              <w:rPr>
                <w:color w:val="000000"/>
                <w:spacing w:val="53"/>
                <w:shd w:val="solid" w:color="000000" w:fill="000000"/>
                <w:fitText w:val="330" w:id="-632121336"/>
                <w:lang w:val="en-AU"/>
                <w14:textFill>
                  <w14:solidFill>
                    <w14:srgbClr w14:val="000000">
                      <w14:alpha w14:val="100000"/>
                    </w14:srgbClr>
                  </w14:solidFill>
                </w14:textFill>
              </w:rPr>
              <w:t>|||</w:t>
            </w:r>
            <w:r w:rsidR="00CD4EA9" w:rsidRPr="00CD4EA9">
              <w:rPr>
                <w:color w:val="000000"/>
                <w:spacing w:val="1"/>
                <w:shd w:val="solid" w:color="000000" w:fill="000000"/>
                <w:fitText w:val="330" w:id="-632121336"/>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tcPr>
          <w:p w14:paraId="7AF9D30A" w14:textId="77777777" w:rsidR="0008002E" w:rsidRPr="0070272E" w:rsidRDefault="0008002E" w:rsidP="00E81465">
            <w:pPr>
              <w:pStyle w:val="TableText"/>
              <w:keepNext/>
              <w:keepLines/>
              <w:contextualSpacing/>
              <w:jc w:val="center"/>
              <w:rPr>
                <w:lang w:val="en-AU"/>
              </w:rPr>
            </w:pPr>
            <w:r w:rsidRPr="0070272E">
              <w:rPr>
                <w:lang w:val="en-AU"/>
              </w:rPr>
              <w:t>0.37</w:t>
            </w:r>
          </w:p>
        </w:tc>
        <w:tc>
          <w:tcPr>
            <w:tcW w:w="1642" w:type="dxa"/>
            <w:tcBorders>
              <w:top w:val="single" w:sz="4" w:space="0" w:color="auto"/>
              <w:bottom w:val="single" w:sz="4" w:space="0" w:color="auto"/>
            </w:tcBorders>
            <w:noWrap/>
          </w:tcPr>
          <w:p w14:paraId="5D2220C4" w14:textId="7AC01DB9"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5"/>
                <w:lang w:val="en-AU"/>
                <w14:textFill>
                  <w14:solidFill>
                    <w14:srgbClr w14:val="000000">
                      <w14:alpha w14:val="100000"/>
                    </w14:srgbClr>
                  </w14:solidFill>
                </w14:textFill>
              </w:rPr>
              <w:t>|||</w:t>
            </w:r>
            <w:r w:rsidR="00CD4EA9" w:rsidRPr="00CD4EA9">
              <w:rPr>
                <w:color w:val="000000"/>
                <w:spacing w:val="1"/>
                <w:shd w:val="solid" w:color="000000" w:fill="000000"/>
                <w:fitText w:val="330" w:id="-632121335"/>
                <w:lang w:val="en-AU"/>
                <w14:textFill>
                  <w14:solidFill>
                    <w14:srgbClr w14:val="000000">
                      <w14:alpha w14:val="100000"/>
                    </w14:srgbClr>
                  </w14:solidFill>
                </w14:textFill>
              </w:rPr>
              <w:t>|</w:t>
            </w:r>
            <w:r w:rsidR="009A6D22">
              <w:rPr>
                <w:vertAlign w:val="superscript"/>
                <w:lang w:val="en-AU"/>
              </w:rPr>
              <w:t>9</w:t>
            </w:r>
          </w:p>
        </w:tc>
        <w:tc>
          <w:tcPr>
            <w:tcW w:w="1374" w:type="dxa"/>
            <w:tcBorders>
              <w:top w:val="single" w:sz="4" w:space="0" w:color="auto"/>
              <w:bottom w:val="single" w:sz="4" w:space="0" w:color="auto"/>
            </w:tcBorders>
            <w:noWrap/>
          </w:tcPr>
          <w:p w14:paraId="014FDC0B" w14:textId="794FFAB6"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4"/>
                <w:lang w:val="en-AU"/>
                <w14:textFill>
                  <w14:solidFill>
                    <w14:srgbClr w14:val="000000">
                      <w14:alpha w14:val="100000"/>
                    </w14:srgbClr>
                  </w14:solidFill>
                </w14:textFill>
              </w:rPr>
              <w:t>|||</w:t>
            </w:r>
            <w:r w:rsidRPr="00CD4EA9">
              <w:rPr>
                <w:color w:val="000000"/>
                <w:spacing w:val="1"/>
                <w:shd w:val="solid" w:color="000000" w:fill="000000"/>
                <w:fitText w:val="330" w:id="-632121334"/>
                <w:lang w:val="en-AU"/>
                <w14:textFill>
                  <w14:solidFill>
                    <w14:srgbClr w14:val="000000">
                      <w14:alpha w14:val="100000"/>
                    </w14:srgbClr>
                  </w14:solidFill>
                </w14:textFill>
              </w:rPr>
              <w:t>|</w:t>
            </w:r>
            <w:r w:rsidR="0008002E" w:rsidRPr="0070272E">
              <w:rPr>
                <w:lang w:val="en-AU"/>
              </w:rPr>
              <w:t>%</w:t>
            </w:r>
          </w:p>
        </w:tc>
      </w:tr>
      <w:tr w:rsidR="0008002E" w:rsidRPr="0070272E" w14:paraId="1FCCCB6E"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vAlign w:val="center"/>
          </w:tcPr>
          <w:p w14:paraId="31F8A124" w14:textId="77777777" w:rsidR="0008002E" w:rsidRPr="0070272E" w:rsidRDefault="0008002E" w:rsidP="00E81465">
            <w:pPr>
              <w:pStyle w:val="TableText"/>
              <w:keepNext/>
              <w:keepLines/>
              <w:rPr>
                <w:lang w:val="en-AU"/>
              </w:rPr>
            </w:pPr>
            <w:r w:rsidRPr="0070272E">
              <w:rPr>
                <w:b/>
                <w:bCs/>
                <w:lang w:val="en-AU"/>
              </w:rPr>
              <w:t>#1, #2, #3, #4, #5, #6</w:t>
            </w:r>
          </w:p>
        </w:tc>
        <w:tc>
          <w:tcPr>
            <w:tcW w:w="1173" w:type="dxa"/>
            <w:tcBorders>
              <w:top w:val="single" w:sz="4" w:space="0" w:color="auto"/>
              <w:bottom w:val="single" w:sz="4" w:space="0" w:color="auto"/>
            </w:tcBorders>
            <w:noWrap/>
          </w:tcPr>
          <w:p w14:paraId="2A4AA48B" w14:textId="542933C5" w:rsidR="0008002E" w:rsidRPr="00751B81" w:rsidRDefault="00751B81" w:rsidP="00E81465">
            <w:pPr>
              <w:pStyle w:val="TableText"/>
              <w:keepNext/>
              <w:keepLines/>
              <w:contextualSpacing/>
              <w:jc w:val="center"/>
              <w:rPr>
                <w:highlight w:val="darkGray"/>
                <w:vertAlign w:val="superscript"/>
                <w:lang w:val="en-AU"/>
              </w:rPr>
            </w:pPr>
            <w:r w:rsidRPr="00751B81">
              <w:rPr>
                <w:lang w:val="en-AU"/>
              </w:rPr>
              <w:t>$</w:t>
            </w:r>
            <w:r w:rsidR="00CD4EA9" w:rsidRPr="00CD4EA9">
              <w:rPr>
                <w:color w:val="000000"/>
                <w:spacing w:val="53"/>
                <w:shd w:val="solid" w:color="000000" w:fill="000000"/>
                <w:fitText w:val="330" w:id="-632121333"/>
                <w:lang w:val="en-AU"/>
                <w14:textFill>
                  <w14:solidFill>
                    <w14:srgbClr w14:val="000000">
                      <w14:alpha w14:val="100000"/>
                    </w14:srgbClr>
                  </w14:solidFill>
                </w14:textFill>
              </w:rPr>
              <w:t>|||</w:t>
            </w:r>
            <w:r w:rsidR="00CD4EA9" w:rsidRPr="00CD4EA9">
              <w:rPr>
                <w:color w:val="000000"/>
                <w:spacing w:val="1"/>
                <w:shd w:val="solid" w:color="000000" w:fill="000000"/>
                <w:fitText w:val="330" w:id="-632121333"/>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tcPr>
          <w:p w14:paraId="0C972065" w14:textId="77777777" w:rsidR="0008002E" w:rsidRPr="0070272E" w:rsidRDefault="0008002E" w:rsidP="00E81465">
            <w:pPr>
              <w:pStyle w:val="TableText"/>
              <w:keepNext/>
              <w:keepLines/>
              <w:contextualSpacing/>
              <w:jc w:val="center"/>
              <w:rPr>
                <w:lang w:val="en-AU"/>
              </w:rPr>
            </w:pPr>
            <w:r w:rsidRPr="0070272E">
              <w:rPr>
                <w:lang w:val="en-AU"/>
              </w:rPr>
              <w:t>0.37</w:t>
            </w:r>
          </w:p>
        </w:tc>
        <w:tc>
          <w:tcPr>
            <w:tcW w:w="1642" w:type="dxa"/>
            <w:tcBorders>
              <w:top w:val="single" w:sz="4" w:space="0" w:color="auto"/>
              <w:bottom w:val="single" w:sz="4" w:space="0" w:color="auto"/>
            </w:tcBorders>
            <w:noWrap/>
          </w:tcPr>
          <w:p w14:paraId="1CC28980" w14:textId="1747CC4E"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32"/>
                <w:lang w:val="en-AU"/>
                <w14:textFill>
                  <w14:solidFill>
                    <w14:srgbClr w14:val="000000">
                      <w14:alpha w14:val="100000"/>
                    </w14:srgbClr>
                  </w14:solidFill>
                </w14:textFill>
              </w:rPr>
              <w:t>|||</w:t>
            </w:r>
            <w:r w:rsidR="00CD4EA9" w:rsidRPr="00CD4EA9">
              <w:rPr>
                <w:color w:val="000000"/>
                <w:spacing w:val="1"/>
                <w:shd w:val="solid" w:color="000000" w:fill="000000"/>
                <w:fitText w:val="330" w:id="-632121332"/>
                <w:lang w:val="en-AU"/>
                <w14:textFill>
                  <w14:solidFill>
                    <w14:srgbClr w14:val="000000">
                      <w14:alpha w14:val="100000"/>
                    </w14:srgbClr>
                  </w14:solidFill>
                </w14:textFill>
              </w:rPr>
              <w:t>|</w:t>
            </w:r>
            <w:r w:rsidR="009A6D22">
              <w:rPr>
                <w:vertAlign w:val="superscript"/>
                <w:lang w:val="en-AU"/>
              </w:rPr>
              <w:t>10</w:t>
            </w:r>
          </w:p>
        </w:tc>
        <w:tc>
          <w:tcPr>
            <w:tcW w:w="1374" w:type="dxa"/>
            <w:tcBorders>
              <w:top w:val="single" w:sz="4" w:space="0" w:color="auto"/>
              <w:bottom w:val="single" w:sz="4" w:space="0" w:color="auto"/>
            </w:tcBorders>
            <w:noWrap/>
          </w:tcPr>
          <w:p w14:paraId="6E21BFED" w14:textId="2AFC8B89"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31"/>
                <w:lang w:val="en-AU"/>
                <w14:textFill>
                  <w14:solidFill>
                    <w14:srgbClr w14:val="000000">
                      <w14:alpha w14:val="100000"/>
                    </w14:srgbClr>
                  </w14:solidFill>
                </w14:textFill>
              </w:rPr>
              <w:t>|||</w:t>
            </w:r>
            <w:r w:rsidRPr="00CD4EA9">
              <w:rPr>
                <w:color w:val="000000"/>
                <w:spacing w:val="1"/>
                <w:shd w:val="solid" w:color="000000" w:fill="000000"/>
                <w:fitText w:val="330" w:id="-632121331"/>
                <w:lang w:val="en-AU"/>
                <w14:textFill>
                  <w14:solidFill>
                    <w14:srgbClr w14:val="000000">
                      <w14:alpha w14:val="100000"/>
                    </w14:srgbClr>
                  </w14:solidFill>
                </w14:textFill>
              </w:rPr>
              <w:t>|</w:t>
            </w:r>
            <w:r w:rsidR="0008002E" w:rsidRPr="0070272E">
              <w:rPr>
                <w:lang w:val="en-AU"/>
              </w:rPr>
              <w:t>%</w:t>
            </w:r>
          </w:p>
        </w:tc>
      </w:tr>
      <w:tr w:rsidR="0008002E" w:rsidRPr="0070272E" w14:paraId="38043837"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vAlign w:val="center"/>
          </w:tcPr>
          <w:p w14:paraId="0EA4F6D5" w14:textId="77777777" w:rsidR="0008002E" w:rsidRPr="0070272E" w:rsidRDefault="0008002E" w:rsidP="00E81465">
            <w:pPr>
              <w:pStyle w:val="TableText"/>
              <w:keepNext/>
              <w:keepLines/>
              <w:rPr>
                <w:lang w:val="en-AU"/>
              </w:rPr>
            </w:pPr>
            <w:r w:rsidRPr="0070272E">
              <w:rPr>
                <w:b/>
                <w:bCs/>
                <w:lang w:val="en-AU"/>
              </w:rPr>
              <w:t>#1, #2, #3, #4, #5, #6, #7</w:t>
            </w:r>
          </w:p>
        </w:tc>
        <w:tc>
          <w:tcPr>
            <w:tcW w:w="1173" w:type="dxa"/>
            <w:tcBorders>
              <w:top w:val="single" w:sz="4" w:space="0" w:color="auto"/>
              <w:bottom w:val="single" w:sz="4" w:space="0" w:color="auto"/>
            </w:tcBorders>
            <w:noWrap/>
          </w:tcPr>
          <w:p w14:paraId="699E01DF" w14:textId="2968D0C1" w:rsidR="0008002E" w:rsidRPr="00751B81" w:rsidRDefault="00751B81" w:rsidP="00E81465">
            <w:pPr>
              <w:pStyle w:val="TableText"/>
              <w:keepNext/>
              <w:keepLines/>
              <w:contextualSpacing/>
              <w:jc w:val="center"/>
              <w:rPr>
                <w:highlight w:val="darkGray"/>
                <w:vertAlign w:val="superscript"/>
                <w:lang w:val="en-AU"/>
              </w:rPr>
            </w:pPr>
            <w:r w:rsidRPr="00751B81">
              <w:rPr>
                <w:lang w:val="en-AU"/>
              </w:rPr>
              <w:t>$</w:t>
            </w:r>
            <w:r w:rsidR="00CD4EA9" w:rsidRPr="00CD4EA9">
              <w:rPr>
                <w:color w:val="000000"/>
                <w:spacing w:val="53"/>
                <w:shd w:val="solid" w:color="000000" w:fill="000000"/>
                <w:fitText w:val="330" w:id="-632121330"/>
                <w:lang w:val="en-AU"/>
                <w14:textFill>
                  <w14:solidFill>
                    <w14:srgbClr w14:val="000000">
                      <w14:alpha w14:val="100000"/>
                    </w14:srgbClr>
                  </w14:solidFill>
                </w14:textFill>
              </w:rPr>
              <w:t>|||</w:t>
            </w:r>
            <w:r w:rsidR="00CD4EA9" w:rsidRPr="00CD4EA9">
              <w:rPr>
                <w:color w:val="000000"/>
                <w:spacing w:val="1"/>
                <w:shd w:val="solid" w:color="000000" w:fill="000000"/>
                <w:fitText w:val="330" w:id="-632121330"/>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tcPr>
          <w:p w14:paraId="6DBAC690" w14:textId="77777777" w:rsidR="0008002E" w:rsidRPr="0070272E" w:rsidRDefault="0008002E" w:rsidP="00E81465">
            <w:pPr>
              <w:pStyle w:val="TableText"/>
              <w:keepNext/>
              <w:keepLines/>
              <w:contextualSpacing/>
              <w:jc w:val="center"/>
              <w:rPr>
                <w:lang w:val="en-AU"/>
              </w:rPr>
            </w:pPr>
            <w:r w:rsidRPr="0070272E">
              <w:rPr>
                <w:lang w:val="en-AU"/>
              </w:rPr>
              <w:t>0.27</w:t>
            </w:r>
          </w:p>
        </w:tc>
        <w:tc>
          <w:tcPr>
            <w:tcW w:w="1642" w:type="dxa"/>
            <w:tcBorders>
              <w:top w:val="single" w:sz="4" w:space="0" w:color="auto"/>
              <w:bottom w:val="single" w:sz="4" w:space="0" w:color="auto"/>
            </w:tcBorders>
            <w:noWrap/>
          </w:tcPr>
          <w:p w14:paraId="31607A80" w14:textId="3C527628"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29"/>
                <w:lang w:val="en-AU"/>
                <w14:textFill>
                  <w14:solidFill>
                    <w14:srgbClr w14:val="000000">
                      <w14:alpha w14:val="100000"/>
                    </w14:srgbClr>
                  </w14:solidFill>
                </w14:textFill>
              </w:rPr>
              <w:t>|||</w:t>
            </w:r>
            <w:r w:rsidR="00CD4EA9" w:rsidRPr="00CD4EA9">
              <w:rPr>
                <w:color w:val="000000"/>
                <w:spacing w:val="1"/>
                <w:shd w:val="solid" w:color="000000" w:fill="000000"/>
                <w:fitText w:val="330" w:id="-632121329"/>
                <w:lang w:val="en-AU"/>
                <w14:textFill>
                  <w14:solidFill>
                    <w14:srgbClr w14:val="000000">
                      <w14:alpha w14:val="100000"/>
                    </w14:srgbClr>
                  </w14:solidFill>
                </w14:textFill>
              </w:rPr>
              <w:t>|</w:t>
            </w:r>
            <w:r w:rsidR="00905988">
              <w:rPr>
                <w:vertAlign w:val="superscript"/>
                <w:lang w:val="en-AU"/>
              </w:rPr>
              <w:t>10</w:t>
            </w:r>
          </w:p>
        </w:tc>
        <w:tc>
          <w:tcPr>
            <w:tcW w:w="1374" w:type="dxa"/>
            <w:tcBorders>
              <w:top w:val="single" w:sz="4" w:space="0" w:color="auto"/>
              <w:bottom w:val="single" w:sz="4" w:space="0" w:color="auto"/>
            </w:tcBorders>
            <w:noWrap/>
          </w:tcPr>
          <w:p w14:paraId="5D484176" w14:textId="528E61C6"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28"/>
                <w:lang w:val="en-AU"/>
                <w14:textFill>
                  <w14:solidFill>
                    <w14:srgbClr w14:val="000000">
                      <w14:alpha w14:val="100000"/>
                    </w14:srgbClr>
                  </w14:solidFill>
                </w14:textFill>
              </w:rPr>
              <w:t>|||</w:t>
            </w:r>
            <w:r w:rsidRPr="00CD4EA9">
              <w:rPr>
                <w:color w:val="000000"/>
                <w:spacing w:val="1"/>
                <w:shd w:val="solid" w:color="000000" w:fill="000000"/>
                <w:fitText w:val="330" w:id="-632121328"/>
                <w:lang w:val="en-AU"/>
                <w14:textFill>
                  <w14:solidFill>
                    <w14:srgbClr w14:val="000000">
                      <w14:alpha w14:val="100000"/>
                    </w14:srgbClr>
                  </w14:solidFill>
                </w14:textFill>
              </w:rPr>
              <w:t>|</w:t>
            </w:r>
            <w:r w:rsidR="0008002E" w:rsidRPr="0070272E">
              <w:rPr>
                <w:lang w:val="en-AU"/>
              </w:rPr>
              <w:t>%</w:t>
            </w:r>
          </w:p>
        </w:tc>
      </w:tr>
      <w:tr w:rsidR="0008002E" w:rsidRPr="0070272E" w14:paraId="0532971E" w14:textId="77777777" w:rsidTr="00116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823" w:type="dxa"/>
            <w:tcBorders>
              <w:top w:val="single" w:sz="4" w:space="0" w:color="auto"/>
              <w:bottom w:val="single" w:sz="4" w:space="0" w:color="auto"/>
            </w:tcBorders>
            <w:vAlign w:val="center"/>
          </w:tcPr>
          <w:p w14:paraId="14ED627C" w14:textId="77777777" w:rsidR="0008002E" w:rsidRPr="0070272E" w:rsidRDefault="0008002E" w:rsidP="00E81465">
            <w:pPr>
              <w:pStyle w:val="TableText"/>
              <w:keepNext/>
              <w:keepLines/>
              <w:rPr>
                <w:b/>
                <w:bCs/>
                <w:lang w:val="en-AU"/>
              </w:rPr>
            </w:pPr>
            <w:r w:rsidRPr="0070272E">
              <w:rPr>
                <w:b/>
                <w:bCs/>
                <w:lang w:val="en-AU"/>
              </w:rPr>
              <w:t>#1, #2, #3, #4, #5, #6, #8</w:t>
            </w:r>
          </w:p>
        </w:tc>
        <w:tc>
          <w:tcPr>
            <w:tcW w:w="1173" w:type="dxa"/>
            <w:tcBorders>
              <w:top w:val="single" w:sz="4" w:space="0" w:color="auto"/>
              <w:bottom w:val="single" w:sz="4" w:space="0" w:color="auto"/>
            </w:tcBorders>
            <w:noWrap/>
          </w:tcPr>
          <w:p w14:paraId="71E7F3FA" w14:textId="25AA4DED" w:rsidR="0008002E" w:rsidRPr="00751B81" w:rsidRDefault="00751B81" w:rsidP="00E81465">
            <w:pPr>
              <w:pStyle w:val="TableText"/>
              <w:keepNext/>
              <w:keepLines/>
              <w:contextualSpacing/>
              <w:jc w:val="center"/>
              <w:rPr>
                <w:highlight w:val="darkGray"/>
                <w:vertAlign w:val="superscript"/>
                <w:lang w:val="en-AU"/>
              </w:rPr>
            </w:pPr>
            <w:r w:rsidRPr="00751B81">
              <w:rPr>
                <w:lang w:val="en-AU"/>
              </w:rPr>
              <w:t>$</w:t>
            </w:r>
            <w:r w:rsidR="00CD4EA9" w:rsidRPr="00CD4EA9">
              <w:rPr>
                <w:color w:val="000000"/>
                <w:spacing w:val="53"/>
                <w:shd w:val="solid" w:color="000000" w:fill="000000"/>
                <w:fitText w:val="330" w:id="-632121344"/>
                <w:lang w:val="en-AU"/>
                <w14:textFill>
                  <w14:solidFill>
                    <w14:srgbClr w14:val="000000">
                      <w14:alpha w14:val="100000"/>
                    </w14:srgbClr>
                  </w14:solidFill>
                </w14:textFill>
              </w:rPr>
              <w:t>|||</w:t>
            </w:r>
            <w:r w:rsidR="00CD4EA9" w:rsidRPr="00CD4EA9">
              <w:rPr>
                <w:color w:val="000000"/>
                <w:spacing w:val="1"/>
                <w:shd w:val="solid" w:color="000000" w:fill="000000"/>
                <w:fitText w:val="330" w:id="-632121344"/>
                <w:lang w:val="en-AU"/>
                <w14:textFill>
                  <w14:solidFill>
                    <w14:srgbClr w14:val="000000">
                      <w14:alpha w14:val="100000"/>
                    </w14:srgbClr>
                  </w14:solidFill>
                </w14:textFill>
              </w:rPr>
              <w:t>|</w:t>
            </w:r>
          </w:p>
        </w:tc>
        <w:tc>
          <w:tcPr>
            <w:tcW w:w="1004" w:type="dxa"/>
            <w:tcBorders>
              <w:top w:val="single" w:sz="4" w:space="0" w:color="auto"/>
              <w:bottom w:val="single" w:sz="4" w:space="0" w:color="auto"/>
            </w:tcBorders>
            <w:noWrap/>
          </w:tcPr>
          <w:p w14:paraId="6A87C237" w14:textId="77777777" w:rsidR="0008002E" w:rsidRPr="0070272E" w:rsidRDefault="0008002E" w:rsidP="00E81465">
            <w:pPr>
              <w:pStyle w:val="TableText"/>
              <w:keepNext/>
              <w:keepLines/>
              <w:contextualSpacing/>
              <w:jc w:val="center"/>
              <w:rPr>
                <w:lang w:val="en-AU"/>
              </w:rPr>
            </w:pPr>
            <w:r w:rsidRPr="0070272E">
              <w:rPr>
                <w:lang w:val="en-AU"/>
              </w:rPr>
              <w:t>0.09</w:t>
            </w:r>
          </w:p>
        </w:tc>
        <w:tc>
          <w:tcPr>
            <w:tcW w:w="1642" w:type="dxa"/>
            <w:tcBorders>
              <w:top w:val="single" w:sz="4" w:space="0" w:color="auto"/>
              <w:bottom w:val="single" w:sz="4" w:space="0" w:color="auto"/>
            </w:tcBorders>
            <w:noWrap/>
          </w:tcPr>
          <w:p w14:paraId="7532B6AE" w14:textId="4D6C5AD1" w:rsidR="0008002E" w:rsidRPr="00AC5827" w:rsidRDefault="0008002E" w:rsidP="00E81465">
            <w:pPr>
              <w:pStyle w:val="TableText"/>
              <w:keepNext/>
              <w:keepLines/>
              <w:contextualSpacing/>
              <w:jc w:val="center"/>
              <w:rPr>
                <w:vertAlign w:val="superscript"/>
                <w:lang w:val="en-AU"/>
              </w:rPr>
            </w:pPr>
            <w:r w:rsidRPr="0070272E">
              <w:rPr>
                <w:lang w:val="en-AU"/>
              </w:rPr>
              <w:t>$</w:t>
            </w:r>
            <w:r w:rsidR="00CD4EA9" w:rsidRPr="00CD4EA9">
              <w:rPr>
                <w:color w:val="000000"/>
                <w:spacing w:val="53"/>
                <w:shd w:val="solid" w:color="000000" w:fill="000000"/>
                <w:fitText w:val="330" w:id="-632121343"/>
                <w:lang w:val="en-AU"/>
                <w14:textFill>
                  <w14:solidFill>
                    <w14:srgbClr w14:val="000000">
                      <w14:alpha w14:val="100000"/>
                    </w14:srgbClr>
                  </w14:solidFill>
                </w14:textFill>
              </w:rPr>
              <w:t>|||</w:t>
            </w:r>
            <w:r w:rsidR="00CD4EA9" w:rsidRPr="00CD4EA9">
              <w:rPr>
                <w:color w:val="000000"/>
                <w:spacing w:val="1"/>
                <w:shd w:val="solid" w:color="000000" w:fill="000000"/>
                <w:fitText w:val="330" w:id="-632121343"/>
                <w:lang w:val="en-AU"/>
                <w14:textFill>
                  <w14:solidFill>
                    <w14:srgbClr w14:val="000000">
                      <w14:alpha w14:val="100000"/>
                    </w14:srgbClr>
                  </w14:solidFill>
                </w14:textFill>
              </w:rPr>
              <w:t>|</w:t>
            </w:r>
            <w:r w:rsidR="00905988">
              <w:rPr>
                <w:vertAlign w:val="superscript"/>
                <w:lang w:val="en-AU"/>
              </w:rPr>
              <w:t>11</w:t>
            </w:r>
          </w:p>
        </w:tc>
        <w:tc>
          <w:tcPr>
            <w:tcW w:w="1374" w:type="dxa"/>
            <w:tcBorders>
              <w:top w:val="single" w:sz="4" w:space="0" w:color="auto"/>
              <w:bottom w:val="single" w:sz="4" w:space="0" w:color="auto"/>
            </w:tcBorders>
            <w:noWrap/>
          </w:tcPr>
          <w:p w14:paraId="35973755" w14:textId="6017A090" w:rsidR="0008002E" w:rsidRPr="0070272E" w:rsidRDefault="00CD4EA9" w:rsidP="00E81465">
            <w:pPr>
              <w:pStyle w:val="TableText"/>
              <w:keepNext/>
              <w:keepLines/>
              <w:contextualSpacing/>
              <w:jc w:val="center"/>
              <w:rPr>
                <w:lang w:val="en-AU"/>
              </w:rPr>
            </w:pPr>
            <w:r w:rsidRPr="00CD4EA9">
              <w:rPr>
                <w:color w:val="000000"/>
                <w:spacing w:val="53"/>
                <w:shd w:val="solid" w:color="000000" w:fill="000000"/>
                <w:fitText w:val="330" w:id="-632121342"/>
                <w:lang w:val="en-AU"/>
                <w14:textFill>
                  <w14:solidFill>
                    <w14:srgbClr w14:val="000000">
                      <w14:alpha w14:val="100000"/>
                    </w14:srgbClr>
                  </w14:solidFill>
                </w14:textFill>
              </w:rPr>
              <w:t>|||</w:t>
            </w:r>
            <w:r w:rsidRPr="00CD4EA9">
              <w:rPr>
                <w:color w:val="000000"/>
                <w:spacing w:val="1"/>
                <w:shd w:val="solid" w:color="000000" w:fill="000000"/>
                <w:fitText w:val="330" w:id="-632121342"/>
                <w:lang w:val="en-AU"/>
                <w14:textFill>
                  <w14:solidFill>
                    <w14:srgbClr w14:val="000000">
                      <w14:alpha w14:val="100000"/>
                    </w14:srgbClr>
                  </w14:solidFill>
                </w14:textFill>
              </w:rPr>
              <w:t>|</w:t>
            </w:r>
            <w:r w:rsidR="0008002E" w:rsidRPr="0070272E">
              <w:rPr>
                <w:lang w:val="en-AU"/>
              </w:rPr>
              <w:t>%</w:t>
            </w:r>
          </w:p>
        </w:tc>
      </w:tr>
    </w:tbl>
    <w:p w14:paraId="00DC0835" w14:textId="77777777" w:rsidR="0008002E" w:rsidRPr="00EE0EEB" w:rsidRDefault="0008002E" w:rsidP="0008002E">
      <w:pPr>
        <w:pStyle w:val="TableFigureFooter"/>
      </w:pPr>
      <w:r w:rsidRPr="00EE0EEB">
        <w:t xml:space="preserve">Source: </w:t>
      </w:r>
      <w:r w:rsidRPr="00EE0EEB">
        <w:rPr>
          <w:i/>
          <w:iCs/>
        </w:rPr>
        <w:t>Constructed during the evaluation</w:t>
      </w:r>
      <w:r w:rsidRPr="00EE0EEB">
        <w:t xml:space="preserve"> </w:t>
      </w:r>
      <w:r w:rsidRPr="00EE0EEB">
        <w:rPr>
          <w:i/>
          <w:iCs/>
        </w:rPr>
        <w:t>from the</w:t>
      </w:r>
      <w:r w:rsidRPr="00EE0EEB">
        <w:t xml:space="preserve"> “3.3_Donanemab cost effectiveness model” attachment provided with the submission.</w:t>
      </w:r>
    </w:p>
    <w:p w14:paraId="002303E7" w14:textId="5E024807" w:rsidR="00744F3C" w:rsidRDefault="0008002E" w:rsidP="0008002E">
      <w:pPr>
        <w:pStyle w:val="TableFigureFooter"/>
        <w:keepNext/>
        <w:rPr>
          <w:sz w:val="20"/>
          <w:szCs w:val="20"/>
        </w:rPr>
      </w:pPr>
      <w:r w:rsidRPr="00EE0EEB">
        <w:lastRenderedPageBreak/>
        <w:t>ACFI = Aged Care Funding Instrument; AD = Alzheimer</w:t>
      </w:r>
      <w:r w:rsidR="00D058AF">
        <w:t>’s</w:t>
      </w:r>
      <w:r w:rsidRPr="00EE0EEB">
        <w:t xml:space="preserve"> Disease; AE = adverse event; AN-ACC = Australian National Aged Care Classification; HR = hazard ratio; ICER = incremental cost-effectiveness ratio; Inc = incremental; MCI = mild cognitive impairment; NACC = National Alzheimer</w:t>
      </w:r>
      <w:r w:rsidR="00D058AF">
        <w:t>’s</w:t>
      </w:r>
      <w:r w:rsidRPr="00EE0EEB">
        <w:t xml:space="preserve"> Coordinating Center; QALY = </w:t>
      </w:r>
      <w:r w:rsidRPr="0097766C">
        <w:rPr>
          <w:sz w:val="20"/>
          <w:szCs w:val="20"/>
        </w:rPr>
        <w:t>qualify-adjusted life year; SOC = standard of care</w:t>
      </w:r>
      <w:r w:rsidR="00D025DC">
        <w:rPr>
          <w:sz w:val="20"/>
          <w:szCs w:val="20"/>
        </w:rPr>
        <w:t>.</w:t>
      </w:r>
    </w:p>
    <w:p w14:paraId="3A9FA025" w14:textId="77777777" w:rsidR="00B1358D" w:rsidRPr="008060E2" w:rsidRDefault="00B1358D" w:rsidP="00B1358D">
      <w:pPr>
        <w:pStyle w:val="TableFigureFooter"/>
        <w:keepNext/>
        <w:rPr>
          <w:i/>
          <w:iCs/>
          <w:szCs w:val="18"/>
        </w:rPr>
      </w:pPr>
      <w:r w:rsidRPr="008060E2">
        <w:rPr>
          <w:i/>
          <w:iCs/>
          <w:szCs w:val="18"/>
        </w:rPr>
        <w:t xml:space="preserve">The redacted values correspond to the following ranges: </w:t>
      </w:r>
    </w:p>
    <w:p w14:paraId="2D8A184A" w14:textId="7E5D114D" w:rsidR="005C76A7" w:rsidRPr="008060E2" w:rsidRDefault="005C76A7" w:rsidP="00B1358D">
      <w:pPr>
        <w:pStyle w:val="TableFigureFooter"/>
        <w:keepNext/>
        <w:rPr>
          <w:i/>
          <w:iCs/>
          <w:szCs w:val="18"/>
        </w:rPr>
      </w:pPr>
      <w:r w:rsidRPr="008060E2">
        <w:rPr>
          <w:i/>
          <w:iCs/>
          <w:szCs w:val="18"/>
          <w:vertAlign w:val="superscript"/>
        </w:rPr>
        <w:t>1</w:t>
      </w:r>
      <w:r w:rsidRPr="008060E2">
        <w:rPr>
          <w:i/>
          <w:iCs/>
          <w:szCs w:val="18"/>
        </w:rPr>
        <w:t xml:space="preserve"> $35,000 to &lt; $45,000</w:t>
      </w:r>
    </w:p>
    <w:p w14:paraId="42FE003A" w14:textId="6F9EDF2E" w:rsidR="00244C5F" w:rsidRPr="008060E2" w:rsidRDefault="00244C5F" w:rsidP="00B1358D">
      <w:pPr>
        <w:pStyle w:val="TableFigureFooter"/>
        <w:keepNext/>
        <w:rPr>
          <w:i/>
          <w:iCs/>
          <w:szCs w:val="18"/>
        </w:rPr>
      </w:pPr>
      <w:r w:rsidRPr="008060E2">
        <w:rPr>
          <w:i/>
          <w:iCs/>
          <w:szCs w:val="18"/>
          <w:vertAlign w:val="superscript"/>
        </w:rPr>
        <w:t>2</w:t>
      </w:r>
      <w:r w:rsidRPr="008060E2">
        <w:rPr>
          <w:i/>
          <w:iCs/>
          <w:szCs w:val="18"/>
        </w:rPr>
        <w:t xml:space="preserve"> $45,000 to &lt; $55,000</w:t>
      </w:r>
    </w:p>
    <w:p w14:paraId="1C1F3F7E" w14:textId="361B2273" w:rsidR="00F65E0F" w:rsidRPr="008060E2" w:rsidRDefault="00F65E0F" w:rsidP="00B1358D">
      <w:pPr>
        <w:pStyle w:val="TableFigureFooter"/>
        <w:keepNext/>
        <w:rPr>
          <w:i/>
          <w:iCs/>
          <w:szCs w:val="18"/>
        </w:rPr>
      </w:pPr>
      <w:r w:rsidRPr="008060E2">
        <w:rPr>
          <w:i/>
          <w:iCs/>
          <w:szCs w:val="18"/>
          <w:vertAlign w:val="superscript"/>
        </w:rPr>
        <w:t>3</w:t>
      </w:r>
      <w:r w:rsidRPr="008060E2">
        <w:rPr>
          <w:i/>
          <w:iCs/>
          <w:szCs w:val="18"/>
        </w:rPr>
        <w:t xml:space="preserve"> </w:t>
      </w:r>
      <w:r w:rsidR="009B7250" w:rsidRPr="008060E2">
        <w:rPr>
          <w:i/>
          <w:iCs/>
          <w:szCs w:val="18"/>
        </w:rPr>
        <w:t>$15,000 to &lt; $25,000</w:t>
      </w:r>
    </w:p>
    <w:p w14:paraId="71577713" w14:textId="3712F7E3" w:rsidR="00CE63A8" w:rsidRPr="008060E2" w:rsidRDefault="00CE63A8" w:rsidP="00B1358D">
      <w:pPr>
        <w:pStyle w:val="TableFigureFooter"/>
        <w:keepNext/>
        <w:rPr>
          <w:i/>
          <w:iCs/>
          <w:szCs w:val="18"/>
        </w:rPr>
      </w:pPr>
      <w:r w:rsidRPr="008060E2">
        <w:rPr>
          <w:i/>
          <w:iCs/>
          <w:szCs w:val="18"/>
          <w:vertAlign w:val="superscript"/>
        </w:rPr>
        <w:t>4</w:t>
      </w:r>
      <w:r w:rsidRPr="008060E2">
        <w:rPr>
          <w:i/>
          <w:iCs/>
          <w:szCs w:val="18"/>
        </w:rPr>
        <w:t xml:space="preserve"> $25,000 to &lt; $35,000</w:t>
      </w:r>
    </w:p>
    <w:p w14:paraId="68855202" w14:textId="71932C0A" w:rsidR="0034614B" w:rsidRPr="008060E2" w:rsidRDefault="0034614B" w:rsidP="00B1358D">
      <w:pPr>
        <w:pStyle w:val="TableFigureFooter"/>
        <w:keepNext/>
        <w:rPr>
          <w:i/>
          <w:iCs/>
          <w:szCs w:val="18"/>
        </w:rPr>
      </w:pPr>
      <w:r w:rsidRPr="008060E2">
        <w:rPr>
          <w:i/>
          <w:iCs/>
          <w:szCs w:val="18"/>
          <w:vertAlign w:val="superscript"/>
        </w:rPr>
        <w:t>5</w:t>
      </w:r>
      <w:r w:rsidRPr="008060E2">
        <w:rPr>
          <w:i/>
          <w:iCs/>
          <w:szCs w:val="18"/>
        </w:rPr>
        <w:t xml:space="preserve"> </w:t>
      </w:r>
      <w:r w:rsidR="00ED6FEC" w:rsidRPr="008060E2">
        <w:rPr>
          <w:i/>
          <w:iCs/>
          <w:szCs w:val="18"/>
        </w:rPr>
        <w:t>$455,000 to &lt; $555,000</w:t>
      </w:r>
    </w:p>
    <w:p w14:paraId="1676A0E3" w14:textId="31A9EFDB" w:rsidR="0032414E" w:rsidRPr="008060E2" w:rsidRDefault="0032414E" w:rsidP="00B1358D">
      <w:pPr>
        <w:pStyle w:val="TableFigureFooter"/>
        <w:keepNext/>
        <w:rPr>
          <w:i/>
          <w:iCs/>
          <w:szCs w:val="18"/>
        </w:rPr>
      </w:pPr>
      <w:r w:rsidRPr="008060E2">
        <w:rPr>
          <w:i/>
          <w:iCs/>
          <w:szCs w:val="18"/>
          <w:vertAlign w:val="superscript"/>
        </w:rPr>
        <w:t>6</w:t>
      </w:r>
      <w:r w:rsidRPr="008060E2">
        <w:rPr>
          <w:i/>
          <w:iCs/>
          <w:szCs w:val="18"/>
        </w:rPr>
        <w:t xml:space="preserve"> $75,000 to &lt; $95,000</w:t>
      </w:r>
    </w:p>
    <w:p w14:paraId="76A74BD7" w14:textId="24546D44" w:rsidR="0064670C" w:rsidRPr="008060E2" w:rsidRDefault="0064670C" w:rsidP="00B1358D">
      <w:pPr>
        <w:pStyle w:val="TableFigureFooter"/>
        <w:keepNext/>
        <w:rPr>
          <w:i/>
          <w:iCs/>
          <w:szCs w:val="18"/>
        </w:rPr>
      </w:pPr>
      <w:r w:rsidRPr="008060E2">
        <w:rPr>
          <w:i/>
          <w:iCs/>
          <w:szCs w:val="18"/>
          <w:vertAlign w:val="superscript"/>
        </w:rPr>
        <w:t>7</w:t>
      </w:r>
      <w:r w:rsidRPr="008060E2">
        <w:rPr>
          <w:i/>
          <w:iCs/>
          <w:szCs w:val="18"/>
        </w:rPr>
        <w:t xml:space="preserve"> $55,000 to &lt; $75,000</w:t>
      </w:r>
    </w:p>
    <w:p w14:paraId="7CEAEEE8" w14:textId="588E2114" w:rsidR="0064670C" w:rsidRPr="008060E2" w:rsidRDefault="0064670C" w:rsidP="00B1358D">
      <w:pPr>
        <w:pStyle w:val="TableFigureFooter"/>
        <w:keepNext/>
        <w:rPr>
          <w:i/>
          <w:iCs/>
          <w:szCs w:val="18"/>
        </w:rPr>
      </w:pPr>
      <w:r w:rsidRPr="008060E2">
        <w:rPr>
          <w:i/>
          <w:iCs/>
          <w:szCs w:val="18"/>
          <w:vertAlign w:val="superscript"/>
        </w:rPr>
        <w:t>8</w:t>
      </w:r>
      <w:r w:rsidRPr="008060E2">
        <w:rPr>
          <w:i/>
          <w:iCs/>
          <w:szCs w:val="18"/>
        </w:rPr>
        <w:t xml:space="preserve"> $95,000 to &lt; $115,000</w:t>
      </w:r>
    </w:p>
    <w:p w14:paraId="6033F324" w14:textId="4EBF2D2B" w:rsidR="009A6D22" w:rsidRPr="008060E2" w:rsidRDefault="009A6D22" w:rsidP="00B1358D">
      <w:pPr>
        <w:pStyle w:val="TableFigureFooter"/>
        <w:keepNext/>
        <w:rPr>
          <w:i/>
          <w:iCs/>
          <w:szCs w:val="18"/>
        </w:rPr>
      </w:pPr>
      <w:r w:rsidRPr="008060E2">
        <w:rPr>
          <w:i/>
          <w:iCs/>
          <w:szCs w:val="18"/>
          <w:vertAlign w:val="superscript"/>
        </w:rPr>
        <w:t>9</w:t>
      </w:r>
      <w:r w:rsidRPr="008060E2">
        <w:rPr>
          <w:i/>
          <w:iCs/>
          <w:szCs w:val="18"/>
        </w:rPr>
        <w:t xml:space="preserve"> $135,000 to &lt; $155,000</w:t>
      </w:r>
    </w:p>
    <w:p w14:paraId="4A10341A" w14:textId="5475FF49" w:rsidR="009A6D22" w:rsidRPr="008060E2" w:rsidRDefault="009A6D22" w:rsidP="00B1358D">
      <w:pPr>
        <w:pStyle w:val="TableFigureFooter"/>
        <w:keepNext/>
        <w:rPr>
          <w:i/>
          <w:iCs/>
          <w:szCs w:val="18"/>
        </w:rPr>
      </w:pPr>
      <w:r w:rsidRPr="008060E2">
        <w:rPr>
          <w:i/>
          <w:iCs/>
          <w:szCs w:val="18"/>
          <w:vertAlign w:val="superscript"/>
        </w:rPr>
        <w:t xml:space="preserve">10 </w:t>
      </w:r>
      <w:r w:rsidRPr="008060E2">
        <w:rPr>
          <w:i/>
          <w:iCs/>
          <w:szCs w:val="18"/>
        </w:rPr>
        <w:t>$155,000 to &lt; $255,000</w:t>
      </w:r>
    </w:p>
    <w:p w14:paraId="14743926" w14:textId="18BDC2B4" w:rsidR="00905988" w:rsidRPr="008060E2" w:rsidRDefault="00905988" w:rsidP="00B1358D">
      <w:pPr>
        <w:pStyle w:val="TableFigureFooter"/>
        <w:keepNext/>
        <w:rPr>
          <w:i/>
          <w:iCs/>
          <w:szCs w:val="18"/>
        </w:rPr>
      </w:pPr>
      <w:r w:rsidRPr="008060E2">
        <w:rPr>
          <w:i/>
          <w:iCs/>
          <w:szCs w:val="18"/>
          <w:vertAlign w:val="superscript"/>
        </w:rPr>
        <w:t>11</w:t>
      </w:r>
      <w:r w:rsidRPr="008060E2">
        <w:rPr>
          <w:i/>
          <w:iCs/>
          <w:szCs w:val="18"/>
        </w:rPr>
        <w:t xml:space="preserve"> $655,000 to &lt; $755,000</w:t>
      </w:r>
    </w:p>
    <w:p w14:paraId="61F78DE9" w14:textId="77777777" w:rsidR="0064670C" w:rsidRPr="0032414E" w:rsidRDefault="0064670C" w:rsidP="00B1358D">
      <w:pPr>
        <w:pStyle w:val="TableFigureFooter"/>
        <w:keepNext/>
        <w:rPr>
          <w:i/>
          <w:iCs/>
          <w:sz w:val="20"/>
          <w:szCs w:val="20"/>
        </w:rPr>
      </w:pPr>
    </w:p>
    <w:p w14:paraId="3195E6A7" w14:textId="77777777" w:rsidR="00244C5F" w:rsidRPr="005C76A7" w:rsidRDefault="00244C5F" w:rsidP="00B1358D">
      <w:pPr>
        <w:pStyle w:val="TableFigureFooter"/>
        <w:keepNext/>
        <w:rPr>
          <w:i/>
          <w:iCs/>
          <w:sz w:val="20"/>
          <w:szCs w:val="20"/>
        </w:rPr>
      </w:pPr>
    </w:p>
    <w:p w14:paraId="1A2062CC" w14:textId="77777777" w:rsidR="0008002E" w:rsidRPr="0070272E" w:rsidRDefault="0008002E" w:rsidP="00DD02B1">
      <w:pPr>
        <w:pStyle w:val="3-BodyText"/>
        <w:numPr>
          <w:ilvl w:val="1"/>
          <w:numId w:val="23"/>
        </w:numPr>
        <w:spacing w:before="60" w:after="60"/>
        <w:ind w:left="709" w:hanging="709"/>
      </w:pPr>
      <w:r w:rsidRPr="0070272E">
        <w:t xml:space="preserve">Multivariate analyses </w:t>
      </w:r>
      <w:r w:rsidRPr="0070272E">
        <w:rPr>
          <w:b/>
          <w:bCs/>
        </w:rPr>
        <w:t>#1</w:t>
      </w:r>
      <w:r w:rsidRPr="0070272E">
        <w:t xml:space="preserve"> - </w:t>
      </w:r>
      <w:r w:rsidRPr="0070272E">
        <w:rPr>
          <w:b/>
          <w:bCs/>
        </w:rPr>
        <w:t xml:space="preserve">#6 </w:t>
      </w:r>
      <w:r w:rsidRPr="0070272E">
        <w:t xml:space="preserve">resulted in a substantial increase in the base case ICER, however these do not address the uncertainty of the ongoing modelled donanemab treatment effect beyond the maximum treatment duration and trial period. Noting the submission did not provide evidence to robustly support an ongoing treatment effect, more conservative assumptions were explored during the evaluation. For patients who complete the full treatment course or cease early due to amyloid clearance, analysis </w:t>
      </w:r>
      <w:r w:rsidRPr="0070272E">
        <w:rPr>
          <w:b/>
          <w:bCs/>
        </w:rPr>
        <w:t>#7</w:t>
      </w:r>
      <w:r w:rsidRPr="0070272E">
        <w:t xml:space="preserve"> assumes the full treatment effect is applied until Year 2.5 followed by linear waning over 5 years whereas </w:t>
      </w:r>
      <w:r w:rsidRPr="0070272E">
        <w:rPr>
          <w:b/>
          <w:bCs/>
        </w:rPr>
        <w:t>#8</w:t>
      </w:r>
      <w:r w:rsidRPr="0070272E">
        <w:t xml:space="preserve"> assumes no treatment effect beyond the 18 months (the maximum treatment duration). Both</w:t>
      </w:r>
      <w:r w:rsidRPr="0070272E" w:rsidDel="00B83E62">
        <w:t xml:space="preserve"> </w:t>
      </w:r>
      <w:r w:rsidRPr="0070272E">
        <w:t>analyses assume donanemab patients return to SOC transition probabilities after treatment waning and hence the distribution of patients across AD severity can never catch up with the SOC arm (i.e. a difference in the proportion in more severe health states will continue to the end of the model).</w:t>
      </w:r>
    </w:p>
    <w:p w14:paraId="677AEBFC" w14:textId="535B34BA" w:rsidR="0008002E" w:rsidRPr="0070272E" w:rsidRDefault="0008002E" w:rsidP="00DD02B1">
      <w:pPr>
        <w:pStyle w:val="3-BodyText"/>
        <w:numPr>
          <w:ilvl w:val="1"/>
          <w:numId w:val="23"/>
        </w:numPr>
        <w:spacing w:before="60" w:after="60"/>
        <w:ind w:left="709" w:hanging="709"/>
      </w:pPr>
      <w:r w:rsidRPr="0070272E">
        <w:t xml:space="preserve">Modelled outputs for donanemab treatment based on the 5.82 month delay in progression observed in the </w:t>
      </w:r>
      <w:r>
        <w:t xml:space="preserve">subgroup analysis of the secondary outcome, CBR-SD, from the </w:t>
      </w:r>
      <w:r w:rsidRPr="0070272E">
        <w:t xml:space="preserve">TB-2 trial  at 76 weeks for the base case and the evaluation’s multivariate analyses are presented in </w:t>
      </w:r>
      <w:r w:rsidR="0020516C">
        <w:fldChar w:fldCharType="begin"/>
      </w:r>
      <w:r w:rsidR="0020516C">
        <w:instrText xml:space="preserve"> REF _Ref204780261 \h </w:instrText>
      </w:r>
      <w:r w:rsidR="0020516C">
        <w:fldChar w:fldCharType="separate"/>
      </w:r>
      <w:r w:rsidR="00392423">
        <w:t xml:space="preserve">Table </w:t>
      </w:r>
      <w:r w:rsidR="00392423">
        <w:rPr>
          <w:noProof/>
        </w:rPr>
        <w:t>23</w:t>
      </w:r>
      <w:r w:rsidR="0020516C">
        <w:fldChar w:fldCharType="end"/>
      </w:r>
      <w:r w:rsidRPr="0070272E">
        <w:t>.</w:t>
      </w:r>
      <w:r>
        <w:t xml:space="preserve"> </w:t>
      </w:r>
      <w:r w:rsidRPr="007E185B">
        <w:t xml:space="preserve">As noted in paragraph </w:t>
      </w:r>
      <w:r w:rsidR="007231D7" w:rsidRPr="007E185B">
        <w:fldChar w:fldCharType="begin"/>
      </w:r>
      <w:r w:rsidR="007231D7" w:rsidRPr="007E185B">
        <w:instrText xml:space="preserve"> REF _Ref201333377 \r \h </w:instrText>
      </w:r>
      <w:r w:rsidR="007E185B">
        <w:instrText xml:space="preserve"> \* MERGEFORMAT </w:instrText>
      </w:r>
      <w:r w:rsidR="007231D7" w:rsidRPr="007E185B">
        <w:fldChar w:fldCharType="separate"/>
      </w:r>
      <w:r w:rsidR="00392423">
        <w:t>6.123</w:t>
      </w:r>
      <w:r w:rsidR="007231D7" w:rsidRPr="007E185B">
        <w:fldChar w:fldCharType="end"/>
      </w:r>
      <w:r w:rsidRPr="007E185B">
        <w:t>, the ESCs considered that the modelled outputs were highly optimistic.</w:t>
      </w:r>
    </w:p>
    <w:p w14:paraId="71BC09C2" w14:textId="4652D940" w:rsidR="0008002E" w:rsidRPr="0070272E" w:rsidRDefault="0020516C" w:rsidP="0020516C">
      <w:pPr>
        <w:pStyle w:val="Caption"/>
      </w:pPr>
      <w:bookmarkStart w:id="57" w:name="_Ref204780261"/>
      <w:r>
        <w:t xml:space="preserve">Table </w:t>
      </w:r>
      <w:r>
        <w:fldChar w:fldCharType="begin"/>
      </w:r>
      <w:r>
        <w:instrText xml:space="preserve"> SEQ Table \* ARABIC </w:instrText>
      </w:r>
      <w:r>
        <w:fldChar w:fldCharType="separate"/>
      </w:r>
      <w:r w:rsidR="00392423">
        <w:rPr>
          <w:noProof/>
        </w:rPr>
        <w:t>23</w:t>
      </w:r>
      <w:r>
        <w:fldChar w:fldCharType="end"/>
      </w:r>
      <w:bookmarkEnd w:id="57"/>
      <w:r w:rsidR="00CC40F2">
        <w:t xml:space="preserve">: </w:t>
      </w:r>
      <w:r w:rsidR="0008002E" w:rsidRPr="0070272E">
        <w:t>Model outputs under different analyses (undiscounted)</w:t>
      </w:r>
    </w:p>
    <w:tbl>
      <w:tblPr>
        <w:tblStyle w:val="HTATableshaded"/>
        <w:tblW w:w="9067" w:type="dxa"/>
        <w:tblLook w:val="04A0" w:firstRow="1" w:lastRow="0" w:firstColumn="1" w:lastColumn="0" w:noHBand="0" w:noVBand="1"/>
        <w:tblCaption w:val="Table 23: Model outputs under different analyses (undiscounted)"/>
      </w:tblPr>
      <w:tblGrid>
        <w:gridCol w:w="3539"/>
        <w:gridCol w:w="1842"/>
        <w:gridCol w:w="1843"/>
        <w:gridCol w:w="1843"/>
      </w:tblGrid>
      <w:tr w:rsidR="0008002E" w:rsidRPr="0070272E" w14:paraId="6B37F885" w14:textId="77777777" w:rsidTr="00E81465">
        <w:trPr>
          <w:cnfStyle w:val="100000000000" w:firstRow="1" w:lastRow="0" w:firstColumn="0" w:lastColumn="0" w:oddVBand="0" w:evenVBand="0" w:oddHBand="0" w:evenHBand="0" w:firstRowFirstColumn="0" w:firstRowLastColumn="0" w:lastRowFirstColumn="0" w:lastRowLastColumn="0"/>
        </w:trPr>
        <w:tc>
          <w:tcPr>
            <w:tcW w:w="3539" w:type="dxa"/>
            <w:vMerge w:val="restart"/>
            <w:vAlign w:val="center"/>
          </w:tcPr>
          <w:p w14:paraId="55CF4C83" w14:textId="77777777" w:rsidR="0008002E" w:rsidRPr="0070272E" w:rsidRDefault="0008002E" w:rsidP="00E81465">
            <w:pPr>
              <w:pStyle w:val="Tabletext0"/>
              <w:jc w:val="center"/>
              <w:rPr>
                <w:b/>
                <w:bCs/>
              </w:rPr>
            </w:pPr>
            <w:r w:rsidRPr="0070272E">
              <w:rPr>
                <w:b/>
                <w:bCs/>
              </w:rPr>
              <w:t>Output</w:t>
            </w:r>
          </w:p>
        </w:tc>
        <w:tc>
          <w:tcPr>
            <w:tcW w:w="5528" w:type="dxa"/>
            <w:gridSpan w:val="3"/>
            <w:vAlign w:val="center"/>
          </w:tcPr>
          <w:p w14:paraId="0CB7334E" w14:textId="77777777" w:rsidR="0008002E" w:rsidRPr="0070272E" w:rsidRDefault="0008002E" w:rsidP="00E81465">
            <w:pPr>
              <w:pStyle w:val="Tabletext0"/>
              <w:jc w:val="center"/>
              <w:rPr>
                <w:b/>
                <w:bCs/>
              </w:rPr>
            </w:pPr>
            <w:r w:rsidRPr="0070272E">
              <w:rPr>
                <w:b/>
                <w:bCs/>
              </w:rPr>
              <w:t>Analyses</w:t>
            </w:r>
          </w:p>
        </w:tc>
      </w:tr>
      <w:tr w:rsidR="0008002E" w:rsidRPr="0070272E" w14:paraId="5E573BA6" w14:textId="77777777" w:rsidTr="00E81465">
        <w:tc>
          <w:tcPr>
            <w:tcW w:w="3539" w:type="dxa"/>
            <w:vMerge/>
          </w:tcPr>
          <w:p w14:paraId="5D460791" w14:textId="77777777" w:rsidR="0008002E" w:rsidRPr="0070272E" w:rsidRDefault="0008002E" w:rsidP="00E81465">
            <w:pPr>
              <w:pStyle w:val="Tabletext0"/>
            </w:pPr>
          </w:p>
        </w:tc>
        <w:tc>
          <w:tcPr>
            <w:tcW w:w="1842" w:type="dxa"/>
            <w:vAlign w:val="center"/>
          </w:tcPr>
          <w:p w14:paraId="629D2C40" w14:textId="77777777" w:rsidR="0008002E" w:rsidRPr="0070272E" w:rsidRDefault="0008002E" w:rsidP="00E81465">
            <w:pPr>
              <w:pStyle w:val="Tabletext0"/>
              <w:jc w:val="center"/>
              <w:rPr>
                <w:b/>
                <w:bCs/>
              </w:rPr>
            </w:pPr>
            <w:r w:rsidRPr="0070272E">
              <w:rPr>
                <w:b/>
                <w:bCs/>
              </w:rPr>
              <w:t>Base case</w:t>
            </w:r>
          </w:p>
        </w:tc>
        <w:tc>
          <w:tcPr>
            <w:tcW w:w="1843" w:type="dxa"/>
            <w:vAlign w:val="center"/>
          </w:tcPr>
          <w:p w14:paraId="42B786A4" w14:textId="77777777" w:rsidR="0008002E" w:rsidRPr="0070272E" w:rsidRDefault="0008002E" w:rsidP="00E81465">
            <w:pPr>
              <w:pStyle w:val="Tabletext0"/>
              <w:jc w:val="center"/>
              <w:rPr>
                <w:b/>
                <w:bCs/>
                <w:vertAlign w:val="superscript"/>
              </w:rPr>
            </w:pPr>
            <w:r w:rsidRPr="0070272E">
              <w:rPr>
                <w:b/>
                <w:bCs/>
              </w:rPr>
              <w:t>MV #1 to #7</w:t>
            </w:r>
            <w:r w:rsidRPr="0070272E">
              <w:rPr>
                <w:b/>
                <w:bCs/>
                <w:vertAlign w:val="superscript"/>
              </w:rPr>
              <w:t>a</w:t>
            </w:r>
          </w:p>
        </w:tc>
        <w:tc>
          <w:tcPr>
            <w:tcW w:w="1843" w:type="dxa"/>
            <w:vAlign w:val="center"/>
          </w:tcPr>
          <w:p w14:paraId="15B510EE" w14:textId="77777777" w:rsidR="0008002E" w:rsidRPr="0070272E" w:rsidRDefault="0008002E" w:rsidP="00E81465">
            <w:pPr>
              <w:pStyle w:val="Tabletext0"/>
              <w:jc w:val="center"/>
              <w:rPr>
                <w:b/>
                <w:bCs/>
                <w:vertAlign w:val="superscript"/>
              </w:rPr>
            </w:pPr>
            <w:r w:rsidRPr="0070272E">
              <w:rPr>
                <w:b/>
                <w:bCs/>
              </w:rPr>
              <w:t>MV #1 to #6 and #8</w:t>
            </w:r>
            <w:r w:rsidRPr="0070272E">
              <w:rPr>
                <w:b/>
                <w:bCs/>
                <w:vertAlign w:val="superscript"/>
              </w:rPr>
              <w:t>a</w:t>
            </w:r>
          </w:p>
        </w:tc>
      </w:tr>
      <w:tr w:rsidR="0008002E" w:rsidRPr="0070272E" w14:paraId="24079013" w14:textId="77777777" w:rsidTr="00E81465">
        <w:tc>
          <w:tcPr>
            <w:tcW w:w="3539" w:type="dxa"/>
          </w:tcPr>
          <w:p w14:paraId="53982A31" w14:textId="77777777" w:rsidR="0008002E" w:rsidRPr="0070272E" w:rsidRDefault="0008002E" w:rsidP="00E81465">
            <w:pPr>
              <w:pStyle w:val="Tabletext0"/>
            </w:pPr>
            <w:r w:rsidRPr="0070272E">
              <w:t>Additional time in MCI due to AD/mild AD</w:t>
            </w:r>
          </w:p>
        </w:tc>
        <w:tc>
          <w:tcPr>
            <w:tcW w:w="1842" w:type="dxa"/>
            <w:vAlign w:val="center"/>
          </w:tcPr>
          <w:p w14:paraId="0F97804E" w14:textId="77777777" w:rsidR="0008002E" w:rsidRPr="0070272E" w:rsidRDefault="0008002E" w:rsidP="00E81465">
            <w:pPr>
              <w:pStyle w:val="Tabletext0"/>
              <w:jc w:val="center"/>
            </w:pPr>
            <w:r w:rsidRPr="0070272E">
              <w:t>11.86 months</w:t>
            </w:r>
          </w:p>
        </w:tc>
        <w:tc>
          <w:tcPr>
            <w:tcW w:w="1843" w:type="dxa"/>
            <w:vAlign w:val="center"/>
          </w:tcPr>
          <w:p w14:paraId="4221F665" w14:textId="77777777" w:rsidR="0008002E" w:rsidRPr="0070272E" w:rsidRDefault="0008002E" w:rsidP="00E81465">
            <w:pPr>
              <w:pStyle w:val="Tabletext0"/>
              <w:jc w:val="center"/>
            </w:pPr>
            <w:r w:rsidRPr="0070272E">
              <w:t>8.63 months</w:t>
            </w:r>
          </w:p>
        </w:tc>
        <w:tc>
          <w:tcPr>
            <w:tcW w:w="1843" w:type="dxa"/>
            <w:vAlign w:val="center"/>
          </w:tcPr>
          <w:p w14:paraId="2BF6542A" w14:textId="77777777" w:rsidR="0008002E" w:rsidRPr="0070272E" w:rsidRDefault="0008002E" w:rsidP="00E81465">
            <w:pPr>
              <w:pStyle w:val="Tabletext0"/>
              <w:jc w:val="center"/>
            </w:pPr>
            <w:r w:rsidRPr="0070272E">
              <w:t>3.10 months</w:t>
            </w:r>
          </w:p>
        </w:tc>
      </w:tr>
      <w:tr w:rsidR="0008002E" w:rsidRPr="0070272E" w14:paraId="2B349266" w14:textId="77777777" w:rsidTr="00E81465">
        <w:tc>
          <w:tcPr>
            <w:tcW w:w="3539" w:type="dxa"/>
          </w:tcPr>
          <w:p w14:paraId="512EE0F3" w14:textId="77777777" w:rsidR="0008002E" w:rsidRPr="0070272E" w:rsidRDefault="0008002E" w:rsidP="00E81465">
            <w:pPr>
              <w:pStyle w:val="Tabletext0"/>
            </w:pPr>
            <w:r w:rsidRPr="0070272E">
              <w:t>Less time in moderate/severe AD</w:t>
            </w:r>
          </w:p>
        </w:tc>
        <w:tc>
          <w:tcPr>
            <w:tcW w:w="1842" w:type="dxa"/>
            <w:vAlign w:val="center"/>
          </w:tcPr>
          <w:p w14:paraId="0E789F06" w14:textId="77777777" w:rsidR="0008002E" w:rsidRPr="0070272E" w:rsidRDefault="0008002E" w:rsidP="00E81465">
            <w:pPr>
              <w:pStyle w:val="Tabletext0"/>
              <w:jc w:val="center"/>
            </w:pPr>
            <w:r w:rsidRPr="0070272E">
              <w:t>-11.56 months</w:t>
            </w:r>
          </w:p>
        </w:tc>
        <w:tc>
          <w:tcPr>
            <w:tcW w:w="1843" w:type="dxa"/>
            <w:vAlign w:val="center"/>
          </w:tcPr>
          <w:p w14:paraId="44796D5D" w14:textId="77777777" w:rsidR="0008002E" w:rsidRPr="0070272E" w:rsidRDefault="0008002E" w:rsidP="00E81465">
            <w:pPr>
              <w:pStyle w:val="Tabletext0"/>
              <w:jc w:val="center"/>
            </w:pPr>
            <w:r w:rsidRPr="0070272E">
              <w:t>-4.96 months</w:t>
            </w:r>
          </w:p>
        </w:tc>
        <w:tc>
          <w:tcPr>
            <w:tcW w:w="1843" w:type="dxa"/>
            <w:vAlign w:val="center"/>
          </w:tcPr>
          <w:p w14:paraId="01656DDE" w14:textId="77777777" w:rsidR="0008002E" w:rsidRPr="0070272E" w:rsidRDefault="0008002E" w:rsidP="00E81465">
            <w:pPr>
              <w:pStyle w:val="Tabletext0"/>
              <w:jc w:val="center"/>
            </w:pPr>
            <w:r w:rsidRPr="0070272E">
              <w:t>-2.03 months</w:t>
            </w:r>
          </w:p>
        </w:tc>
      </w:tr>
      <w:tr w:rsidR="0008002E" w:rsidRPr="0070272E" w14:paraId="4467C819" w14:textId="77777777" w:rsidTr="00E81465">
        <w:tc>
          <w:tcPr>
            <w:tcW w:w="3539" w:type="dxa"/>
          </w:tcPr>
          <w:p w14:paraId="1AE1281A" w14:textId="77777777" w:rsidR="0008002E" w:rsidRPr="0070272E" w:rsidRDefault="0008002E" w:rsidP="00E81465">
            <w:pPr>
              <w:pStyle w:val="Tabletext0"/>
            </w:pPr>
            <w:r w:rsidRPr="0070272E">
              <w:t>Less time institutionalised</w:t>
            </w:r>
          </w:p>
        </w:tc>
        <w:tc>
          <w:tcPr>
            <w:tcW w:w="1842" w:type="dxa"/>
            <w:vAlign w:val="center"/>
          </w:tcPr>
          <w:p w14:paraId="4ACC32A4" w14:textId="77777777" w:rsidR="0008002E" w:rsidRPr="0070272E" w:rsidRDefault="0008002E" w:rsidP="00E81465">
            <w:pPr>
              <w:pStyle w:val="Tabletext0"/>
              <w:jc w:val="center"/>
            </w:pPr>
            <w:r w:rsidRPr="0070272E">
              <w:t>8.13 months</w:t>
            </w:r>
          </w:p>
        </w:tc>
        <w:tc>
          <w:tcPr>
            <w:tcW w:w="1843" w:type="dxa"/>
          </w:tcPr>
          <w:p w14:paraId="16BFA0D3" w14:textId="77777777" w:rsidR="0008002E" w:rsidRPr="0070272E" w:rsidRDefault="0008002E" w:rsidP="00E81465">
            <w:pPr>
              <w:pStyle w:val="Tabletext0"/>
              <w:jc w:val="center"/>
            </w:pPr>
            <w:r w:rsidRPr="0070272E">
              <w:t>0.21 months</w:t>
            </w:r>
          </w:p>
        </w:tc>
        <w:tc>
          <w:tcPr>
            <w:tcW w:w="1843" w:type="dxa"/>
          </w:tcPr>
          <w:p w14:paraId="50897559" w14:textId="77777777" w:rsidR="0008002E" w:rsidRPr="0070272E" w:rsidRDefault="0008002E" w:rsidP="00E81465">
            <w:pPr>
              <w:pStyle w:val="Tabletext0"/>
              <w:jc w:val="center"/>
            </w:pPr>
            <w:r w:rsidRPr="0070272E">
              <w:t>0.25 months</w:t>
            </w:r>
          </w:p>
        </w:tc>
      </w:tr>
      <w:tr w:rsidR="0008002E" w:rsidRPr="0070272E" w14:paraId="79A103D9" w14:textId="77777777" w:rsidTr="00E81465">
        <w:tc>
          <w:tcPr>
            <w:tcW w:w="3539" w:type="dxa"/>
          </w:tcPr>
          <w:p w14:paraId="5C744F15" w14:textId="77777777" w:rsidR="0008002E" w:rsidRPr="0070272E" w:rsidRDefault="0008002E" w:rsidP="00E81465">
            <w:pPr>
              <w:pStyle w:val="Tabletext0"/>
            </w:pPr>
            <w:r w:rsidRPr="0070272E">
              <w:t>Cost savings for delayed institutionalisation</w:t>
            </w:r>
          </w:p>
        </w:tc>
        <w:tc>
          <w:tcPr>
            <w:tcW w:w="1842" w:type="dxa"/>
            <w:vAlign w:val="center"/>
          </w:tcPr>
          <w:p w14:paraId="750AB6F6" w14:textId="60A7D599" w:rsidR="0008002E" w:rsidRPr="00365A6C" w:rsidRDefault="0008002E" w:rsidP="00E81465">
            <w:pPr>
              <w:pStyle w:val="Tabletext0"/>
              <w:jc w:val="center"/>
              <w:rPr>
                <w:vertAlign w:val="superscript"/>
              </w:rPr>
            </w:pPr>
            <w:r w:rsidRPr="0045792B">
              <w:t>$71,414</w:t>
            </w:r>
          </w:p>
        </w:tc>
        <w:tc>
          <w:tcPr>
            <w:tcW w:w="1843" w:type="dxa"/>
          </w:tcPr>
          <w:p w14:paraId="3719EF82" w14:textId="4587A716" w:rsidR="0008002E" w:rsidRPr="00365A6C" w:rsidRDefault="0008002E" w:rsidP="00E81465">
            <w:pPr>
              <w:pStyle w:val="Tabletext0"/>
              <w:jc w:val="center"/>
              <w:rPr>
                <w:vertAlign w:val="superscript"/>
              </w:rPr>
            </w:pPr>
            <w:r w:rsidRPr="0045792B">
              <w:t>$803</w:t>
            </w:r>
          </w:p>
        </w:tc>
        <w:tc>
          <w:tcPr>
            <w:tcW w:w="1843" w:type="dxa"/>
          </w:tcPr>
          <w:p w14:paraId="790616AE" w14:textId="74280BC6" w:rsidR="0008002E" w:rsidRPr="00365A6C" w:rsidRDefault="0008002E" w:rsidP="00E81465">
            <w:pPr>
              <w:pStyle w:val="Tabletext0"/>
              <w:jc w:val="center"/>
              <w:rPr>
                <w:vertAlign w:val="superscript"/>
              </w:rPr>
            </w:pPr>
            <w:r w:rsidRPr="0045792B">
              <w:t>$963</w:t>
            </w:r>
          </w:p>
        </w:tc>
      </w:tr>
    </w:tbl>
    <w:p w14:paraId="311D98BD" w14:textId="77777777" w:rsidR="0008002E" w:rsidRPr="0070272E" w:rsidRDefault="0008002E" w:rsidP="0008002E">
      <w:pPr>
        <w:pStyle w:val="TableFigureFooter"/>
      </w:pPr>
      <w:r w:rsidRPr="0070272E">
        <w:t>Source: Constructed during the evaluation from the “3.3_Donanemab cost effectiveness model” attachment provided with the submission.</w:t>
      </w:r>
    </w:p>
    <w:p w14:paraId="57795CB5" w14:textId="286629B8" w:rsidR="0008002E" w:rsidRPr="0070272E" w:rsidRDefault="0008002E" w:rsidP="0008002E">
      <w:pPr>
        <w:pStyle w:val="TableFigureFooter"/>
      </w:pPr>
      <w:r w:rsidRPr="0070272E">
        <w:t>AD = Alzheimer</w:t>
      </w:r>
      <w:r w:rsidR="00D058AF">
        <w:t>’s</w:t>
      </w:r>
      <w:r w:rsidRPr="0070272E">
        <w:t xml:space="preserve"> Disease; MCI = mild cognitive impairment; MV = multivariate analyses.</w:t>
      </w:r>
    </w:p>
    <w:p w14:paraId="48727438" w14:textId="51BECD17" w:rsidR="00365A6C" w:rsidRDefault="0008002E" w:rsidP="0008002E">
      <w:pPr>
        <w:pStyle w:val="TableFigureFooter"/>
      </w:pPr>
      <w:r w:rsidRPr="0070272E">
        <w:rPr>
          <w:vertAlign w:val="superscript"/>
        </w:rPr>
        <w:t>a</w:t>
      </w:r>
      <w:r w:rsidRPr="0070272E">
        <w:t xml:space="preserve"> See for explanation of analyses.</w:t>
      </w:r>
    </w:p>
    <w:p w14:paraId="523BF0BE" w14:textId="7C3ED1F2" w:rsidR="0008002E" w:rsidRPr="007E185B" w:rsidRDefault="0008002E" w:rsidP="00DD02B1">
      <w:pPr>
        <w:pStyle w:val="3-BodyText"/>
        <w:numPr>
          <w:ilvl w:val="1"/>
          <w:numId w:val="23"/>
        </w:numPr>
        <w:spacing w:before="60" w:after="60"/>
        <w:ind w:left="709" w:hanging="709"/>
      </w:pPr>
      <w:r w:rsidRPr="007E185B">
        <w:t xml:space="preserve">Following confirmation that the TGA had recommended the enhanced dosing regimen based on the results of the TB-6 trial, the PSCR presented a revised economic model which was updated to reflect the corresponding ARIA rates and relative dose intensity. The PSCR stated that the revised model resulted in a </w:t>
      </w:r>
      <w:r w:rsidR="00CD4EA9" w:rsidRPr="00CD4EA9">
        <w:rPr>
          <w:color w:val="000000"/>
          <w:w w:val="61"/>
          <w:shd w:val="solid" w:color="000000" w:fill="000000"/>
          <w:fitText w:val="472" w:id="-632121341"/>
          <w14:textFill>
            <w14:solidFill>
              <w14:srgbClr w14:val="000000">
                <w14:alpha w14:val="100000"/>
              </w14:srgbClr>
            </w14:solidFill>
          </w14:textFill>
        </w:rPr>
        <w:t>|||  ||</w:t>
      </w:r>
      <w:r w:rsidR="00CD4EA9" w:rsidRPr="00CD4EA9">
        <w:rPr>
          <w:color w:val="000000"/>
          <w:spacing w:val="2"/>
          <w:w w:val="61"/>
          <w:shd w:val="solid" w:color="000000" w:fill="000000"/>
          <w:fitText w:val="472" w:id="-632121341"/>
          <w14:textFill>
            <w14:solidFill>
              <w14:srgbClr w14:val="000000">
                <w14:alpha w14:val="100000"/>
              </w14:srgbClr>
            </w14:solidFill>
          </w14:textFill>
        </w:rPr>
        <w:t>|</w:t>
      </w:r>
      <w:r w:rsidRPr="007E185B">
        <w:t>% reduction of the base case ICER from $</w:t>
      </w:r>
      <w:r w:rsidR="00CC24BB" w:rsidRPr="00CC24BB">
        <w:t>35,000 to &lt; $45,000</w:t>
      </w:r>
      <w:r w:rsidRPr="00CC24BB">
        <w:t xml:space="preserve"> per QALY to $</w:t>
      </w:r>
      <w:r w:rsidR="00CC24BB" w:rsidRPr="00CC24BB">
        <w:t xml:space="preserve">15,000 to &lt; $25,000 </w:t>
      </w:r>
      <w:r w:rsidRPr="00CC24BB">
        <w:t xml:space="preserve"> per QALY. The ESCs noted that the revised economic model had other changes aside from</w:t>
      </w:r>
      <w:r w:rsidRPr="007E185B">
        <w:t xml:space="preserve"> those mentioned above. The alternative inputs relating to ARIA rates and relative dose </w:t>
      </w:r>
      <w:r w:rsidRPr="007E185B">
        <w:lastRenderedPageBreak/>
        <w:t xml:space="preserve">intensity of the enhanced titration regimen resulted in a </w:t>
      </w:r>
      <w:r w:rsidR="00CD4EA9" w:rsidRPr="00CD4EA9">
        <w:rPr>
          <w:color w:val="000000"/>
          <w:w w:val="61"/>
          <w:shd w:val="solid" w:color="000000" w:fill="000000"/>
          <w:fitText w:val="472" w:id="-632121340"/>
          <w14:textFill>
            <w14:solidFill>
              <w14:srgbClr w14:val="000000">
                <w14:alpha w14:val="100000"/>
              </w14:srgbClr>
            </w14:solidFill>
          </w14:textFill>
        </w:rPr>
        <w:t>|||  ||</w:t>
      </w:r>
      <w:r w:rsidR="00CD4EA9" w:rsidRPr="00CD4EA9">
        <w:rPr>
          <w:color w:val="000000"/>
          <w:spacing w:val="2"/>
          <w:w w:val="61"/>
          <w:shd w:val="solid" w:color="000000" w:fill="000000"/>
          <w:fitText w:val="472" w:id="-632121340"/>
          <w14:textFill>
            <w14:solidFill>
              <w14:srgbClr w14:val="000000">
                <w14:alpha w14:val="100000"/>
              </w14:srgbClr>
            </w14:solidFill>
          </w14:textFill>
        </w:rPr>
        <w:t>|</w:t>
      </w:r>
      <w:r w:rsidRPr="007E185B">
        <w:t xml:space="preserve">% decrease in the original base case ICER. The additional decrease in the PSCR’s </w:t>
      </w:r>
      <w:r w:rsidR="001364F6" w:rsidRPr="007E185B">
        <w:t xml:space="preserve">modelled ICER </w:t>
      </w:r>
      <w:r w:rsidRPr="007E185B">
        <w:t>appeared to be the result of a different approach used to model the proportion of patients on treatment. This new approach was complex and introduced new worksheets into the excel workbook and hence, could not be validated. Additionally, the ESCs noted that the use of the enhanced titration regimen assumes that the TB-6 trial was exchangeable with the TB-2 trial in terms of both efficacy and safety. The TB-6 trial did not have a placebo comparator arm, nor did it assess efficacy. </w:t>
      </w:r>
    </w:p>
    <w:p w14:paraId="608F9D03" w14:textId="77777777" w:rsidR="0008002E" w:rsidRPr="00EE0EEB" w:rsidRDefault="0008002E" w:rsidP="008E38CE">
      <w:pPr>
        <w:pStyle w:val="4-SubsectionHeading"/>
      </w:pPr>
      <w:r w:rsidRPr="00EE0EEB">
        <w:t>Drug cost/patient/course</w:t>
      </w:r>
    </w:p>
    <w:p w14:paraId="00875CD4" w14:textId="07758FFC" w:rsidR="0008002E" w:rsidRDefault="0008002E" w:rsidP="00DD02B1">
      <w:pPr>
        <w:pStyle w:val="3-BodyText"/>
        <w:keepNext/>
        <w:numPr>
          <w:ilvl w:val="1"/>
          <w:numId w:val="23"/>
        </w:numPr>
        <w:spacing w:before="60" w:after="60"/>
        <w:ind w:left="709" w:hanging="709"/>
      </w:pPr>
      <w:r w:rsidRPr="007231D7">
        <w:t xml:space="preserve">The </w:t>
      </w:r>
      <w:r w:rsidRPr="00EE0EEB">
        <w:t xml:space="preserve">drug costs per patient per course are presented in </w:t>
      </w:r>
      <w:r w:rsidR="0020516C">
        <w:fldChar w:fldCharType="begin"/>
      </w:r>
      <w:r w:rsidR="0020516C">
        <w:instrText xml:space="preserve"> REF _Ref204780279 \h </w:instrText>
      </w:r>
      <w:r w:rsidR="0020516C">
        <w:fldChar w:fldCharType="separate"/>
      </w:r>
      <w:r w:rsidR="00392423">
        <w:t xml:space="preserve">Table </w:t>
      </w:r>
      <w:r w:rsidR="00392423">
        <w:rPr>
          <w:noProof/>
        </w:rPr>
        <w:t>24</w:t>
      </w:r>
      <w:r w:rsidR="0020516C">
        <w:fldChar w:fldCharType="end"/>
      </w:r>
      <w:r w:rsidRPr="00EE0EEB">
        <w:t xml:space="preserve">. </w:t>
      </w:r>
    </w:p>
    <w:p w14:paraId="3602BE4D" w14:textId="2A88090B" w:rsidR="005C1A96" w:rsidRPr="00EE0EEB" w:rsidRDefault="0020516C" w:rsidP="0020516C">
      <w:pPr>
        <w:pStyle w:val="Caption"/>
        <w:rPr>
          <w:rStyle w:val="CommentReference"/>
          <w:b/>
          <w:lang w:val="en-AU"/>
        </w:rPr>
      </w:pPr>
      <w:bookmarkStart w:id="58" w:name="_Ref204780279"/>
      <w:r>
        <w:t xml:space="preserve">Table </w:t>
      </w:r>
      <w:r>
        <w:fldChar w:fldCharType="begin"/>
      </w:r>
      <w:r>
        <w:instrText xml:space="preserve"> SEQ Table \* ARABIC </w:instrText>
      </w:r>
      <w:r>
        <w:fldChar w:fldCharType="separate"/>
      </w:r>
      <w:r w:rsidR="00392423">
        <w:rPr>
          <w:noProof/>
        </w:rPr>
        <w:t>24</w:t>
      </w:r>
      <w:r>
        <w:fldChar w:fldCharType="end"/>
      </w:r>
      <w:bookmarkEnd w:id="58"/>
      <w:r w:rsidR="00CC40F2">
        <w:rPr>
          <w:lang w:val="en-AU"/>
        </w:rPr>
        <w:t xml:space="preserve">: </w:t>
      </w:r>
      <w:r w:rsidR="005C1A96" w:rsidRPr="00EE0EEB">
        <w:rPr>
          <w:rStyle w:val="CommentReference"/>
          <w:b/>
          <w:lang w:val="en-AU"/>
        </w:rPr>
        <w:t>Donanemab costs per patient</w:t>
      </w:r>
    </w:p>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4: Donanemab costs per patient"/>
      </w:tblPr>
      <w:tblGrid>
        <w:gridCol w:w="1695"/>
        <w:gridCol w:w="2381"/>
        <w:gridCol w:w="3362"/>
        <w:gridCol w:w="1628"/>
      </w:tblGrid>
      <w:tr w:rsidR="005C1A96" w:rsidRPr="00EE0EEB" w14:paraId="35E7CDF5" w14:textId="77777777">
        <w:trPr>
          <w:cantSplit/>
          <w:tblHeader/>
          <w:jc w:val="center"/>
        </w:trPr>
        <w:tc>
          <w:tcPr>
            <w:tcW w:w="935" w:type="pct"/>
            <w:vAlign w:val="center"/>
          </w:tcPr>
          <w:p w14:paraId="224B5189" w14:textId="77777777" w:rsidR="005C1A96" w:rsidRPr="00EE0EEB" w:rsidRDefault="005C1A96">
            <w:pPr>
              <w:pStyle w:val="In-tableHeading"/>
              <w:jc w:val="center"/>
              <w:rPr>
                <w:lang w:val="en-AU"/>
              </w:rPr>
            </w:pPr>
          </w:p>
        </w:tc>
        <w:tc>
          <w:tcPr>
            <w:tcW w:w="1313" w:type="pct"/>
            <w:vAlign w:val="center"/>
          </w:tcPr>
          <w:p w14:paraId="3E83CC23" w14:textId="77777777" w:rsidR="005C1A96" w:rsidRPr="00EE0EEB" w:rsidRDefault="005C1A96">
            <w:pPr>
              <w:pStyle w:val="In-tableHeading"/>
              <w:jc w:val="center"/>
              <w:rPr>
                <w:lang w:val="en-AU"/>
              </w:rPr>
            </w:pPr>
            <w:r w:rsidRPr="00EE0EEB">
              <w:rPr>
                <w:lang w:val="en-AU"/>
              </w:rPr>
              <w:t>TB-2 trial</w:t>
            </w:r>
          </w:p>
        </w:tc>
        <w:tc>
          <w:tcPr>
            <w:tcW w:w="1854" w:type="pct"/>
            <w:vAlign w:val="center"/>
          </w:tcPr>
          <w:p w14:paraId="613B2C9C" w14:textId="77777777" w:rsidR="005C1A96" w:rsidRPr="00EE0EEB" w:rsidRDefault="005C1A96">
            <w:pPr>
              <w:pStyle w:val="In-tableHeading"/>
              <w:jc w:val="center"/>
              <w:rPr>
                <w:lang w:val="en-AU"/>
              </w:rPr>
            </w:pPr>
            <w:r w:rsidRPr="00EE0EEB">
              <w:rPr>
                <w:lang w:val="en-AU"/>
              </w:rPr>
              <w:t>Economics</w:t>
            </w:r>
          </w:p>
        </w:tc>
        <w:tc>
          <w:tcPr>
            <w:tcW w:w="899" w:type="pct"/>
            <w:vAlign w:val="center"/>
          </w:tcPr>
          <w:p w14:paraId="362B4AF8" w14:textId="77777777" w:rsidR="005C1A96" w:rsidRPr="00EE0EEB" w:rsidRDefault="005C1A96">
            <w:pPr>
              <w:pStyle w:val="In-tableHeading"/>
              <w:jc w:val="center"/>
              <w:rPr>
                <w:lang w:val="en-AU"/>
              </w:rPr>
            </w:pPr>
            <w:r w:rsidRPr="00EE0EEB">
              <w:rPr>
                <w:lang w:val="en-AU"/>
              </w:rPr>
              <w:t>Financial estimates</w:t>
            </w:r>
          </w:p>
        </w:tc>
      </w:tr>
      <w:tr w:rsidR="005C1A96" w:rsidRPr="00EE0EEB" w14:paraId="69A4EA3E" w14:textId="77777777">
        <w:trPr>
          <w:cantSplit/>
          <w:jc w:val="center"/>
        </w:trPr>
        <w:tc>
          <w:tcPr>
            <w:tcW w:w="935" w:type="pct"/>
            <w:vAlign w:val="center"/>
          </w:tcPr>
          <w:p w14:paraId="18D4FCE2" w14:textId="77777777" w:rsidR="005C1A96" w:rsidRPr="00EE0EEB" w:rsidRDefault="005C1A96">
            <w:pPr>
              <w:pStyle w:val="TableText"/>
            </w:pPr>
            <w:r w:rsidRPr="00EE0EEB">
              <w:t>Mean dose per administration</w:t>
            </w:r>
          </w:p>
        </w:tc>
        <w:tc>
          <w:tcPr>
            <w:tcW w:w="1313" w:type="pct"/>
            <w:vAlign w:val="center"/>
          </w:tcPr>
          <w:p w14:paraId="3DF62B84" w14:textId="4F0F0FC3" w:rsidR="005C1A96" w:rsidRPr="00EE0EEB" w:rsidRDefault="005C1A96">
            <w:pPr>
              <w:pStyle w:val="TableText"/>
              <w:jc w:val="center"/>
              <w:rPr>
                <w:bCs/>
              </w:rPr>
            </w:pPr>
            <w:r w:rsidRPr="00EE0EEB">
              <w:rPr>
                <w:bCs/>
              </w:rPr>
              <w:t>Assumed</w:t>
            </w:r>
            <w:r w:rsidR="001B7E75">
              <w:rPr>
                <w:bCs/>
              </w:rPr>
              <w:t xml:space="preserve"> </w:t>
            </w:r>
            <w:r w:rsidRPr="00EE0EEB">
              <w:rPr>
                <w:bCs/>
                <w:vertAlign w:val="superscript"/>
              </w:rPr>
              <w:t>a</w:t>
            </w:r>
            <w:r w:rsidRPr="00EE0EEB">
              <w:rPr>
                <w:bCs/>
              </w:rPr>
              <w:t>:</w:t>
            </w:r>
          </w:p>
          <w:p w14:paraId="27F03062" w14:textId="77777777" w:rsidR="005C1A96" w:rsidRPr="00EE0EEB" w:rsidRDefault="005C1A96">
            <w:pPr>
              <w:pStyle w:val="TableText"/>
              <w:jc w:val="center"/>
              <w:rPr>
                <w:bCs/>
              </w:rPr>
            </w:pPr>
            <w:r w:rsidRPr="00EE0EEB">
              <w:rPr>
                <w:bCs/>
              </w:rPr>
              <w:t>First three months: 672 mg</w:t>
            </w:r>
          </w:p>
          <w:p w14:paraId="447CF9BE" w14:textId="77777777" w:rsidR="005C1A96" w:rsidRPr="00EE0EEB" w:rsidRDefault="005C1A96">
            <w:pPr>
              <w:pStyle w:val="TableText"/>
              <w:jc w:val="center"/>
              <w:rPr>
                <w:bCs/>
              </w:rPr>
            </w:pPr>
            <w:r w:rsidRPr="00EE0EEB">
              <w:rPr>
                <w:bCs/>
              </w:rPr>
              <w:t>Four months +: 1,344 mg</w:t>
            </w:r>
          </w:p>
        </w:tc>
        <w:tc>
          <w:tcPr>
            <w:tcW w:w="1854" w:type="pct"/>
            <w:vAlign w:val="center"/>
          </w:tcPr>
          <w:p w14:paraId="0985B535" w14:textId="77777777" w:rsidR="005C1A96" w:rsidRPr="00EE0EEB" w:rsidRDefault="005C1A96">
            <w:pPr>
              <w:pStyle w:val="TableText"/>
              <w:jc w:val="center"/>
              <w:rPr>
                <w:bCs/>
              </w:rPr>
            </w:pPr>
            <w:r w:rsidRPr="00EE0EEB">
              <w:rPr>
                <w:bCs/>
              </w:rPr>
              <w:t>First three months: 672 mg</w:t>
            </w:r>
          </w:p>
          <w:p w14:paraId="69857B28" w14:textId="77777777" w:rsidR="005C1A96" w:rsidRPr="00EE0EEB" w:rsidRDefault="005C1A96">
            <w:pPr>
              <w:pStyle w:val="TableText"/>
              <w:jc w:val="center"/>
              <w:rPr>
                <w:bCs/>
              </w:rPr>
            </w:pPr>
            <w:r w:rsidRPr="00EE0EEB">
              <w:rPr>
                <w:bCs/>
              </w:rPr>
              <w:t>Four months+: 1,344 mg</w:t>
            </w:r>
          </w:p>
        </w:tc>
        <w:tc>
          <w:tcPr>
            <w:tcW w:w="899" w:type="pct"/>
            <w:vAlign w:val="center"/>
          </w:tcPr>
          <w:p w14:paraId="40D2A39E" w14:textId="77777777" w:rsidR="005C1A96" w:rsidRPr="00EE0EEB" w:rsidRDefault="005C1A96">
            <w:pPr>
              <w:pStyle w:val="TableText"/>
              <w:jc w:val="center"/>
              <w:rPr>
                <w:bCs/>
              </w:rPr>
            </w:pPr>
            <w:r w:rsidRPr="00EE0EEB">
              <w:rPr>
                <w:bCs/>
              </w:rPr>
              <w:t>700</w:t>
            </w:r>
            <w:r>
              <w:rPr>
                <w:bCs/>
              </w:rPr>
              <w:t xml:space="preserve"> </w:t>
            </w:r>
            <w:r w:rsidRPr="00EE0EEB">
              <w:rPr>
                <w:bCs/>
              </w:rPr>
              <w:t>mg (I)</w:t>
            </w:r>
          </w:p>
          <w:p w14:paraId="6BDBC86D" w14:textId="77777777" w:rsidR="005C1A96" w:rsidRPr="00EE0EEB" w:rsidRDefault="005C1A96">
            <w:pPr>
              <w:pStyle w:val="TableText"/>
              <w:jc w:val="center"/>
              <w:rPr>
                <w:b/>
              </w:rPr>
            </w:pPr>
            <w:r w:rsidRPr="00EE0EEB">
              <w:rPr>
                <w:bCs/>
              </w:rPr>
              <w:t>1400</w:t>
            </w:r>
            <w:r>
              <w:rPr>
                <w:bCs/>
              </w:rPr>
              <w:t xml:space="preserve"> </w:t>
            </w:r>
            <w:r w:rsidRPr="00EE0EEB">
              <w:rPr>
                <w:bCs/>
              </w:rPr>
              <w:t>mg (C)</w:t>
            </w:r>
          </w:p>
        </w:tc>
      </w:tr>
      <w:tr w:rsidR="005C1A96" w:rsidRPr="00EE0EEB" w14:paraId="38BACD99" w14:textId="77777777">
        <w:trPr>
          <w:cantSplit/>
          <w:jc w:val="center"/>
        </w:trPr>
        <w:tc>
          <w:tcPr>
            <w:tcW w:w="935" w:type="pct"/>
            <w:vAlign w:val="center"/>
          </w:tcPr>
          <w:p w14:paraId="76BB350C" w14:textId="77777777" w:rsidR="005C1A96" w:rsidRPr="00EE0EEB" w:rsidRDefault="005C1A96">
            <w:pPr>
              <w:pStyle w:val="TableText"/>
            </w:pPr>
            <w:r w:rsidRPr="00EE0EEB">
              <w:t>Mean duration</w:t>
            </w:r>
          </w:p>
        </w:tc>
        <w:tc>
          <w:tcPr>
            <w:tcW w:w="1313" w:type="pct"/>
            <w:vAlign w:val="center"/>
          </w:tcPr>
          <w:p w14:paraId="06EEF61D" w14:textId="77777777" w:rsidR="005C1A96" w:rsidRPr="00EE0EEB" w:rsidRDefault="005C1A96">
            <w:pPr>
              <w:pStyle w:val="TableText"/>
              <w:jc w:val="center"/>
              <w:rPr>
                <w:bCs/>
              </w:rPr>
            </w:pPr>
            <w:r w:rsidRPr="00EE0EEB">
              <w:rPr>
                <w:bCs/>
              </w:rPr>
              <w:t>12 months</w:t>
            </w:r>
          </w:p>
        </w:tc>
        <w:tc>
          <w:tcPr>
            <w:tcW w:w="1854" w:type="pct"/>
            <w:vAlign w:val="center"/>
          </w:tcPr>
          <w:p w14:paraId="1864679E" w14:textId="77777777" w:rsidR="005C1A96" w:rsidRDefault="005C1A96">
            <w:pPr>
              <w:pStyle w:val="TableText"/>
              <w:jc w:val="center"/>
              <w:rPr>
                <w:bCs/>
              </w:rPr>
            </w:pPr>
            <w:r>
              <w:rPr>
                <w:bCs/>
              </w:rPr>
              <w:t xml:space="preserve">Overall mean: </w:t>
            </w:r>
            <w:r w:rsidRPr="00EE0EEB">
              <w:rPr>
                <w:bCs/>
              </w:rPr>
              <w:t>14 months</w:t>
            </w:r>
          </w:p>
          <w:p w14:paraId="5EE7CAE6" w14:textId="77777777" w:rsidR="005C1A96" w:rsidRDefault="005C1A96">
            <w:pPr>
              <w:pStyle w:val="TableText"/>
              <w:jc w:val="center"/>
              <w:rPr>
                <w:bCs/>
              </w:rPr>
            </w:pPr>
            <w:r>
              <w:rPr>
                <w:bCs/>
              </w:rPr>
              <w:t xml:space="preserve">Full treatment duration (18 months): 59% </w:t>
            </w:r>
          </w:p>
          <w:p w14:paraId="7D5FC3BA" w14:textId="77777777" w:rsidR="005C1A96" w:rsidRDefault="005C1A96">
            <w:pPr>
              <w:pStyle w:val="TableText"/>
              <w:jc w:val="center"/>
              <w:rPr>
                <w:bCs/>
              </w:rPr>
            </w:pPr>
            <w:r>
              <w:rPr>
                <w:bCs/>
              </w:rPr>
              <w:t xml:space="preserve">Amyloid clearance at 6 months: 13% </w:t>
            </w:r>
          </w:p>
          <w:p w14:paraId="5DE49F2B" w14:textId="77777777" w:rsidR="005C1A96" w:rsidRPr="00082DF8" w:rsidRDefault="005C1A96">
            <w:pPr>
              <w:pStyle w:val="TableText"/>
              <w:jc w:val="center"/>
              <w:rPr>
                <w:bCs/>
              </w:rPr>
            </w:pPr>
            <w:r>
              <w:rPr>
                <w:bCs/>
              </w:rPr>
              <w:t xml:space="preserve">Amyloid clearance at 12 months: 15% Discontinuation due to AEs at 6 months: 13% </w:t>
            </w:r>
          </w:p>
        </w:tc>
        <w:tc>
          <w:tcPr>
            <w:tcW w:w="899" w:type="pct"/>
          </w:tcPr>
          <w:p w14:paraId="26BB2457" w14:textId="77777777" w:rsidR="005C1A96" w:rsidRPr="00EE0EEB" w:rsidRDefault="005C1A96">
            <w:pPr>
              <w:pStyle w:val="TableText"/>
              <w:jc w:val="center"/>
              <w:rPr>
                <w:bCs/>
              </w:rPr>
            </w:pPr>
            <w:r w:rsidRPr="00EE0EEB">
              <w:rPr>
                <w:bCs/>
              </w:rPr>
              <w:t xml:space="preserve">12 months </w:t>
            </w:r>
            <w:r w:rsidRPr="00EE0EEB">
              <w:rPr>
                <w:bCs/>
                <w:vertAlign w:val="superscript"/>
              </w:rPr>
              <w:t>b</w:t>
            </w:r>
          </w:p>
          <w:p w14:paraId="746DF0C6" w14:textId="77777777" w:rsidR="005C1A96" w:rsidRPr="00EE0EEB" w:rsidRDefault="005C1A96">
            <w:pPr>
              <w:pStyle w:val="TableText"/>
              <w:jc w:val="center"/>
              <w:rPr>
                <w:b/>
              </w:rPr>
            </w:pPr>
            <w:r w:rsidRPr="00EE0EEB">
              <w:rPr>
                <w:bCs/>
              </w:rPr>
              <w:t xml:space="preserve">15 months </w:t>
            </w:r>
            <w:r w:rsidRPr="00EE0EEB">
              <w:rPr>
                <w:bCs/>
                <w:vertAlign w:val="superscript"/>
              </w:rPr>
              <w:t>c</w:t>
            </w:r>
          </w:p>
        </w:tc>
      </w:tr>
      <w:tr w:rsidR="005C1A96" w:rsidRPr="00EE0EEB" w14:paraId="0640DC01" w14:textId="77777777">
        <w:trPr>
          <w:cantSplit/>
          <w:jc w:val="center"/>
        </w:trPr>
        <w:tc>
          <w:tcPr>
            <w:tcW w:w="935" w:type="pct"/>
            <w:vAlign w:val="center"/>
          </w:tcPr>
          <w:p w14:paraId="716E2F2F" w14:textId="77777777" w:rsidR="005C1A96" w:rsidRPr="00EE0EEB" w:rsidRDefault="005C1A96">
            <w:pPr>
              <w:pStyle w:val="TableText"/>
            </w:pPr>
            <w:r w:rsidRPr="00EE0EEB">
              <w:t>Cost/patient/month</w:t>
            </w:r>
          </w:p>
        </w:tc>
        <w:tc>
          <w:tcPr>
            <w:tcW w:w="3166" w:type="pct"/>
            <w:gridSpan w:val="2"/>
            <w:vAlign w:val="center"/>
          </w:tcPr>
          <w:p w14:paraId="2B151EA7" w14:textId="3BA8D305" w:rsidR="005C1A96" w:rsidRPr="00444019" w:rsidRDefault="005C1A96">
            <w:pPr>
              <w:pStyle w:val="TableText"/>
              <w:jc w:val="center"/>
              <w:rPr>
                <w:vertAlign w:val="superscript"/>
              </w:rPr>
            </w:pPr>
            <w:r w:rsidRPr="00EE0EEB">
              <w:t xml:space="preserve"> </w:t>
            </w:r>
            <w:r w:rsidRPr="00EE0EEB">
              <w:rPr>
                <w:bCs/>
              </w:rPr>
              <w:t>First three months: $</w:t>
            </w:r>
            <w:r w:rsidR="00CD4EA9" w:rsidRPr="00CD4EA9">
              <w:rPr>
                <w:bCs/>
                <w:color w:val="000000"/>
                <w:spacing w:val="53"/>
                <w:shd w:val="solid" w:color="000000" w:fill="000000"/>
                <w:fitText w:val="330" w:id="-632121339"/>
                <w14:textFill>
                  <w14:solidFill>
                    <w14:srgbClr w14:val="000000">
                      <w14:alpha w14:val="100000"/>
                    </w14:srgbClr>
                  </w14:solidFill>
                </w14:textFill>
              </w:rPr>
              <w:t>|||</w:t>
            </w:r>
            <w:r w:rsidR="00CD4EA9" w:rsidRPr="00CD4EA9">
              <w:rPr>
                <w:bCs/>
                <w:color w:val="000000"/>
                <w:spacing w:val="1"/>
                <w:shd w:val="solid" w:color="000000" w:fill="000000"/>
                <w:fitText w:val="330" w:id="-632121339"/>
                <w14:textFill>
                  <w14:solidFill>
                    <w14:srgbClr w14:val="000000">
                      <w14:alpha w14:val="100000"/>
                    </w14:srgbClr>
                  </w14:solidFill>
                </w14:textFill>
              </w:rPr>
              <w:t>|</w:t>
            </w:r>
          </w:p>
          <w:p w14:paraId="6445BAD1" w14:textId="4FF0E516" w:rsidR="005C1A96" w:rsidRPr="00444019" w:rsidRDefault="005C1A96">
            <w:pPr>
              <w:pStyle w:val="TableText"/>
              <w:jc w:val="center"/>
              <w:rPr>
                <w:bCs/>
                <w:vertAlign w:val="superscript"/>
              </w:rPr>
            </w:pPr>
            <w:r w:rsidRPr="00EE0EEB">
              <w:rPr>
                <w:bCs/>
              </w:rPr>
              <w:t>Four months+: $</w:t>
            </w:r>
            <w:r w:rsidR="00CD4EA9" w:rsidRPr="00CD4EA9">
              <w:rPr>
                <w:bCs/>
                <w:color w:val="000000"/>
                <w:spacing w:val="51"/>
                <w:shd w:val="solid" w:color="000000" w:fill="000000"/>
                <w:fitText w:val="324" w:id="-632121338"/>
                <w14:textFill>
                  <w14:solidFill>
                    <w14:srgbClr w14:val="000000">
                      <w14:alpha w14:val="100000"/>
                    </w14:srgbClr>
                  </w14:solidFill>
                </w14:textFill>
              </w:rPr>
              <w:t>|||</w:t>
            </w:r>
            <w:r w:rsidR="00CD4EA9" w:rsidRPr="00CD4EA9">
              <w:rPr>
                <w:bCs/>
                <w:color w:val="000000"/>
                <w:spacing w:val="1"/>
                <w:shd w:val="solid" w:color="000000" w:fill="000000"/>
                <w:fitText w:val="324" w:id="-632121338"/>
                <w14:textFill>
                  <w14:solidFill>
                    <w14:srgbClr w14:val="000000">
                      <w14:alpha w14:val="100000"/>
                    </w14:srgbClr>
                  </w14:solidFill>
                </w14:textFill>
              </w:rPr>
              <w:t>|</w:t>
            </w:r>
          </w:p>
        </w:tc>
        <w:tc>
          <w:tcPr>
            <w:tcW w:w="899" w:type="pct"/>
            <w:vAlign w:val="center"/>
          </w:tcPr>
          <w:p w14:paraId="621CCF12" w14:textId="2484676D" w:rsidR="005C1A96" w:rsidRPr="00EE0EEB" w:rsidRDefault="005C1A96">
            <w:pPr>
              <w:pStyle w:val="TableText"/>
              <w:jc w:val="center"/>
            </w:pPr>
            <w:r w:rsidRPr="00EE0EEB">
              <w:rPr>
                <w:bCs/>
              </w:rPr>
              <w:t>$</w:t>
            </w:r>
            <w:r w:rsidR="00CD4EA9" w:rsidRPr="00CD4EA9">
              <w:rPr>
                <w:bCs/>
                <w:color w:val="000000"/>
                <w:spacing w:val="51"/>
                <w:shd w:val="solid" w:color="000000" w:fill="000000"/>
                <w:fitText w:val="324" w:id="-632121337"/>
                <w14:textFill>
                  <w14:solidFill>
                    <w14:srgbClr w14:val="000000">
                      <w14:alpha w14:val="100000"/>
                    </w14:srgbClr>
                  </w14:solidFill>
                </w14:textFill>
              </w:rPr>
              <w:t>|||</w:t>
            </w:r>
            <w:r w:rsidR="00CD4EA9" w:rsidRPr="00CD4EA9">
              <w:rPr>
                <w:bCs/>
                <w:color w:val="000000"/>
                <w:spacing w:val="1"/>
                <w:shd w:val="solid" w:color="000000" w:fill="000000"/>
                <w:fitText w:val="324" w:id="-632121337"/>
                <w14:textFill>
                  <w14:solidFill>
                    <w14:srgbClr w14:val="000000">
                      <w14:alpha w14:val="100000"/>
                    </w14:srgbClr>
                  </w14:solidFill>
                </w14:textFill>
              </w:rPr>
              <w:t>|</w:t>
            </w:r>
            <w:r w:rsidRPr="00EE0EEB">
              <w:rPr>
                <w:bCs/>
              </w:rPr>
              <w:t xml:space="preserve"> </w:t>
            </w:r>
            <w:r w:rsidRPr="00EE0EEB">
              <w:rPr>
                <w:bCs/>
                <w:vertAlign w:val="superscript"/>
              </w:rPr>
              <w:t>d</w:t>
            </w:r>
          </w:p>
        </w:tc>
      </w:tr>
      <w:tr w:rsidR="005C1A96" w:rsidRPr="00EE0EEB" w14:paraId="2E158CFE" w14:textId="77777777">
        <w:trPr>
          <w:cantSplit/>
          <w:jc w:val="center"/>
        </w:trPr>
        <w:tc>
          <w:tcPr>
            <w:tcW w:w="935" w:type="pct"/>
            <w:vAlign w:val="center"/>
          </w:tcPr>
          <w:p w14:paraId="0144CC83" w14:textId="77777777" w:rsidR="005C1A96" w:rsidRPr="00EE0EEB" w:rsidRDefault="005C1A96">
            <w:pPr>
              <w:pStyle w:val="TableText"/>
            </w:pPr>
            <w:r w:rsidRPr="00EE0EEB">
              <w:t>Cost/patient/course</w:t>
            </w:r>
          </w:p>
        </w:tc>
        <w:tc>
          <w:tcPr>
            <w:tcW w:w="1313" w:type="pct"/>
            <w:vAlign w:val="center"/>
          </w:tcPr>
          <w:p w14:paraId="47666F44" w14:textId="61BEC110" w:rsidR="005C1A96" w:rsidRPr="00444019" w:rsidRDefault="005C1A96">
            <w:pPr>
              <w:pStyle w:val="TableText"/>
              <w:jc w:val="center"/>
              <w:rPr>
                <w:vertAlign w:val="superscript"/>
              </w:rPr>
            </w:pPr>
            <w:r w:rsidRPr="00EE0EEB">
              <w:t>$</w:t>
            </w:r>
            <w:r w:rsidR="00CD4EA9" w:rsidRPr="00CD4EA9">
              <w:rPr>
                <w:color w:val="000000"/>
                <w:spacing w:val="53"/>
                <w:shd w:val="solid" w:color="000000" w:fill="000000"/>
                <w:fitText w:val="330" w:id="-632121336"/>
                <w14:textFill>
                  <w14:solidFill>
                    <w14:srgbClr w14:val="000000">
                      <w14:alpha w14:val="100000"/>
                    </w14:srgbClr>
                  </w14:solidFill>
                </w14:textFill>
              </w:rPr>
              <w:t>|||</w:t>
            </w:r>
            <w:r w:rsidR="00CD4EA9" w:rsidRPr="00CD4EA9">
              <w:rPr>
                <w:color w:val="000000"/>
                <w:spacing w:val="1"/>
                <w:shd w:val="solid" w:color="000000" w:fill="000000"/>
                <w:fitText w:val="330" w:id="-632121336"/>
                <w14:textFill>
                  <w14:solidFill>
                    <w14:srgbClr w14:val="000000">
                      <w14:alpha w14:val="100000"/>
                    </w14:srgbClr>
                  </w14:solidFill>
                </w14:textFill>
              </w:rPr>
              <w:t>|</w:t>
            </w:r>
          </w:p>
        </w:tc>
        <w:tc>
          <w:tcPr>
            <w:tcW w:w="1854" w:type="pct"/>
            <w:vAlign w:val="center"/>
          </w:tcPr>
          <w:p w14:paraId="3FC76DF4" w14:textId="76E2AE2A" w:rsidR="005C1A96" w:rsidRPr="00444019" w:rsidRDefault="005C1A96">
            <w:pPr>
              <w:pStyle w:val="TableText"/>
              <w:jc w:val="center"/>
              <w:rPr>
                <w:vertAlign w:val="superscript"/>
              </w:rPr>
            </w:pPr>
            <w:r w:rsidRPr="00EE0EEB">
              <w:t>$</w:t>
            </w:r>
            <w:r w:rsidR="00CD4EA9" w:rsidRPr="00CD4EA9">
              <w:rPr>
                <w:color w:val="000000"/>
                <w:spacing w:val="53"/>
                <w:shd w:val="solid" w:color="000000" w:fill="000000"/>
                <w:fitText w:val="330" w:id="-632121335"/>
                <w14:textFill>
                  <w14:solidFill>
                    <w14:srgbClr w14:val="000000">
                      <w14:alpha w14:val="100000"/>
                    </w14:srgbClr>
                  </w14:solidFill>
                </w14:textFill>
              </w:rPr>
              <w:t>|||</w:t>
            </w:r>
            <w:r w:rsidR="00CD4EA9" w:rsidRPr="00CD4EA9">
              <w:rPr>
                <w:color w:val="000000"/>
                <w:spacing w:val="1"/>
                <w:shd w:val="solid" w:color="000000" w:fill="000000"/>
                <w:fitText w:val="330" w:id="-632121335"/>
                <w14:textFill>
                  <w14:solidFill>
                    <w14:srgbClr w14:val="000000">
                      <w14:alpha w14:val="100000"/>
                    </w14:srgbClr>
                  </w14:solidFill>
                </w14:textFill>
              </w:rPr>
              <w:t>|</w:t>
            </w:r>
          </w:p>
        </w:tc>
        <w:tc>
          <w:tcPr>
            <w:tcW w:w="899" w:type="pct"/>
          </w:tcPr>
          <w:p w14:paraId="60D1FE4F" w14:textId="619DEFF7" w:rsidR="005C1A96" w:rsidRPr="00EE0EEB" w:rsidRDefault="005C1A96">
            <w:pPr>
              <w:pStyle w:val="TableText"/>
              <w:jc w:val="center"/>
              <w:rPr>
                <w:bCs/>
              </w:rPr>
            </w:pPr>
            <w:r w:rsidRPr="00EE0EEB">
              <w:rPr>
                <w:bCs/>
              </w:rPr>
              <w:t>$</w:t>
            </w:r>
            <w:r w:rsidR="00CD4EA9" w:rsidRPr="00CD4EA9">
              <w:rPr>
                <w:bCs/>
                <w:color w:val="000000"/>
                <w:spacing w:val="51"/>
                <w:shd w:val="solid" w:color="000000" w:fill="000000"/>
                <w:fitText w:val="324" w:id="-632121334"/>
                <w14:textFill>
                  <w14:solidFill>
                    <w14:srgbClr w14:val="000000">
                      <w14:alpha w14:val="100000"/>
                    </w14:srgbClr>
                  </w14:solidFill>
                </w14:textFill>
              </w:rPr>
              <w:t>|||</w:t>
            </w:r>
            <w:r w:rsidR="00CD4EA9" w:rsidRPr="00CD4EA9">
              <w:rPr>
                <w:bCs/>
                <w:color w:val="000000"/>
                <w:spacing w:val="1"/>
                <w:shd w:val="solid" w:color="000000" w:fill="000000"/>
                <w:fitText w:val="324" w:id="-632121334"/>
                <w14:textFill>
                  <w14:solidFill>
                    <w14:srgbClr w14:val="000000">
                      <w14:alpha w14:val="100000"/>
                    </w14:srgbClr>
                  </w14:solidFill>
                </w14:textFill>
              </w:rPr>
              <w:t>|</w:t>
            </w:r>
            <w:r w:rsidRPr="00EE0EEB">
              <w:rPr>
                <w:bCs/>
              </w:rPr>
              <w:t xml:space="preserve"> </w:t>
            </w:r>
            <w:r w:rsidRPr="00EE0EEB">
              <w:rPr>
                <w:bCs/>
                <w:vertAlign w:val="superscript"/>
              </w:rPr>
              <w:t>b</w:t>
            </w:r>
          </w:p>
          <w:p w14:paraId="73160047" w14:textId="4543E620" w:rsidR="005C1A96" w:rsidRPr="00EE0EEB" w:rsidRDefault="005C1A96">
            <w:pPr>
              <w:pStyle w:val="TableText"/>
              <w:jc w:val="center"/>
            </w:pPr>
            <w:r w:rsidRPr="00EE0EEB">
              <w:rPr>
                <w:bCs/>
              </w:rPr>
              <w:t>$</w:t>
            </w:r>
            <w:r w:rsidR="00CD4EA9" w:rsidRPr="00CD4EA9">
              <w:rPr>
                <w:bCs/>
                <w:color w:val="000000"/>
                <w:spacing w:val="53"/>
                <w:shd w:val="solid" w:color="000000" w:fill="000000"/>
                <w:fitText w:val="330" w:id="-632121333"/>
                <w14:textFill>
                  <w14:solidFill>
                    <w14:srgbClr w14:val="000000">
                      <w14:alpha w14:val="100000"/>
                    </w14:srgbClr>
                  </w14:solidFill>
                </w14:textFill>
              </w:rPr>
              <w:t>|||</w:t>
            </w:r>
            <w:r w:rsidR="00CD4EA9" w:rsidRPr="00CD4EA9">
              <w:rPr>
                <w:bCs/>
                <w:color w:val="000000"/>
                <w:spacing w:val="1"/>
                <w:shd w:val="solid" w:color="000000" w:fill="000000"/>
                <w:fitText w:val="330" w:id="-632121333"/>
                <w14:textFill>
                  <w14:solidFill>
                    <w14:srgbClr w14:val="000000">
                      <w14:alpha w14:val="100000"/>
                    </w14:srgbClr>
                  </w14:solidFill>
                </w14:textFill>
              </w:rPr>
              <w:t>|</w:t>
            </w:r>
            <w:r w:rsidRPr="00EE0EEB">
              <w:rPr>
                <w:bCs/>
              </w:rPr>
              <w:t xml:space="preserve"> </w:t>
            </w:r>
            <w:r w:rsidRPr="00EE0EEB">
              <w:rPr>
                <w:bCs/>
                <w:vertAlign w:val="superscript"/>
              </w:rPr>
              <w:t>c</w:t>
            </w:r>
          </w:p>
        </w:tc>
      </w:tr>
    </w:tbl>
    <w:p w14:paraId="0BCEC704" w14:textId="77777777" w:rsidR="005C1A96" w:rsidRPr="003F1B1E" w:rsidRDefault="005C1A96" w:rsidP="003F1B1E">
      <w:pPr>
        <w:pStyle w:val="TableFootnotesAbbreviations"/>
        <w:spacing w:before="0"/>
        <w:rPr>
          <w:rFonts w:ascii="Arial Narrow" w:hAnsi="Arial Narrow"/>
        </w:rPr>
      </w:pPr>
      <w:r w:rsidRPr="003F1B1E">
        <w:rPr>
          <w:rFonts w:ascii="Arial Narrow" w:hAnsi="Arial Narrow"/>
        </w:rPr>
        <w:t>Source: Constructed during the evaluation from the “3.3_Donanemab cost effectiveness model” attachment provided with the submission.</w:t>
      </w:r>
    </w:p>
    <w:p w14:paraId="16B596A8" w14:textId="77777777" w:rsidR="005C1A96" w:rsidRPr="003F1B1E" w:rsidRDefault="005C1A96" w:rsidP="003F1B1E">
      <w:pPr>
        <w:pStyle w:val="TableFootnotesAbbreviations"/>
        <w:spacing w:before="0"/>
        <w:rPr>
          <w:rFonts w:ascii="Arial Narrow" w:hAnsi="Arial Narrow"/>
        </w:rPr>
      </w:pPr>
      <w:r w:rsidRPr="003F1B1E">
        <w:rPr>
          <w:rFonts w:ascii="Arial Narrow" w:hAnsi="Arial Narrow"/>
        </w:rPr>
        <w:t>Aβ = amyloid beta; AE = adverse events; CSR = clinical study report; TB-2 = TRAILBLAZER – 2</w:t>
      </w:r>
    </w:p>
    <w:p w14:paraId="4F617955" w14:textId="77777777" w:rsidR="005C1A96" w:rsidRPr="003F1B1E" w:rsidDel="00AB06B0" w:rsidRDefault="005C1A96" w:rsidP="003F1B1E">
      <w:pPr>
        <w:pStyle w:val="TableFootnotesAbbreviations"/>
        <w:spacing w:before="0"/>
        <w:rPr>
          <w:rFonts w:ascii="Arial Narrow" w:hAnsi="Arial Narrow"/>
        </w:rPr>
      </w:pPr>
      <w:r w:rsidRPr="003F1B1E">
        <w:rPr>
          <w:rFonts w:ascii="Arial Narrow" w:hAnsi="Arial Narrow"/>
          <w:vertAlign w:val="superscript"/>
        </w:rPr>
        <w:t xml:space="preserve">a </w:t>
      </w:r>
      <w:r w:rsidRPr="003F1B1E">
        <w:rPr>
          <w:rFonts w:ascii="Arial Narrow" w:hAnsi="Arial Narrow"/>
        </w:rPr>
        <w:t>Mean dose not reported in the CSR, assumed to be RDI (96%) × standard dose as per the economics</w:t>
      </w:r>
    </w:p>
    <w:p w14:paraId="69788499" w14:textId="77777777" w:rsidR="005C1A96" w:rsidRPr="003F1B1E" w:rsidRDefault="005C1A96" w:rsidP="003F1B1E">
      <w:pPr>
        <w:pStyle w:val="TableFootnotesAbbreviations"/>
        <w:spacing w:before="0"/>
        <w:rPr>
          <w:rFonts w:ascii="Arial Narrow" w:hAnsi="Arial Narrow"/>
        </w:rPr>
      </w:pPr>
      <w:r w:rsidRPr="003F1B1E">
        <w:rPr>
          <w:rFonts w:ascii="Arial Narrow" w:hAnsi="Arial Narrow"/>
          <w:vertAlign w:val="superscript"/>
        </w:rPr>
        <w:t xml:space="preserve">b </w:t>
      </w:r>
      <w:r w:rsidRPr="003F1B1E">
        <w:rPr>
          <w:rFonts w:ascii="Arial Narrow" w:hAnsi="Arial Narrow"/>
        </w:rPr>
        <w:t xml:space="preserve">Mean treatment duration for patients who monitor for Aβ and cease treatment due to clearance. </w:t>
      </w:r>
    </w:p>
    <w:p w14:paraId="4F83CFCD" w14:textId="77777777" w:rsidR="005C1A96" w:rsidRPr="003F1B1E" w:rsidRDefault="005C1A96" w:rsidP="003F1B1E">
      <w:pPr>
        <w:pStyle w:val="TableFootnotesAbbreviations"/>
        <w:spacing w:before="0"/>
        <w:rPr>
          <w:rFonts w:ascii="Arial Narrow" w:hAnsi="Arial Narrow"/>
        </w:rPr>
      </w:pPr>
      <w:r w:rsidRPr="003F1B1E">
        <w:rPr>
          <w:rFonts w:ascii="Arial Narrow" w:hAnsi="Arial Narrow"/>
          <w:vertAlign w:val="superscript"/>
        </w:rPr>
        <w:t>c</w:t>
      </w:r>
      <w:r w:rsidRPr="003F1B1E">
        <w:rPr>
          <w:rFonts w:ascii="Arial Narrow" w:hAnsi="Arial Narrow"/>
        </w:rPr>
        <w:t xml:space="preserve"> Mean treatment duration for patients with no monitoring for Aβ clearance.</w:t>
      </w:r>
    </w:p>
    <w:p w14:paraId="2205F2EF" w14:textId="0FC33684" w:rsidR="005C1A96" w:rsidRPr="003F1B1E" w:rsidRDefault="005C1A96" w:rsidP="003F1B1E">
      <w:pPr>
        <w:pStyle w:val="TableFootnotesAbbreviations"/>
        <w:spacing w:before="0"/>
        <w:rPr>
          <w:rFonts w:ascii="Arial Narrow" w:hAnsi="Arial Narrow"/>
        </w:rPr>
      </w:pPr>
      <w:r w:rsidRPr="003F1B1E">
        <w:rPr>
          <w:rFonts w:ascii="Arial Narrow" w:hAnsi="Arial Narrow"/>
          <w:vertAlign w:val="superscript"/>
        </w:rPr>
        <w:t>d</w:t>
      </w:r>
      <w:r w:rsidRPr="003F1B1E">
        <w:rPr>
          <w:rFonts w:ascii="Arial Narrow" w:hAnsi="Arial Narrow"/>
        </w:rPr>
        <w:t xml:space="preserve"> Financial estimates have the same maximum quantity in both initial and continuing treatment, hence the same cost per patient per cycle. The financial estimates accounts for the reduced dosing by halving the number of scripts required for initial treatment.</w:t>
      </w:r>
    </w:p>
    <w:p w14:paraId="59457BDC" w14:textId="77777777" w:rsidR="005C1A96" w:rsidRPr="00EE0EEB" w:rsidRDefault="005C1A96" w:rsidP="005C1A96">
      <w:pPr>
        <w:pStyle w:val="4-SubsectionHeading"/>
      </w:pPr>
      <w:r w:rsidRPr="00EE0EEB">
        <w:t>Estimated PBS usage &amp; financial implications</w:t>
      </w:r>
    </w:p>
    <w:p w14:paraId="7443E467" w14:textId="0120A78A" w:rsidR="00EF4AFE" w:rsidRDefault="00EF4AFE" w:rsidP="00DD02B1">
      <w:pPr>
        <w:pStyle w:val="3-BodyText"/>
        <w:keepNext/>
        <w:numPr>
          <w:ilvl w:val="1"/>
          <w:numId w:val="23"/>
        </w:numPr>
        <w:spacing w:before="60" w:after="60"/>
        <w:ind w:left="709" w:hanging="709"/>
      </w:pPr>
      <w:r w:rsidRPr="00EE0EEB">
        <w:t xml:space="preserve">This submission </w:t>
      </w:r>
      <w:r w:rsidR="00E315AF">
        <w:t>was</w:t>
      </w:r>
      <w:r w:rsidRPr="00EE0EEB">
        <w:t xml:space="preserve"> considered by DUSC. The submission used an epidemiological approach to calculate script and service volumes. The patient population was derived from the system capacity to assess potential patients. The foundation of this derivation was the number of treating facilities, the number of clinics held and the number of patients a clinic can treat in a working week. A growth rate in the number of facilities and patient treatment days was then applied across the six years of the model. The submission assumed that the private facilities were able to see twice as </w:t>
      </w:r>
      <w:r w:rsidRPr="00EE0EEB">
        <w:lastRenderedPageBreak/>
        <w:t>many patients each day as public facilities, based on the reported waiting times in each type of facility.</w:t>
      </w:r>
    </w:p>
    <w:p w14:paraId="3909745E" w14:textId="62302980" w:rsidR="009D5476" w:rsidRPr="00EE0EEB" w:rsidRDefault="0020516C" w:rsidP="00AF6F08">
      <w:pPr>
        <w:pStyle w:val="Caption"/>
        <w:rPr>
          <w:rStyle w:val="CommentReference"/>
          <w:b/>
          <w:lang w:val="en-AU"/>
        </w:rPr>
      </w:pPr>
      <w:r>
        <w:t xml:space="preserve">Table </w:t>
      </w:r>
      <w:r>
        <w:fldChar w:fldCharType="begin"/>
      </w:r>
      <w:r>
        <w:instrText xml:space="preserve"> SEQ Table \* ARABIC </w:instrText>
      </w:r>
      <w:r>
        <w:fldChar w:fldCharType="separate"/>
      </w:r>
      <w:r w:rsidR="00392423">
        <w:rPr>
          <w:noProof/>
        </w:rPr>
        <w:t>25</w:t>
      </w:r>
      <w:r>
        <w:fldChar w:fldCharType="end"/>
      </w:r>
      <w:r w:rsidR="00CC40F2">
        <w:rPr>
          <w:lang w:val="en-AU"/>
        </w:rPr>
        <w:t xml:space="preserve">: </w:t>
      </w:r>
      <w:r w:rsidR="009D5476" w:rsidRPr="00EE0EEB">
        <w:rPr>
          <w:rStyle w:val="CommentReference"/>
          <w:b/>
          <w:lang w:val="en-AU"/>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5: Key inputs for financial estimates"/>
      </w:tblPr>
      <w:tblGrid>
        <w:gridCol w:w="1713"/>
        <w:gridCol w:w="2602"/>
        <w:gridCol w:w="4701"/>
      </w:tblGrid>
      <w:tr w:rsidR="009D5476" w:rsidRPr="00AE3FC7" w14:paraId="386ABC30" w14:textId="77777777" w:rsidTr="00AE3FC7">
        <w:trPr>
          <w:tblHeader/>
        </w:trPr>
        <w:tc>
          <w:tcPr>
            <w:tcW w:w="950" w:type="pct"/>
            <w:vAlign w:val="center"/>
          </w:tcPr>
          <w:p w14:paraId="3AC20FCB" w14:textId="77777777" w:rsidR="009D5476" w:rsidRPr="00AE3FC7" w:rsidRDefault="009D5476" w:rsidP="00AF6F08">
            <w:pPr>
              <w:pStyle w:val="In-tableHeading"/>
              <w:rPr>
                <w:lang w:val="en-AU"/>
              </w:rPr>
            </w:pPr>
            <w:r w:rsidRPr="00AE3FC7">
              <w:rPr>
                <w:lang w:val="en-AU"/>
              </w:rPr>
              <w:t>Parameter</w:t>
            </w:r>
          </w:p>
        </w:tc>
        <w:tc>
          <w:tcPr>
            <w:tcW w:w="1443" w:type="pct"/>
            <w:vAlign w:val="center"/>
          </w:tcPr>
          <w:p w14:paraId="41E4A9D3" w14:textId="77777777" w:rsidR="009D5476" w:rsidRPr="00AE3FC7" w:rsidRDefault="009D5476" w:rsidP="00AF6F08">
            <w:pPr>
              <w:pStyle w:val="In-tableHeading"/>
              <w:rPr>
                <w:lang w:val="en-AU"/>
              </w:rPr>
            </w:pPr>
            <w:r w:rsidRPr="00AE3FC7">
              <w:rPr>
                <w:lang w:val="en-AU"/>
              </w:rPr>
              <w:t>Value applied and source</w:t>
            </w:r>
          </w:p>
        </w:tc>
        <w:tc>
          <w:tcPr>
            <w:tcW w:w="2607" w:type="pct"/>
            <w:vAlign w:val="center"/>
          </w:tcPr>
          <w:p w14:paraId="7C53DDA3" w14:textId="6C4BC34C" w:rsidR="009D5476" w:rsidRPr="00AE3FC7" w:rsidRDefault="009D5476" w:rsidP="00AF6F08">
            <w:pPr>
              <w:pStyle w:val="In-tableHeading"/>
              <w:rPr>
                <w:lang w:val="en-AU"/>
              </w:rPr>
            </w:pPr>
            <w:r w:rsidRPr="00AE3FC7">
              <w:rPr>
                <w:lang w:val="en-AU"/>
              </w:rPr>
              <w:t>Comment</w:t>
            </w:r>
            <w:r w:rsidR="00DD1178" w:rsidRPr="00AE3FC7">
              <w:rPr>
                <w:lang w:val="en-AU"/>
              </w:rPr>
              <w:t>s</w:t>
            </w:r>
          </w:p>
        </w:tc>
      </w:tr>
      <w:tr w:rsidR="009D5476" w:rsidRPr="00AE3FC7" w14:paraId="281ED036" w14:textId="77777777" w:rsidTr="00AE3FC7">
        <w:tc>
          <w:tcPr>
            <w:tcW w:w="950" w:type="pct"/>
            <w:vAlign w:val="center"/>
          </w:tcPr>
          <w:p w14:paraId="71C24E95" w14:textId="77777777" w:rsidR="009D5476" w:rsidRPr="00AE3FC7" w:rsidRDefault="009D5476" w:rsidP="00AF6F08">
            <w:pPr>
              <w:pStyle w:val="TableText"/>
              <w:keepNext/>
            </w:pPr>
            <w:r w:rsidRPr="00AE3FC7">
              <w:t>Incidence</w:t>
            </w:r>
          </w:p>
        </w:tc>
        <w:tc>
          <w:tcPr>
            <w:tcW w:w="1443" w:type="pct"/>
            <w:vAlign w:val="center"/>
          </w:tcPr>
          <w:p w14:paraId="464D9F77" w14:textId="77777777" w:rsidR="009D5476" w:rsidRPr="00AE3FC7" w:rsidRDefault="009D5476" w:rsidP="00AF6F08">
            <w:pPr>
              <w:pStyle w:val="TableText"/>
              <w:keepNext/>
            </w:pPr>
            <w:r w:rsidRPr="00AE3FC7">
              <w:t>Based on capacity of memory and cognition assessment service in public and private settings</w:t>
            </w:r>
          </w:p>
        </w:tc>
        <w:tc>
          <w:tcPr>
            <w:tcW w:w="2607" w:type="pct"/>
            <w:vAlign w:val="center"/>
          </w:tcPr>
          <w:p w14:paraId="2AEB8374" w14:textId="6487682C" w:rsidR="009D5476" w:rsidRPr="00AE3FC7" w:rsidRDefault="009D5476" w:rsidP="00AF6F08">
            <w:pPr>
              <w:pStyle w:val="TableText"/>
              <w:keepNext/>
            </w:pPr>
            <w:r w:rsidRPr="00AE3FC7">
              <w:t>The population is based on multiple assumptions that make the result highly uncertain</w:t>
            </w:r>
            <w:r w:rsidR="00CA146E" w:rsidRPr="00AE3FC7">
              <w:t>.</w:t>
            </w:r>
          </w:p>
        </w:tc>
      </w:tr>
      <w:tr w:rsidR="009D5476" w:rsidRPr="00AE3FC7" w14:paraId="38026A0A" w14:textId="77777777" w:rsidTr="00AE3FC7">
        <w:tc>
          <w:tcPr>
            <w:tcW w:w="950" w:type="pct"/>
            <w:vAlign w:val="center"/>
          </w:tcPr>
          <w:p w14:paraId="41265DA4" w14:textId="77777777" w:rsidR="009D5476" w:rsidRPr="00AE3FC7" w:rsidRDefault="009D5476" w:rsidP="00AF6F08">
            <w:pPr>
              <w:pStyle w:val="TableText"/>
              <w:keepNext/>
            </w:pPr>
            <w:r w:rsidRPr="00AE3FC7">
              <w:t xml:space="preserve">Prevalence of patients who are </w:t>
            </w:r>
            <w:r w:rsidRPr="009E07A4">
              <w:rPr>
                <w:i/>
                <w:iCs/>
              </w:rPr>
              <w:t>APOE4</w:t>
            </w:r>
            <w:r w:rsidRPr="00AE3FC7">
              <w:t xml:space="preserve"> non-carriers or heterozygotes</w:t>
            </w:r>
          </w:p>
        </w:tc>
        <w:tc>
          <w:tcPr>
            <w:tcW w:w="1443" w:type="pct"/>
            <w:vAlign w:val="center"/>
          </w:tcPr>
          <w:p w14:paraId="77E334FE" w14:textId="77777777" w:rsidR="009D5476" w:rsidRPr="00AE3FC7" w:rsidRDefault="009D5476" w:rsidP="00AF6F08">
            <w:pPr>
              <w:pStyle w:val="TableText"/>
              <w:keepNext/>
            </w:pPr>
            <w:r w:rsidRPr="00AE3FC7">
              <w:t xml:space="preserve">89.1%, based on frequency of </w:t>
            </w:r>
            <w:r w:rsidRPr="009E07A4">
              <w:rPr>
                <w:i/>
                <w:iCs/>
              </w:rPr>
              <w:t>APOE4</w:t>
            </w:r>
            <w:r w:rsidRPr="00AE3FC7">
              <w:t xml:space="preserve"> homozygosity of 10.9%</w:t>
            </w:r>
          </w:p>
        </w:tc>
        <w:tc>
          <w:tcPr>
            <w:tcW w:w="2607" w:type="pct"/>
            <w:vAlign w:val="center"/>
          </w:tcPr>
          <w:p w14:paraId="135F6142" w14:textId="53125A34" w:rsidR="009D5476" w:rsidRPr="00AE3FC7" w:rsidRDefault="009D5476" w:rsidP="00AF6F08">
            <w:pPr>
              <w:pStyle w:val="TableText"/>
              <w:keepNext/>
            </w:pPr>
            <w:r w:rsidRPr="00AE3FC7">
              <w:t xml:space="preserve">Data from the Australian Imaging, Biomarkers and Lifestyle Flagship Study of Ageing (AIBL) demonstrated the frequency of </w:t>
            </w:r>
            <w:r w:rsidRPr="009E07A4">
              <w:rPr>
                <w:i/>
                <w:iCs/>
              </w:rPr>
              <w:t>APOE4</w:t>
            </w:r>
            <w:r w:rsidRPr="00AE3FC7">
              <w:t xml:space="preserve"> homozygosity to be 6.0% in patients with MCI and 5.6% in patients with severe AD. </w:t>
            </w:r>
            <w:r w:rsidR="00DD14B4" w:rsidRPr="00AE3FC7">
              <w:t>This would result in a</w:t>
            </w:r>
            <w:r w:rsidRPr="00AE3FC7">
              <w:t xml:space="preserve"> significantly larger population </w:t>
            </w:r>
            <w:r w:rsidR="00DD14B4" w:rsidRPr="00AE3FC7">
              <w:t>being</w:t>
            </w:r>
            <w:r w:rsidRPr="00AE3FC7">
              <w:t xml:space="preserve"> available for treatment with donanemab.</w:t>
            </w:r>
          </w:p>
          <w:p w14:paraId="6274DB00" w14:textId="1842DE09" w:rsidR="00B216B1" w:rsidRPr="00AE3FC7" w:rsidRDefault="00B216B1" w:rsidP="00AF6F08">
            <w:pPr>
              <w:keepNext/>
              <w:widowControl w:val="0"/>
              <w:spacing w:before="0" w:after="0"/>
              <w:jc w:val="left"/>
              <w:rPr>
                <w:rFonts w:ascii="Arial Narrow" w:eastAsia="Calibri" w:hAnsi="Arial Narrow"/>
                <w:sz w:val="20"/>
              </w:rPr>
            </w:pPr>
            <w:r w:rsidRPr="00AE3FC7">
              <w:rPr>
                <w:rFonts w:ascii="Arial Narrow" w:eastAsia="Calibri" w:hAnsi="Arial Narrow"/>
                <w:sz w:val="20"/>
              </w:rPr>
              <w:t>The PSCR (p5) argued that a 10.9% prevalence rate, as informed by the TB-2 trial, was appropriate.</w:t>
            </w:r>
          </w:p>
        </w:tc>
      </w:tr>
      <w:tr w:rsidR="00411F9A" w:rsidRPr="00AE3FC7" w14:paraId="7A92B1FE" w14:textId="77777777" w:rsidTr="00AE3FC7">
        <w:tc>
          <w:tcPr>
            <w:tcW w:w="950" w:type="pct"/>
            <w:vAlign w:val="center"/>
          </w:tcPr>
          <w:p w14:paraId="5D7E0C05" w14:textId="77777777" w:rsidR="00411F9A" w:rsidRPr="00AE3FC7" w:rsidRDefault="00411F9A" w:rsidP="00B22E54">
            <w:pPr>
              <w:widowControl w:val="0"/>
              <w:spacing w:before="0" w:after="0"/>
              <w:jc w:val="left"/>
              <w:rPr>
                <w:rFonts w:ascii="Arial Narrow" w:eastAsia="Calibri" w:hAnsi="Arial Narrow"/>
                <w:sz w:val="20"/>
              </w:rPr>
            </w:pPr>
            <w:r w:rsidRPr="00AE3FC7">
              <w:rPr>
                <w:rFonts w:ascii="Arial Narrow" w:eastAsia="Calibri" w:hAnsi="Arial Narrow"/>
                <w:sz w:val="20"/>
              </w:rPr>
              <w:t>Incident patients</w:t>
            </w:r>
          </w:p>
          <w:p w14:paraId="723997E1" w14:textId="47A002FE" w:rsidR="00411F9A" w:rsidRPr="00AE3FC7" w:rsidRDefault="00411F9A" w:rsidP="00B22E54">
            <w:pPr>
              <w:pStyle w:val="TableText"/>
            </w:pPr>
            <w:r w:rsidRPr="00AE3FC7">
              <w:rPr>
                <w:rFonts w:eastAsia="Calibri"/>
              </w:rPr>
              <w:t>Treat to Clear</w:t>
            </w:r>
          </w:p>
        </w:tc>
        <w:tc>
          <w:tcPr>
            <w:tcW w:w="1443" w:type="pct"/>
            <w:vAlign w:val="center"/>
          </w:tcPr>
          <w:p w14:paraId="609FA8AE" w14:textId="5D1835EB" w:rsidR="00411F9A" w:rsidRPr="008F42F2"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1: </w:t>
            </w:r>
            <w:r w:rsidR="00CD4EA9" w:rsidRPr="00CD4EA9">
              <w:rPr>
                <w:rFonts w:ascii="Arial Narrow" w:eastAsia="Calibri" w:hAnsi="Arial Narrow"/>
                <w:color w:val="000000"/>
                <w:spacing w:val="51"/>
                <w:sz w:val="20"/>
                <w:shd w:val="solid" w:color="000000" w:fill="000000"/>
                <w:fitText w:val="324" w:id="-632121332"/>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2"/>
                <w14:textFill>
                  <w14:solidFill>
                    <w14:srgbClr w14:val="000000">
                      <w14:alpha w14:val="100000"/>
                    </w14:srgbClr>
                  </w14:solidFill>
                </w14:textFill>
              </w:rPr>
              <w:t>|</w:t>
            </w:r>
            <w:r w:rsidR="008F42F2">
              <w:rPr>
                <w:rFonts w:ascii="Arial Narrow" w:eastAsia="Calibri" w:hAnsi="Arial Narrow"/>
                <w:sz w:val="20"/>
                <w:vertAlign w:val="superscript"/>
              </w:rPr>
              <w:t>1</w:t>
            </w:r>
          </w:p>
          <w:p w14:paraId="68171651" w14:textId="3C4E0CE9" w:rsidR="00411F9A" w:rsidRPr="008F42F2"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2: </w:t>
            </w:r>
            <w:r w:rsidR="00CD4EA9" w:rsidRPr="00CD4EA9">
              <w:rPr>
                <w:rFonts w:ascii="Arial Narrow" w:eastAsia="Calibri" w:hAnsi="Arial Narrow"/>
                <w:color w:val="000000"/>
                <w:spacing w:val="51"/>
                <w:sz w:val="20"/>
                <w:shd w:val="solid" w:color="000000" w:fill="000000"/>
                <w:fitText w:val="324" w:id="-632121331"/>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1"/>
                <w14:textFill>
                  <w14:solidFill>
                    <w14:srgbClr w14:val="000000">
                      <w14:alpha w14:val="100000"/>
                    </w14:srgbClr>
                  </w14:solidFill>
                </w14:textFill>
              </w:rPr>
              <w:t>|</w:t>
            </w:r>
            <w:r w:rsidR="008F42F2">
              <w:rPr>
                <w:rFonts w:ascii="Arial Narrow" w:eastAsia="Calibri" w:hAnsi="Arial Narrow"/>
                <w:sz w:val="20"/>
                <w:vertAlign w:val="superscript"/>
              </w:rPr>
              <w:t>1</w:t>
            </w:r>
          </w:p>
          <w:p w14:paraId="58C00BF9" w14:textId="3B07B27C" w:rsidR="00411F9A" w:rsidRPr="008F42F2"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3: </w:t>
            </w:r>
            <w:r w:rsidR="00CD4EA9" w:rsidRPr="00CD4EA9">
              <w:rPr>
                <w:rFonts w:ascii="Arial Narrow" w:eastAsia="Calibri" w:hAnsi="Arial Narrow"/>
                <w:color w:val="000000"/>
                <w:spacing w:val="51"/>
                <w:sz w:val="20"/>
                <w:shd w:val="solid" w:color="000000" w:fill="000000"/>
                <w:fitText w:val="324" w:id="-632121330"/>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0"/>
                <w14:textFill>
                  <w14:solidFill>
                    <w14:srgbClr w14:val="000000">
                      <w14:alpha w14:val="100000"/>
                    </w14:srgbClr>
                  </w14:solidFill>
                </w14:textFill>
              </w:rPr>
              <w:t>|</w:t>
            </w:r>
            <w:r w:rsidR="008F42F2">
              <w:rPr>
                <w:rFonts w:ascii="Arial Narrow" w:eastAsia="Calibri" w:hAnsi="Arial Narrow"/>
                <w:sz w:val="20"/>
                <w:vertAlign w:val="superscript"/>
              </w:rPr>
              <w:t>1</w:t>
            </w:r>
          </w:p>
          <w:p w14:paraId="5A983489" w14:textId="69EE63F5" w:rsidR="00411F9A" w:rsidRPr="008F42F2"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4: </w:t>
            </w:r>
            <w:r w:rsidR="00CD4EA9" w:rsidRPr="00CD4EA9">
              <w:rPr>
                <w:rFonts w:ascii="Arial Narrow" w:eastAsia="Calibri" w:hAnsi="Arial Narrow"/>
                <w:color w:val="000000"/>
                <w:spacing w:val="51"/>
                <w:sz w:val="20"/>
                <w:shd w:val="solid" w:color="000000" w:fill="000000"/>
                <w:fitText w:val="324" w:id="-632121329"/>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29"/>
                <w14:textFill>
                  <w14:solidFill>
                    <w14:srgbClr w14:val="000000">
                      <w14:alpha w14:val="100000"/>
                    </w14:srgbClr>
                  </w14:solidFill>
                </w14:textFill>
              </w:rPr>
              <w:t>|</w:t>
            </w:r>
            <w:r w:rsidR="008F42F2">
              <w:rPr>
                <w:rFonts w:ascii="Arial Narrow" w:eastAsia="Calibri" w:hAnsi="Arial Narrow"/>
                <w:sz w:val="20"/>
                <w:vertAlign w:val="superscript"/>
              </w:rPr>
              <w:t>1</w:t>
            </w:r>
          </w:p>
          <w:p w14:paraId="1C2446E3" w14:textId="0A193F20" w:rsidR="00411F9A" w:rsidRPr="007C6EA3"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5: </w:t>
            </w:r>
            <w:r w:rsidR="00CD4EA9" w:rsidRPr="00CD4EA9">
              <w:rPr>
                <w:rFonts w:ascii="Arial Narrow" w:eastAsia="Calibri" w:hAnsi="Arial Narrow"/>
                <w:color w:val="000000"/>
                <w:spacing w:val="51"/>
                <w:sz w:val="20"/>
                <w:shd w:val="solid" w:color="000000" w:fill="000000"/>
                <w:fitText w:val="324" w:id="-632121328"/>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28"/>
                <w14:textFill>
                  <w14:solidFill>
                    <w14:srgbClr w14:val="000000">
                      <w14:alpha w14:val="100000"/>
                    </w14:srgbClr>
                  </w14:solidFill>
                </w14:textFill>
              </w:rPr>
              <w:t>|</w:t>
            </w:r>
            <w:r w:rsidR="007C6EA3">
              <w:rPr>
                <w:rFonts w:ascii="Arial Narrow" w:eastAsia="Calibri" w:hAnsi="Arial Narrow"/>
                <w:sz w:val="20"/>
                <w:vertAlign w:val="superscript"/>
              </w:rPr>
              <w:t>2</w:t>
            </w:r>
          </w:p>
          <w:p w14:paraId="2DD5D344" w14:textId="488B076A" w:rsidR="00411F9A" w:rsidRPr="007C6EA3" w:rsidRDefault="00411F9A" w:rsidP="00B22E54">
            <w:pPr>
              <w:pStyle w:val="TableText"/>
              <w:rPr>
                <w:rFonts w:eastAsia="Calibri"/>
                <w:vertAlign w:val="superscript"/>
              </w:rPr>
            </w:pPr>
            <w:r w:rsidRPr="00AE3FC7">
              <w:rPr>
                <w:rFonts w:eastAsia="Calibri"/>
              </w:rPr>
              <w:t xml:space="preserve">Yr 6: </w:t>
            </w:r>
            <w:r w:rsidR="00CD4EA9" w:rsidRPr="00CD4EA9">
              <w:rPr>
                <w:rFonts w:eastAsia="Calibri"/>
                <w:color w:val="000000"/>
                <w:spacing w:val="51"/>
                <w:shd w:val="solid" w:color="000000" w:fill="000000"/>
                <w:fitText w:val="324" w:id="-632121344"/>
                <w14:textFill>
                  <w14:solidFill>
                    <w14:srgbClr w14:val="000000">
                      <w14:alpha w14:val="100000"/>
                    </w14:srgbClr>
                  </w14:solidFill>
                </w14:textFill>
              </w:rPr>
              <w:t>|||</w:t>
            </w:r>
            <w:r w:rsidR="00CD4EA9" w:rsidRPr="00CD4EA9">
              <w:rPr>
                <w:rFonts w:eastAsia="Calibri"/>
                <w:color w:val="000000"/>
                <w:spacing w:val="1"/>
                <w:shd w:val="solid" w:color="000000" w:fill="000000"/>
                <w:fitText w:val="324" w:id="-632121344"/>
                <w14:textFill>
                  <w14:solidFill>
                    <w14:srgbClr w14:val="000000">
                      <w14:alpha w14:val="100000"/>
                    </w14:srgbClr>
                  </w14:solidFill>
                </w14:textFill>
              </w:rPr>
              <w:t>|</w:t>
            </w:r>
            <w:r w:rsidR="007C6EA3">
              <w:rPr>
                <w:rFonts w:eastAsia="Calibri"/>
                <w:vertAlign w:val="superscript"/>
              </w:rPr>
              <w:t>2</w:t>
            </w:r>
          </w:p>
          <w:p w14:paraId="4F1DA7F8" w14:textId="77777777" w:rsidR="00411F9A" w:rsidRPr="00AE3FC7" w:rsidRDefault="00411F9A" w:rsidP="00B22E54">
            <w:pPr>
              <w:widowControl w:val="0"/>
              <w:spacing w:before="0" w:after="0"/>
              <w:jc w:val="left"/>
              <w:rPr>
                <w:rFonts w:ascii="Arial Narrow" w:eastAsia="Calibri" w:hAnsi="Arial Narrow"/>
                <w:sz w:val="20"/>
              </w:rPr>
            </w:pPr>
            <w:r w:rsidRPr="00AE3FC7">
              <w:rPr>
                <w:rFonts w:ascii="Arial Narrow" w:eastAsia="Calibri" w:hAnsi="Arial Narrow"/>
                <w:sz w:val="20"/>
              </w:rPr>
              <w:t>40% of eligible patients</w:t>
            </w:r>
          </w:p>
          <w:p w14:paraId="26848F7F" w14:textId="3FC1B24E" w:rsidR="00411F9A" w:rsidRPr="00AE3FC7" w:rsidRDefault="00411F9A" w:rsidP="00B22E54">
            <w:pPr>
              <w:pStyle w:val="TableText"/>
            </w:pPr>
            <w:r w:rsidRPr="00AE3FC7">
              <w:rPr>
                <w:rFonts w:eastAsia="Calibri"/>
              </w:rPr>
              <w:t>Sponsor assumption</w:t>
            </w:r>
          </w:p>
        </w:tc>
        <w:tc>
          <w:tcPr>
            <w:tcW w:w="2607" w:type="pct"/>
            <w:vMerge w:val="restart"/>
            <w:vAlign w:val="center"/>
          </w:tcPr>
          <w:p w14:paraId="0C21F80F" w14:textId="5671024D" w:rsidR="00411F9A" w:rsidRPr="00AE3FC7" w:rsidRDefault="00B22E54" w:rsidP="00B22E54">
            <w:pPr>
              <w:pStyle w:val="TableText"/>
              <w:rPr>
                <w:rFonts w:eastAsia="Calibri"/>
              </w:rPr>
            </w:pPr>
            <w:r w:rsidRPr="00AE3FC7">
              <w:rPr>
                <w:rFonts w:eastAsia="Calibri"/>
              </w:rPr>
              <w:t xml:space="preserve">The </w:t>
            </w:r>
            <w:r w:rsidR="00411F9A" w:rsidRPr="00AE3FC7">
              <w:rPr>
                <w:rFonts w:eastAsia="Calibri"/>
              </w:rPr>
              <w:t xml:space="preserve">DUSC </w:t>
            </w:r>
            <w:r w:rsidRPr="00AE3FC7">
              <w:rPr>
                <w:rFonts w:eastAsia="Calibri"/>
              </w:rPr>
              <w:t xml:space="preserve">considered </w:t>
            </w:r>
            <w:r w:rsidR="00411F9A" w:rsidRPr="00AE3FC7">
              <w:rPr>
                <w:rFonts w:eastAsia="Calibri"/>
              </w:rPr>
              <w:t xml:space="preserve">that the fixed duration population is likely to be higher due to </w:t>
            </w:r>
            <w:r w:rsidRPr="00AE3FC7">
              <w:rPr>
                <w:rFonts w:eastAsia="Calibri"/>
              </w:rPr>
              <w:t xml:space="preserve">limitations in the </w:t>
            </w:r>
            <w:r w:rsidR="00411F9A" w:rsidRPr="00AE3FC7">
              <w:rPr>
                <w:rFonts w:eastAsia="Calibri"/>
              </w:rPr>
              <w:t>access to testing to determine plaque clearance or willingness to test. Th</w:t>
            </w:r>
            <w:r w:rsidR="00874E95" w:rsidRPr="00AE3FC7">
              <w:rPr>
                <w:rFonts w:eastAsia="Calibri"/>
              </w:rPr>
              <w:t xml:space="preserve">e submission </w:t>
            </w:r>
            <w:r w:rsidR="00411F9A" w:rsidRPr="00AE3FC7">
              <w:rPr>
                <w:rFonts w:eastAsia="Calibri"/>
              </w:rPr>
              <w:t>assume</w:t>
            </w:r>
            <w:r w:rsidR="00874E95" w:rsidRPr="00AE3FC7">
              <w:rPr>
                <w:rFonts w:eastAsia="Calibri"/>
              </w:rPr>
              <w:t>d</w:t>
            </w:r>
            <w:r w:rsidR="00411F9A" w:rsidRPr="00AE3FC7">
              <w:rPr>
                <w:rFonts w:eastAsia="Calibri"/>
              </w:rPr>
              <w:t xml:space="preserve"> access to PET scans (assumption of 1.38 PET scans per person per year in treat-to-clear only) for monitoring </w:t>
            </w:r>
            <w:r w:rsidR="00874E95" w:rsidRPr="00AE3FC7">
              <w:rPr>
                <w:rFonts w:eastAsia="Calibri"/>
              </w:rPr>
              <w:t xml:space="preserve">would </w:t>
            </w:r>
            <w:r w:rsidR="00411F9A" w:rsidRPr="00AE3FC7">
              <w:rPr>
                <w:rFonts w:eastAsia="Calibri"/>
              </w:rPr>
              <w:t xml:space="preserve">not </w:t>
            </w:r>
            <w:r w:rsidR="00874E95" w:rsidRPr="00AE3FC7">
              <w:rPr>
                <w:rFonts w:eastAsia="Calibri"/>
              </w:rPr>
              <w:t xml:space="preserve">be </w:t>
            </w:r>
            <w:r w:rsidR="00411F9A" w:rsidRPr="00AE3FC7">
              <w:rPr>
                <w:rFonts w:eastAsia="Calibri"/>
              </w:rPr>
              <w:t>impacted by demand for eligibility testing.</w:t>
            </w:r>
          </w:p>
          <w:p w14:paraId="4681BF3F" w14:textId="1972B661" w:rsidR="00D64E4F" w:rsidRPr="00AE3FC7" w:rsidRDefault="00D64E4F" w:rsidP="00B22E54">
            <w:pPr>
              <w:pStyle w:val="TableText"/>
            </w:pPr>
            <w:r w:rsidRPr="00AE3FC7">
              <w:t>The DUSC noted that varying the ratio of treat-to</w:t>
            </w:r>
            <w:r w:rsidR="003F79FC">
              <w:t>-</w:t>
            </w:r>
            <w:r w:rsidRPr="00AE3FC7">
              <w:t>clear strategy compared to fixed treatment duration does not lead to substantial variations in total costs</w:t>
            </w:r>
            <w:r w:rsidR="001233E4" w:rsidRPr="00AE3FC7">
              <w:t xml:space="preserve">. However, </w:t>
            </w:r>
            <w:r w:rsidRPr="00AE3FC7">
              <w:t xml:space="preserve">a higher proportion of patients following a treat-to-clear strategy will incur higher MBS costs (and lower PBS cost </w:t>
            </w:r>
            <w:r w:rsidR="001233E4" w:rsidRPr="00AE3FC7">
              <w:t>if</w:t>
            </w:r>
            <w:r w:rsidRPr="00AE3FC7">
              <w:t xml:space="preserve"> treatment is discontinued), while </w:t>
            </w:r>
            <w:r w:rsidR="001233E4" w:rsidRPr="00AE3FC7">
              <w:t xml:space="preserve">a </w:t>
            </w:r>
            <w:r w:rsidRPr="00AE3FC7">
              <w:t>higher proportion of patients following a fixed dose strategy will incur higher PBS cost (an</w:t>
            </w:r>
            <w:r w:rsidR="001233E4" w:rsidRPr="00AE3FC7">
              <w:t>d</w:t>
            </w:r>
            <w:r w:rsidRPr="00AE3FC7">
              <w:t xml:space="preserve"> lower MBS cost</w:t>
            </w:r>
            <w:r w:rsidR="001233E4" w:rsidRPr="00AE3FC7">
              <w:t>s</w:t>
            </w:r>
            <w:r w:rsidRPr="00AE3FC7">
              <w:t>).</w:t>
            </w:r>
          </w:p>
        </w:tc>
      </w:tr>
      <w:tr w:rsidR="00411F9A" w:rsidRPr="00AE3FC7" w14:paraId="5FBDFD80" w14:textId="77777777" w:rsidTr="00AE3FC7">
        <w:tc>
          <w:tcPr>
            <w:tcW w:w="950" w:type="pct"/>
            <w:vAlign w:val="center"/>
          </w:tcPr>
          <w:p w14:paraId="0D957F2F" w14:textId="77777777" w:rsidR="00411F9A" w:rsidRPr="00AE3FC7" w:rsidRDefault="00411F9A" w:rsidP="00B22E54">
            <w:pPr>
              <w:widowControl w:val="0"/>
              <w:spacing w:before="0" w:after="0"/>
              <w:jc w:val="left"/>
              <w:rPr>
                <w:rFonts w:ascii="Arial Narrow" w:eastAsia="Calibri" w:hAnsi="Arial Narrow"/>
                <w:sz w:val="20"/>
              </w:rPr>
            </w:pPr>
            <w:r w:rsidRPr="00AE3FC7">
              <w:rPr>
                <w:rFonts w:ascii="Arial Narrow" w:eastAsia="Calibri" w:hAnsi="Arial Narrow"/>
                <w:sz w:val="20"/>
              </w:rPr>
              <w:t>Incident patients</w:t>
            </w:r>
          </w:p>
          <w:p w14:paraId="781C6382" w14:textId="3B3CF3FC" w:rsidR="00411F9A" w:rsidRPr="00AE3FC7" w:rsidRDefault="00411F9A" w:rsidP="00B22E54">
            <w:pPr>
              <w:pStyle w:val="TableText"/>
            </w:pPr>
            <w:r w:rsidRPr="00AE3FC7">
              <w:rPr>
                <w:rFonts w:eastAsia="Calibri"/>
              </w:rPr>
              <w:t>Full duration</w:t>
            </w:r>
          </w:p>
        </w:tc>
        <w:tc>
          <w:tcPr>
            <w:tcW w:w="1443" w:type="pct"/>
            <w:vAlign w:val="center"/>
          </w:tcPr>
          <w:p w14:paraId="2C68D015" w14:textId="1CF32F6F" w:rsidR="00411F9A" w:rsidRPr="008F42F2"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1: </w:t>
            </w:r>
            <w:r w:rsidR="00CD4EA9" w:rsidRPr="00CD4EA9">
              <w:rPr>
                <w:rFonts w:ascii="Arial Narrow" w:eastAsia="Calibri" w:hAnsi="Arial Narrow"/>
                <w:color w:val="000000"/>
                <w:spacing w:val="51"/>
                <w:sz w:val="20"/>
                <w:shd w:val="solid" w:color="000000" w:fill="000000"/>
                <w:fitText w:val="324" w:id="-632121343"/>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43"/>
                <w14:textFill>
                  <w14:solidFill>
                    <w14:srgbClr w14:val="000000">
                      <w14:alpha w14:val="100000"/>
                    </w14:srgbClr>
                  </w14:solidFill>
                </w14:textFill>
              </w:rPr>
              <w:t>|</w:t>
            </w:r>
            <w:r w:rsidR="008F42F2">
              <w:rPr>
                <w:rFonts w:ascii="Arial Narrow" w:eastAsia="Calibri" w:hAnsi="Arial Narrow"/>
                <w:sz w:val="20"/>
                <w:vertAlign w:val="superscript"/>
              </w:rPr>
              <w:t>1</w:t>
            </w:r>
          </w:p>
          <w:p w14:paraId="4C037EAF" w14:textId="2500010E" w:rsidR="00411F9A" w:rsidRPr="008F42F2"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2: </w:t>
            </w:r>
            <w:r w:rsidR="00CD4EA9" w:rsidRPr="00CD4EA9">
              <w:rPr>
                <w:rFonts w:ascii="Arial Narrow" w:eastAsia="Calibri" w:hAnsi="Arial Narrow"/>
                <w:color w:val="000000"/>
                <w:spacing w:val="51"/>
                <w:sz w:val="20"/>
                <w:shd w:val="solid" w:color="000000" w:fill="000000"/>
                <w:fitText w:val="324" w:id="-632121342"/>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42"/>
                <w14:textFill>
                  <w14:solidFill>
                    <w14:srgbClr w14:val="000000">
                      <w14:alpha w14:val="100000"/>
                    </w14:srgbClr>
                  </w14:solidFill>
                </w14:textFill>
              </w:rPr>
              <w:t>|</w:t>
            </w:r>
            <w:r w:rsidR="008F42F2">
              <w:rPr>
                <w:rFonts w:ascii="Arial Narrow" w:eastAsia="Calibri" w:hAnsi="Arial Narrow"/>
                <w:sz w:val="20"/>
                <w:vertAlign w:val="superscript"/>
              </w:rPr>
              <w:t>1</w:t>
            </w:r>
          </w:p>
          <w:p w14:paraId="3D1FDD3C" w14:textId="203FDCBF" w:rsidR="00411F9A" w:rsidRPr="007C6EA3"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3: </w:t>
            </w:r>
            <w:r w:rsidR="00CD4EA9" w:rsidRPr="00CD4EA9">
              <w:rPr>
                <w:rFonts w:ascii="Arial Narrow" w:eastAsia="Calibri" w:hAnsi="Arial Narrow"/>
                <w:color w:val="000000"/>
                <w:spacing w:val="51"/>
                <w:sz w:val="20"/>
                <w:shd w:val="solid" w:color="000000" w:fill="000000"/>
                <w:fitText w:val="324" w:id="-632121341"/>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41"/>
                <w14:textFill>
                  <w14:solidFill>
                    <w14:srgbClr w14:val="000000">
                      <w14:alpha w14:val="100000"/>
                    </w14:srgbClr>
                  </w14:solidFill>
                </w14:textFill>
              </w:rPr>
              <w:t>|</w:t>
            </w:r>
            <w:r w:rsidR="007C6EA3">
              <w:rPr>
                <w:rFonts w:ascii="Arial Narrow" w:eastAsia="Calibri" w:hAnsi="Arial Narrow"/>
                <w:sz w:val="20"/>
                <w:vertAlign w:val="superscript"/>
              </w:rPr>
              <w:t>2</w:t>
            </w:r>
          </w:p>
          <w:p w14:paraId="0A772296" w14:textId="5347C7D7" w:rsidR="00411F9A" w:rsidRPr="007C6EA3"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4: </w:t>
            </w:r>
            <w:r w:rsidR="00CD4EA9" w:rsidRPr="00CD4EA9">
              <w:rPr>
                <w:rFonts w:ascii="Arial Narrow" w:eastAsia="Calibri" w:hAnsi="Arial Narrow"/>
                <w:color w:val="000000"/>
                <w:spacing w:val="51"/>
                <w:sz w:val="20"/>
                <w:shd w:val="solid" w:color="000000" w:fill="000000"/>
                <w:fitText w:val="324" w:id="-632121340"/>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40"/>
                <w14:textFill>
                  <w14:solidFill>
                    <w14:srgbClr w14:val="000000">
                      <w14:alpha w14:val="100000"/>
                    </w14:srgbClr>
                  </w14:solidFill>
                </w14:textFill>
              </w:rPr>
              <w:t>|</w:t>
            </w:r>
            <w:r w:rsidR="007C6EA3">
              <w:rPr>
                <w:rFonts w:ascii="Arial Narrow" w:eastAsia="Calibri" w:hAnsi="Arial Narrow"/>
                <w:sz w:val="20"/>
                <w:vertAlign w:val="superscript"/>
              </w:rPr>
              <w:t>2</w:t>
            </w:r>
          </w:p>
          <w:p w14:paraId="17769B87" w14:textId="5DEE727D" w:rsidR="00411F9A" w:rsidRPr="00DE2D3A"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5: </w:t>
            </w:r>
            <w:r w:rsidR="00CD4EA9" w:rsidRPr="00CD4EA9">
              <w:rPr>
                <w:rFonts w:ascii="Arial Narrow" w:eastAsia="Calibri" w:hAnsi="Arial Narrow"/>
                <w:color w:val="000000"/>
                <w:spacing w:val="51"/>
                <w:sz w:val="20"/>
                <w:shd w:val="solid" w:color="000000" w:fill="000000"/>
                <w:fitText w:val="324" w:id="-632121339"/>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9"/>
                <w14:textFill>
                  <w14:solidFill>
                    <w14:srgbClr w14:val="000000">
                      <w14:alpha w14:val="100000"/>
                    </w14:srgbClr>
                  </w14:solidFill>
                </w14:textFill>
              </w:rPr>
              <w:t>|</w:t>
            </w:r>
            <w:r w:rsidR="00DE2D3A">
              <w:rPr>
                <w:rFonts w:ascii="Arial Narrow" w:eastAsia="Calibri" w:hAnsi="Arial Narrow"/>
                <w:sz w:val="20"/>
                <w:vertAlign w:val="superscript"/>
              </w:rPr>
              <w:t>3</w:t>
            </w:r>
          </w:p>
          <w:p w14:paraId="0FE4BC13" w14:textId="42A10CAB" w:rsidR="00411F9A" w:rsidRPr="00DE2D3A" w:rsidRDefault="00411F9A" w:rsidP="00B22E54">
            <w:pPr>
              <w:pStyle w:val="TableText"/>
              <w:rPr>
                <w:rFonts w:eastAsia="Calibri"/>
                <w:vertAlign w:val="superscript"/>
              </w:rPr>
            </w:pPr>
            <w:r w:rsidRPr="00AE3FC7">
              <w:rPr>
                <w:rFonts w:eastAsia="Calibri"/>
              </w:rPr>
              <w:t xml:space="preserve">Yr 6: </w:t>
            </w:r>
            <w:r w:rsidR="00CD4EA9" w:rsidRPr="00CD4EA9">
              <w:rPr>
                <w:rFonts w:eastAsia="Calibri"/>
                <w:color w:val="000000"/>
                <w:spacing w:val="51"/>
                <w:shd w:val="solid" w:color="000000" w:fill="000000"/>
                <w:fitText w:val="324" w:id="-632121338"/>
                <w14:textFill>
                  <w14:solidFill>
                    <w14:srgbClr w14:val="000000">
                      <w14:alpha w14:val="100000"/>
                    </w14:srgbClr>
                  </w14:solidFill>
                </w14:textFill>
              </w:rPr>
              <w:t>|||</w:t>
            </w:r>
            <w:r w:rsidR="00CD4EA9" w:rsidRPr="00CD4EA9">
              <w:rPr>
                <w:rFonts w:eastAsia="Calibri"/>
                <w:color w:val="000000"/>
                <w:spacing w:val="1"/>
                <w:shd w:val="solid" w:color="000000" w:fill="000000"/>
                <w:fitText w:val="324" w:id="-632121338"/>
                <w14:textFill>
                  <w14:solidFill>
                    <w14:srgbClr w14:val="000000">
                      <w14:alpha w14:val="100000"/>
                    </w14:srgbClr>
                  </w14:solidFill>
                </w14:textFill>
              </w:rPr>
              <w:t>|</w:t>
            </w:r>
            <w:r w:rsidR="00DE2D3A">
              <w:rPr>
                <w:rFonts w:eastAsia="Calibri"/>
                <w:vertAlign w:val="superscript"/>
              </w:rPr>
              <w:t>3</w:t>
            </w:r>
          </w:p>
          <w:p w14:paraId="6B20655B" w14:textId="77777777" w:rsidR="00411F9A" w:rsidRPr="00AE3FC7" w:rsidRDefault="00411F9A" w:rsidP="00B22E54">
            <w:pPr>
              <w:widowControl w:val="0"/>
              <w:spacing w:before="0" w:after="0"/>
              <w:jc w:val="left"/>
              <w:rPr>
                <w:rFonts w:ascii="Arial Narrow" w:eastAsia="Calibri" w:hAnsi="Arial Narrow"/>
                <w:sz w:val="20"/>
              </w:rPr>
            </w:pPr>
            <w:r w:rsidRPr="00AE3FC7">
              <w:rPr>
                <w:rFonts w:ascii="Arial Narrow" w:eastAsia="Calibri" w:hAnsi="Arial Narrow"/>
                <w:sz w:val="20"/>
              </w:rPr>
              <w:t>60% of eligible patients</w:t>
            </w:r>
          </w:p>
          <w:p w14:paraId="74227653" w14:textId="54DD359D" w:rsidR="00411F9A" w:rsidRPr="00AE3FC7" w:rsidRDefault="00411F9A" w:rsidP="00B22E54">
            <w:pPr>
              <w:pStyle w:val="TableText"/>
            </w:pPr>
            <w:r w:rsidRPr="00AE3FC7">
              <w:rPr>
                <w:rFonts w:eastAsia="Calibri"/>
              </w:rPr>
              <w:t>Sponsor assumption</w:t>
            </w:r>
          </w:p>
        </w:tc>
        <w:tc>
          <w:tcPr>
            <w:tcW w:w="2607" w:type="pct"/>
            <w:vMerge/>
            <w:vAlign w:val="center"/>
          </w:tcPr>
          <w:p w14:paraId="692230FB" w14:textId="44232C65" w:rsidR="00411F9A" w:rsidRPr="00AE3FC7" w:rsidRDefault="00411F9A" w:rsidP="00B22E54">
            <w:pPr>
              <w:pStyle w:val="TableText"/>
            </w:pPr>
          </w:p>
        </w:tc>
      </w:tr>
      <w:tr w:rsidR="00411F9A" w:rsidRPr="00AE3FC7" w14:paraId="291A44FC" w14:textId="77777777" w:rsidTr="00AE3FC7">
        <w:tc>
          <w:tcPr>
            <w:tcW w:w="950" w:type="pct"/>
            <w:vAlign w:val="center"/>
          </w:tcPr>
          <w:p w14:paraId="1F1540F0" w14:textId="26B91282" w:rsidR="00411F9A" w:rsidRPr="00AE3FC7" w:rsidRDefault="00411F9A" w:rsidP="00B22E54">
            <w:pPr>
              <w:pStyle w:val="TableText"/>
            </w:pPr>
            <w:r w:rsidRPr="00AE3FC7">
              <w:rPr>
                <w:rFonts w:eastAsia="Calibri"/>
              </w:rPr>
              <w:t>Total patients</w:t>
            </w:r>
          </w:p>
        </w:tc>
        <w:tc>
          <w:tcPr>
            <w:tcW w:w="1443" w:type="pct"/>
            <w:vAlign w:val="center"/>
          </w:tcPr>
          <w:p w14:paraId="7BBCB466" w14:textId="545AF833" w:rsidR="00411F9A" w:rsidRPr="007C6EA3"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1: </w:t>
            </w:r>
            <w:r w:rsidR="00CD4EA9" w:rsidRPr="00CD4EA9">
              <w:rPr>
                <w:rFonts w:ascii="Arial Narrow" w:eastAsia="Calibri" w:hAnsi="Arial Narrow"/>
                <w:color w:val="000000"/>
                <w:spacing w:val="51"/>
                <w:sz w:val="20"/>
                <w:shd w:val="solid" w:color="000000" w:fill="000000"/>
                <w:fitText w:val="324" w:id="-632121337"/>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7"/>
                <w14:textFill>
                  <w14:solidFill>
                    <w14:srgbClr w14:val="000000">
                      <w14:alpha w14:val="100000"/>
                    </w14:srgbClr>
                  </w14:solidFill>
                </w14:textFill>
              </w:rPr>
              <w:t>|</w:t>
            </w:r>
            <w:r w:rsidR="007C6EA3">
              <w:rPr>
                <w:rFonts w:ascii="Arial Narrow" w:eastAsia="Calibri" w:hAnsi="Arial Narrow"/>
                <w:sz w:val="20"/>
                <w:vertAlign w:val="superscript"/>
              </w:rPr>
              <w:t>2</w:t>
            </w:r>
          </w:p>
          <w:p w14:paraId="1161B9C6" w14:textId="0A8D5578" w:rsidR="00411F9A" w:rsidRPr="007C6EA3"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2: </w:t>
            </w:r>
            <w:r w:rsidR="00CD4EA9" w:rsidRPr="00CD4EA9">
              <w:rPr>
                <w:rFonts w:ascii="Arial Narrow" w:eastAsia="Calibri" w:hAnsi="Arial Narrow"/>
                <w:color w:val="000000"/>
                <w:spacing w:val="51"/>
                <w:sz w:val="20"/>
                <w:shd w:val="solid" w:color="000000" w:fill="000000"/>
                <w:fitText w:val="324" w:id="-632121336"/>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6"/>
                <w14:textFill>
                  <w14:solidFill>
                    <w14:srgbClr w14:val="000000">
                      <w14:alpha w14:val="100000"/>
                    </w14:srgbClr>
                  </w14:solidFill>
                </w14:textFill>
              </w:rPr>
              <w:t>|</w:t>
            </w:r>
            <w:r w:rsidR="007C6EA3">
              <w:rPr>
                <w:rFonts w:ascii="Arial Narrow" w:eastAsia="Calibri" w:hAnsi="Arial Narrow"/>
                <w:sz w:val="20"/>
                <w:vertAlign w:val="superscript"/>
              </w:rPr>
              <w:t>2</w:t>
            </w:r>
          </w:p>
          <w:p w14:paraId="6D209933" w14:textId="2C796DEF" w:rsidR="00411F9A" w:rsidRPr="00DE2D3A"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3: </w:t>
            </w:r>
            <w:r w:rsidR="00CD4EA9" w:rsidRPr="00CD4EA9">
              <w:rPr>
                <w:rFonts w:ascii="Arial Narrow" w:eastAsia="Calibri" w:hAnsi="Arial Narrow"/>
                <w:color w:val="000000"/>
                <w:spacing w:val="51"/>
                <w:sz w:val="20"/>
                <w:shd w:val="solid" w:color="000000" w:fill="000000"/>
                <w:fitText w:val="324" w:id="-632121335"/>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5"/>
                <w14:textFill>
                  <w14:solidFill>
                    <w14:srgbClr w14:val="000000">
                      <w14:alpha w14:val="100000"/>
                    </w14:srgbClr>
                  </w14:solidFill>
                </w14:textFill>
              </w:rPr>
              <w:t>|</w:t>
            </w:r>
            <w:r w:rsidR="00DE2D3A">
              <w:rPr>
                <w:rFonts w:ascii="Arial Narrow" w:eastAsia="Calibri" w:hAnsi="Arial Narrow"/>
                <w:sz w:val="20"/>
                <w:vertAlign w:val="superscript"/>
              </w:rPr>
              <w:t>3</w:t>
            </w:r>
          </w:p>
          <w:p w14:paraId="16A2232E" w14:textId="7769D4C9" w:rsidR="00411F9A" w:rsidRPr="00EC6F94"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4: </w:t>
            </w:r>
            <w:r w:rsidR="00CD4EA9" w:rsidRPr="00CD4EA9">
              <w:rPr>
                <w:rFonts w:ascii="Arial Narrow" w:eastAsia="Calibri" w:hAnsi="Arial Narrow"/>
                <w:color w:val="000000"/>
                <w:spacing w:val="51"/>
                <w:sz w:val="20"/>
                <w:shd w:val="solid" w:color="000000" w:fill="000000"/>
                <w:fitText w:val="324" w:id="-632121334"/>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4"/>
                <w14:textFill>
                  <w14:solidFill>
                    <w14:srgbClr w14:val="000000">
                      <w14:alpha w14:val="100000"/>
                    </w14:srgbClr>
                  </w14:solidFill>
                </w14:textFill>
              </w:rPr>
              <w:t>|</w:t>
            </w:r>
            <w:r w:rsidR="00EC6F94">
              <w:rPr>
                <w:rFonts w:ascii="Arial Narrow" w:eastAsia="Calibri" w:hAnsi="Arial Narrow"/>
                <w:sz w:val="20"/>
                <w:vertAlign w:val="superscript"/>
              </w:rPr>
              <w:t>4</w:t>
            </w:r>
          </w:p>
          <w:p w14:paraId="652C53AE" w14:textId="427CAF0F" w:rsidR="00411F9A" w:rsidRPr="00EE4AD0" w:rsidRDefault="00411F9A"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5: </w:t>
            </w:r>
            <w:r w:rsidR="00CD4EA9" w:rsidRPr="00CD4EA9">
              <w:rPr>
                <w:rFonts w:ascii="Arial Narrow" w:eastAsia="Calibri" w:hAnsi="Arial Narrow"/>
                <w:color w:val="000000"/>
                <w:spacing w:val="51"/>
                <w:sz w:val="20"/>
                <w:shd w:val="solid" w:color="000000" w:fill="000000"/>
                <w:fitText w:val="324" w:id="-632121333"/>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33"/>
                <w14:textFill>
                  <w14:solidFill>
                    <w14:srgbClr w14:val="000000">
                      <w14:alpha w14:val="100000"/>
                    </w14:srgbClr>
                  </w14:solidFill>
                </w14:textFill>
              </w:rPr>
              <w:t>|</w:t>
            </w:r>
            <w:r w:rsidR="00EE4AD0">
              <w:rPr>
                <w:rFonts w:ascii="Arial Narrow" w:eastAsia="Calibri" w:hAnsi="Arial Narrow"/>
                <w:sz w:val="20"/>
                <w:vertAlign w:val="superscript"/>
              </w:rPr>
              <w:t>5</w:t>
            </w:r>
          </w:p>
          <w:p w14:paraId="0D68FC0D" w14:textId="663B0AE6" w:rsidR="00411F9A" w:rsidRPr="00322B48" w:rsidRDefault="00411F9A" w:rsidP="00B22E54">
            <w:pPr>
              <w:pStyle w:val="TableText"/>
              <w:rPr>
                <w:vertAlign w:val="superscript"/>
              </w:rPr>
            </w:pPr>
            <w:r w:rsidRPr="00AE3FC7">
              <w:rPr>
                <w:rFonts w:eastAsia="Calibri"/>
              </w:rPr>
              <w:t xml:space="preserve">Yr 6: </w:t>
            </w:r>
            <w:r w:rsidR="00CD4EA9" w:rsidRPr="00CD4EA9">
              <w:rPr>
                <w:rFonts w:eastAsia="Calibri"/>
                <w:color w:val="000000"/>
                <w:spacing w:val="51"/>
                <w:shd w:val="solid" w:color="000000" w:fill="000000"/>
                <w:fitText w:val="324" w:id="-632121332"/>
                <w14:textFill>
                  <w14:solidFill>
                    <w14:srgbClr w14:val="000000">
                      <w14:alpha w14:val="100000"/>
                    </w14:srgbClr>
                  </w14:solidFill>
                </w14:textFill>
              </w:rPr>
              <w:t>|||</w:t>
            </w:r>
            <w:r w:rsidR="00CD4EA9" w:rsidRPr="00CD4EA9">
              <w:rPr>
                <w:rFonts w:eastAsia="Calibri"/>
                <w:color w:val="000000"/>
                <w:spacing w:val="1"/>
                <w:shd w:val="solid" w:color="000000" w:fill="000000"/>
                <w:fitText w:val="324" w:id="-632121332"/>
                <w14:textFill>
                  <w14:solidFill>
                    <w14:srgbClr w14:val="000000">
                      <w14:alpha w14:val="100000"/>
                    </w14:srgbClr>
                  </w14:solidFill>
                </w14:textFill>
              </w:rPr>
              <w:t>|</w:t>
            </w:r>
            <w:r w:rsidR="00322B48">
              <w:rPr>
                <w:rFonts w:eastAsia="Calibri"/>
                <w:vertAlign w:val="superscript"/>
              </w:rPr>
              <w:t>6</w:t>
            </w:r>
          </w:p>
        </w:tc>
        <w:tc>
          <w:tcPr>
            <w:tcW w:w="2607" w:type="pct"/>
          </w:tcPr>
          <w:p w14:paraId="543AA6E0" w14:textId="5DB9E94A" w:rsidR="00411F9A" w:rsidRPr="00AE3FC7" w:rsidRDefault="00874E95" w:rsidP="00B22E54">
            <w:pPr>
              <w:widowControl w:val="0"/>
              <w:spacing w:before="0" w:after="0"/>
              <w:jc w:val="left"/>
              <w:rPr>
                <w:rFonts w:ascii="Arial Narrow" w:eastAsia="Calibri" w:hAnsi="Arial Narrow"/>
                <w:sz w:val="20"/>
              </w:rPr>
            </w:pPr>
            <w:r w:rsidRPr="00AE3FC7">
              <w:rPr>
                <w:rFonts w:ascii="Arial Narrow" w:eastAsia="Calibri" w:hAnsi="Arial Narrow"/>
                <w:sz w:val="20"/>
              </w:rPr>
              <w:t xml:space="preserve">The submission </w:t>
            </w:r>
            <w:r w:rsidR="00411F9A" w:rsidRPr="00AE3FC7">
              <w:rPr>
                <w:rFonts w:ascii="Arial Narrow" w:eastAsia="Calibri" w:hAnsi="Arial Narrow"/>
                <w:sz w:val="20"/>
              </w:rPr>
              <w:t>assum</w:t>
            </w:r>
            <w:r w:rsidRPr="00AE3FC7">
              <w:rPr>
                <w:rFonts w:ascii="Arial Narrow" w:eastAsia="Calibri" w:hAnsi="Arial Narrow"/>
                <w:sz w:val="20"/>
              </w:rPr>
              <w:t>ed</w:t>
            </w:r>
            <w:r w:rsidR="004640AE" w:rsidRPr="00AE3FC7">
              <w:rPr>
                <w:rFonts w:ascii="Arial Narrow" w:eastAsia="Calibri" w:hAnsi="Arial Narrow"/>
                <w:sz w:val="20"/>
              </w:rPr>
              <w:t xml:space="preserve"> a </w:t>
            </w:r>
            <w:r w:rsidR="004640AE" w:rsidRPr="00C72E05">
              <w:rPr>
                <w:rFonts w:ascii="Arial Narrow" w:eastAsia="Calibri" w:hAnsi="Arial Narrow"/>
                <w:sz w:val="20"/>
              </w:rPr>
              <w:t>constant</w:t>
            </w:r>
            <w:r w:rsidR="00411F9A" w:rsidRPr="00C72E05">
              <w:rPr>
                <w:rFonts w:ascii="Arial Narrow" w:eastAsia="Calibri" w:hAnsi="Arial Narrow"/>
                <w:sz w:val="20"/>
              </w:rPr>
              <w:t xml:space="preserve"> 8% growth in number of patients per clinic/day rate</w:t>
            </w:r>
            <w:r w:rsidR="009766F4" w:rsidRPr="00C72E05">
              <w:rPr>
                <w:rFonts w:ascii="Arial Narrow" w:eastAsia="Calibri" w:hAnsi="Arial Narrow"/>
                <w:sz w:val="20"/>
              </w:rPr>
              <w:t xml:space="preserve">, </w:t>
            </w:r>
            <w:r w:rsidR="00411F9A" w:rsidRPr="00C72E05">
              <w:rPr>
                <w:rFonts w:ascii="Arial Narrow" w:eastAsia="Calibri" w:hAnsi="Arial Narrow"/>
                <w:sz w:val="20"/>
              </w:rPr>
              <w:t>6.4% growth in number</w:t>
            </w:r>
            <w:r w:rsidR="00411F9A" w:rsidRPr="00AE3FC7">
              <w:rPr>
                <w:rFonts w:ascii="Arial Narrow" w:eastAsia="Calibri" w:hAnsi="Arial Narrow"/>
                <w:sz w:val="20"/>
              </w:rPr>
              <w:t xml:space="preserve"> of new clinics constant over time</w:t>
            </w:r>
            <w:r w:rsidR="009766F4" w:rsidRPr="00AE3FC7">
              <w:rPr>
                <w:rFonts w:ascii="Arial Narrow" w:eastAsia="Calibri" w:hAnsi="Arial Narrow"/>
                <w:sz w:val="20"/>
              </w:rPr>
              <w:t>,</w:t>
            </w:r>
            <w:r w:rsidR="00411F9A" w:rsidRPr="00AE3FC7">
              <w:rPr>
                <w:rFonts w:ascii="Arial Narrow" w:eastAsia="Calibri" w:hAnsi="Arial Narrow"/>
                <w:sz w:val="20"/>
              </w:rPr>
              <w:t xml:space="preserve"> and constant split between public/private</w:t>
            </w:r>
            <w:r w:rsidR="009766F4" w:rsidRPr="00AE3FC7">
              <w:rPr>
                <w:rFonts w:ascii="Arial Narrow" w:eastAsia="Calibri" w:hAnsi="Arial Narrow"/>
                <w:sz w:val="20"/>
              </w:rPr>
              <w:t xml:space="preserve"> </w:t>
            </w:r>
            <w:r w:rsidR="000D6325" w:rsidRPr="00AE3FC7">
              <w:rPr>
                <w:rFonts w:ascii="Arial Narrow" w:eastAsia="Calibri" w:hAnsi="Arial Narrow"/>
                <w:sz w:val="20"/>
              </w:rPr>
              <w:t xml:space="preserve">(47%:53%) </w:t>
            </w:r>
            <w:r w:rsidR="009766F4" w:rsidRPr="00AE3FC7">
              <w:rPr>
                <w:rFonts w:ascii="Arial Narrow" w:eastAsia="Calibri" w:hAnsi="Arial Narrow"/>
                <w:sz w:val="20"/>
              </w:rPr>
              <w:t>patients</w:t>
            </w:r>
            <w:r w:rsidR="00411F9A" w:rsidRPr="00AE3FC7">
              <w:rPr>
                <w:rFonts w:ascii="Arial Narrow" w:eastAsia="Calibri" w:hAnsi="Arial Narrow"/>
                <w:sz w:val="20"/>
              </w:rPr>
              <w:t xml:space="preserve">. </w:t>
            </w:r>
            <w:r w:rsidR="009766F4" w:rsidRPr="00AE3FC7">
              <w:rPr>
                <w:rFonts w:ascii="Arial Narrow" w:eastAsia="Calibri" w:hAnsi="Arial Narrow"/>
                <w:sz w:val="20"/>
              </w:rPr>
              <w:t xml:space="preserve">The </w:t>
            </w:r>
            <w:r w:rsidR="00411F9A" w:rsidRPr="00AE3FC7">
              <w:rPr>
                <w:rFonts w:ascii="Arial Narrow" w:eastAsia="Calibri" w:hAnsi="Arial Narrow"/>
                <w:sz w:val="20"/>
              </w:rPr>
              <w:t xml:space="preserve">DUSC considered estimates of growth could be underestimated if private clinics are established in </w:t>
            </w:r>
            <w:r w:rsidR="009766F4" w:rsidRPr="00AE3FC7">
              <w:rPr>
                <w:rFonts w:ascii="Arial Narrow" w:eastAsia="Calibri" w:hAnsi="Arial Narrow"/>
                <w:sz w:val="20"/>
              </w:rPr>
              <w:t xml:space="preserve">the </w:t>
            </w:r>
            <w:r w:rsidR="00411F9A" w:rsidRPr="00AE3FC7">
              <w:rPr>
                <w:rFonts w:ascii="Arial Narrow" w:eastAsia="Calibri" w:hAnsi="Arial Narrow"/>
                <w:sz w:val="20"/>
              </w:rPr>
              <w:t>future.</w:t>
            </w:r>
          </w:p>
          <w:p w14:paraId="27010992" w14:textId="3BF3CED2" w:rsidR="00411F9A" w:rsidRPr="00AE3FC7" w:rsidRDefault="000D6325" w:rsidP="00B22E54">
            <w:pPr>
              <w:widowControl w:val="0"/>
              <w:spacing w:before="0" w:after="0"/>
              <w:jc w:val="left"/>
              <w:rPr>
                <w:rFonts w:ascii="Arial Narrow" w:eastAsia="Calibri" w:hAnsi="Arial Narrow"/>
                <w:sz w:val="20"/>
              </w:rPr>
            </w:pPr>
            <w:r w:rsidRPr="00AE3FC7">
              <w:rPr>
                <w:rFonts w:ascii="Arial Narrow" w:eastAsia="Calibri" w:hAnsi="Arial Narrow"/>
                <w:sz w:val="20"/>
              </w:rPr>
              <w:t xml:space="preserve">Further, the </w:t>
            </w:r>
            <w:r w:rsidR="00411F9A" w:rsidRPr="00AE3FC7">
              <w:rPr>
                <w:rFonts w:ascii="Arial Narrow" w:eastAsia="Calibri" w:hAnsi="Arial Narrow"/>
                <w:sz w:val="20"/>
              </w:rPr>
              <w:t xml:space="preserve">DUSC advised the assumption of the </w:t>
            </w:r>
            <w:r w:rsidRPr="00AE3FC7">
              <w:rPr>
                <w:rFonts w:ascii="Arial Narrow" w:eastAsia="Calibri" w:hAnsi="Arial Narrow"/>
                <w:sz w:val="20"/>
              </w:rPr>
              <w:t>public vs</w:t>
            </w:r>
            <w:r w:rsidR="003F79FC">
              <w:rPr>
                <w:rFonts w:ascii="Arial Narrow" w:eastAsia="Calibri" w:hAnsi="Arial Narrow"/>
                <w:sz w:val="20"/>
              </w:rPr>
              <w:t>.</w:t>
            </w:r>
            <w:r w:rsidRPr="00AE3FC7">
              <w:rPr>
                <w:rFonts w:ascii="Arial Narrow" w:eastAsia="Calibri" w:hAnsi="Arial Narrow"/>
                <w:sz w:val="20"/>
              </w:rPr>
              <w:t xml:space="preserve"> private </w:t>
            </w:r>
            <w:r w:rsidR="00411F9A" w:rsidRPr="00AE3FC7">
              <w:rPr>
                <w:rFonts w:ascii="Arial Narrow" w:eastAsia="Calibri" w:hAnsi="Arial Narrow"/>
                <w:sz w:val="20"/>
              </w:rPr>
              <w:t xml:space="preserve">split may have a large impact on numbers of eligible patients and pathology testing stage. </w:t>
            </w:r>
          </w:p>
          <w:p w14:paraId="6DD8DC36" w14:textId="77777777" w:rsidR="00411F9A" w:rsidRPr="00AE3FC7" w:rsidRDefault="00411F9A" w:rsidP="00B22E54">
            <w:pPr>
              <w:widowControl w:val="0"/>
              <w:spacing w:before="0" w:after="0"/>
              <w:jc w:val="left"/>
              <w:rPr>
                <w:rFonts w:ascii="Arial Narrow" w:eastAsia="Calibri" w:hAnsi="Arial Narrow"/>
                <w:sz w:val="20"/>
              </w:rPr>
            </w:pPr>
          </w:p>
          <w:p w14:paraId="0F9A2F6E" w14:textId="5D5561F6" w:rsidR="00411F9A" w:rsidRPr="00AE3FC7" w:rsidRDefault="00853CA8" w:rsidP="00B22E54">
            <w:pPr>
              <w:pStyle w:val="TableText"/>
            </w:pPr>
            <w:r w:rsidRPr="00AE3FC7">
              <w:rPr>
                <w:rFonts w:eastAsia="Calibri"/>
              </w:rPr>
              <w:t xml:space="preserve">The </w:t>
            </w:r>
            <w:r w:rsidR="00411F9A" w:rsidRPr="00AE3FC7">
              <w:rPr>
                <w:rFonts w:eastAsia="Calibri"/>
              </w:rPr>
              <w:t xml:space="preserve">DUSC considered that overall, the number of eligible patients may be underestimated, as </w:t>
            </w:r>
            <w:r w:rsidRPr="00AE3FC7">
              <w:rPr>
                <w:rFonts w:eastAsia="Calibri"/>
              </w:rPr>
              <w:t xml:space="preserve">the submission did </w:t>
            </w:r>
            <w:r w:rsidR="00411F9A" w:rsidRPr="00AE3FC7">
              <w:rPr>
                <w:rFonts w:eastAsia="Calibri"/>
              </w:rPr>
              <w:t>not consider potential for multiple tests per patient over time to test for MCI eligibility, which</w:t>
            </w:r>
            <w:r w:rsidRPr="00AE3FC7">
              <w:rPr>
                <w:rFonts w:eastAsia="Calibri"/>
              </w:rPr>
              <w:t xml:space="preserve"> would</w:t>
            </w:r>
            <w:r w:rsidR="00411F9A" w:rsidRPr="00AE3FC7">
              <w:rPr>
                <w:rFonts w:eastAsia="Calibri"/>
              </w:rPr>
              <w:t xml:space="preserve"> inflate </w:t>
            </w:r>
            <w:r w:rsidRPr="00AE3FC7">
              <w:rPr>
                <w:rFonts w:eastAsia="Calibri"/>
              </w:rPr>
              <w:t xml:space="preserve">the </w:t>
            </w:r>
            <w:r w:rsidR="00411F9A" w:rsidRPr="00AE3FC7">
              <w:rPr>
                <w:rFonts w:eastAsia="Calibri"/>
              </w:rPr>
              <w:t>numbers.</w:t>
            </w:r>
          </w:p>
        </w:tc>
      </w:tr>
      <w:tr w:rsidR="00411F9A" w:rsidRPr="00AE3FC7" w14:paraId="6AE7DD20" w14:textId="77777777" w:rsidTr="00AE3FC7">
        <w:tc>
          <w:tcPr>
            <w:tcW w:w="950" w:type="pct"/>
            <w:vAlign w:val="center"/>
          </w:tcPr>
          <w:p w14:paraId="4FAACFB5" w14:textId="77777777" w:rsidR="00411F9A" w:rsidRPr="00AE3FC7" w:rsidRDefault="00411F9A" w:rsidP="00B22E54">
            <w:pPr>
              <w:pStyle w:val="TableText"/>
            </w:pPr>
            <w:r w:rsidRPr="00AE3FC7">
              <w:t>Uptake rate</w:t>
            </w:r>
          </w:p>
        </w:tc>
        <w:tc>
          <w:tcPr>
            <w:tcW w:w="1443" w:type="pct"/>
            <w:vAlign w:val="center"/>
          </w:tcPr>
          <w:p w14:paraId="66EF36EE" w14:textId="56E08807" w:rsidR="00411F9A" w:rsidRPr="00AE3FC7" w:rsidRDefault="00CD4EA9" w:rsidP="00B22E54">
            <w:pPr>
              <w:pStyle w:val="TableText"/>
            </w:pPr>
            <w:r w:rsidRPr="00CD4EA9">
              <w:rPr>
                <w:color w:val="000000"/>
                <w:spacing w:val="53"/>
                <w:shd w:val="solid" w:color="000000" w:fill="000000"/>
                <w:fitText w:val="330" w:id="-632121331"/>
                <w14:textFill>
                  <w14:solidFill>
                    <w14:srgbClr w14:val="000000">
                      <w14:alpha w14:val="100000"/>
                    </w14:srgbClr>
                  </w14:solidFill>
                </w14:textFill>
              </w:rPr>
              <w:t>|||</w:t>
            </w:r>
            <w:r w:rsidRPr="00CD4EA9">
              <w:rPr>
                <w:color w:val="000000"/>
                <w:spacing w:val="1"/>
                <w:shd w:val="solid" w:color="000000" w:fill="000000"/>
                <w:fitText w:val="330" w:id="-632121331"/>
                <w14:textFill>
                  <w14:solidFill>
                    <w14:srgbClr w14:val="000000">
                      <w14:alpha w14:val="100000"/>
                    </w14:srgbClr>
                  </w14:solidFill>
                </w14:textFill>
              </w:rPr>
              <w:t>|</w:t>
            </w:r>
            <w:r w:rsidR="00411F9A" w:rsidRPr="00AE3FC7">
              <w:t>% across all years</w:t>
            </w:r>
          </w:p>
        </w:tc>
        <w:tc>
          <w:tcPr>
            <w:tcW w:w="2607" w:type="pct"/>
            <w:vAlign w:val="center"/>
          </w:tcPr>
          <w:p w14:paraId="021B430C" w14:textId="4E9BCC1C" w:rsidR="00411F9A" w:rsidRPr="00AE3FC7" w:rsidRDefault="00853CA8" w:rsidP="00B22E54">
            <w:pPr>
              <w:pStyle w:val="TableText"/>
            </w:pPr>
            <w:r w:rsidRPr="00AE3FC7">
              <w:t xml:space="preserve">The DUSC considered that </w:t>
            </w:r>
            <w:r w:rsidR="00A84F4E" w:rsidRPr="00AE3FC7">
              <w:t xml:space="preserve">an uptake of </w:t>
            </w:r>
            <w:r w:rsidR="00CD4EA9" w:rsidRPr="00CD4EA9">
              <w:rPr>
                <w:color w:val="000000"/>
                <w:spacing w:val="51"/>
                <w:shd w:val="solid" w:color="000000" w:fill="000000"/>
                <w:fitText w:val="324" w:id="-632121330"/>
                <w14:textFill>
                  <w14:solidFill>
                    <w14:srgbClr w14:val="000000">
                      <w14:alpha w14:val="100000"/>
                    </w14:srgbClr>
                  </w14:solidFill>
                </w14:textFill>
              </w:rPr>
              <w:t>|||</w:t>
            </w:r>
            <w:r w:rsidR="00CD4EA9" w:rsidRPr="00CD4EA9">
              <w:rPr>
                <w:color w:val="000000"/>
                <w:spacing w:val="1"/>
                <w:shd w:val="solid" w:color="000000" w:fill="000000"/>
                <w:fitText w:val="324" w:id="-632121330"/>
                <w14:textFill>
                  <w14:solidFill>
                    <w14:srgbClr w14:val="000000">
                      <w14:alpha w14:val="100000"/>
                    </w14:srgbClr>
                  </w14:solidFill>
                </w14:textFill>
              </w:rPr>
              <w:t>|</w:t>
            </w:r>
            <w:r w:rsidR="00A84F4E" w:rsidRPr="00AE3FC7">
              <w:t xml:space="preserve">% was </w:t>
            </w:r>
            <w:r w:rsidR="00411F9A" w:rsidRPr="00AE3FC7">
              <w:t>overestimated as it assumes that eligibility and uptake are the same thing. It does not account for patients who may be eligible but for a variety of reasons do not commence treatment.</w:t>
            </w:r>
            <w:r w:rsidR="0095181E" w:rsidRPr="00AE3FC7">
              <w:t xml:space="preserve"> </w:t>
            </w:r>
          </w:p>
        </w:tc>
      </w:tr>
      <w:tr w:rsidR="00411F9A" w:rsidRPr="00AE3FC7" w14:paraId="5E48DEBA" w14:textId="77777777" w:rsidTr="00AE3FC7">
        <w:tc>
          <w:tcPr>
            <w:tcW w:w="950" w:type="pct"/>
            <w:vAlign w:val="center"/>
          </w:tcPr>
          <w:p w14:paraId="5C1B168D" w14:textId="77777777" w:rsidR="00411F9A" w:rsidRPr="00AE3FC7" w:rsidRDefault="00411F9A" w:rsidP="00B22E54">
            <w:pPr>
              <w:pStyle w:val="TableText"/>
            </w:pPr>
            <w:r w:rsidRPr="00AE3FC7">
              <w:t>Compliance rate</w:t>
            </w:r>
          </w:p>
        </w:tc>
        <w:tc>
          <w:tcPr>
            <w:tcW w:w="1443" w:type="pct"/>
            <w:vAlign w:val="center"/>
          </w:tcPr>
          <w:p w14:paraId="163D0ECB" w14:textId="77777777" w:rsidR="00411F9A" w:rsidRPr="00AE3FC7" w:rsidRDefault="00411F9A" w:rsidP="00B22E54">
            <w:pPr>
              <w:pStyle w:val="TableText"/>
            </w:pPr>
            <w:r w:rsidRPr="00AE3FC7">
              <w:t>Not explicitly stated</w:t>
            </w:r>
          </w:p>
        </w:tc>
        <w:tc>
          <w:tcPr>
            <w:tcW w:w="2607" w:type="pct"/>
            <w:vAlign w:val="center"/>
          </w:tcPr>
          <w:p w14:paraId="3F6D46FB" w14:textId="77777777" w:rsidR="00411F9A" w:rsidRPr="00AE3FC7" w:rsidRDefault="00411F9A" w:rsidP="00B22E54">
            <w:pPr>
              <w:pStyle w:val="TableText"/>
            </w:pPr>
            <w:r w:rsidRPr="00AE3FC7">
              <w:t>The compliance rate has been included in the calculation of the mean duration of treatment in both modes of treatment.</w:t>
            </w:r>
          </w:p>
        </w:tc>
      </w:tr>
      <w:tr w:rsidR="00411F9A" w:rsidRPr="00AE3FC7" w14:paraId="74F60799" w14:textId="77777777" w:rsidTr="00AE3FC7">
        <w:tc>
          <w:tcPr>
            <w:tcW w:w="950" w:type="pct"/>
            <w:vAlign w:val="center"/>
          </w:tcPr>
          <w:p w14:paraId="2C9573B7" w14:textId="77777777" w:rsidR="00411F9A" w:rsidRPr="00AE3FC7" w:rsidRDefault="00411F9A" w:rsidP="00B22E54">
            <w:pPr>
              <w:pStyle w:val="TableText"/>
            </w:pPr>
            <w:r w:rsidRPr="00AE3FC7">
              <w:t>Grandfathered patients</w:t>
            </w:r>
          </w:p>
        </w:tc>
        <w:tc>
          <w:tcPr>
            <w:tcW w:w="1443" w:type="pct"/>
            <w:vAlign w:val="center"/>
          </w:tcPr>
          <w:p w14:paraId="7C850DC4" w14:textId="77777777" w:rsidR="00411F9A" w:rsidRPr="00AE3FC7" w:rsidRDefault="00411F9A" w:rsidP="00B22E54">
            <w:pPr>
              <w:pStyle w:val="TableText"/>
            </w:pPr>
            <w:r w:rsidRPr="00AE3FC7">
              <w:t>Nil</w:t>
            </w:r>
          </w:p>
        </w:tc>
        <w:tc>
          <w:tcPr>
            <w:tcW w:w="2607" w:type="pct"/>
            <w:vAlign w:val="center"/>
          </w:tcPr>
          <w:p w14:paraId="176E13B0" w14:textId="77777777" w:rsidR="00411F9A" w:rsidRPr="00AE3FC7" w:rsidRDefault="00411F9A" w:rsidP="00B22E54">
            <w:pPr>
              <w:pStyle w:val="TableText"/>
            </w:pPr>
            <w:r w:rsidRPr="00AE3FC7">
              <w:t>No grandfathered patients were included in the population as they are assumed to be included in the incident population.</w:t>
            </w:r>
          </w:p>
        </w:tc>
      </w:tr>
      <w:tr w:rsidR="00411F9A" w:rsidRPr="00AE3FC7" w14:paraId="33F300E5" w14:textId="77777777" w:rsidTr="00AE3FC7">
        <w:tc>
          <w:tcPr>
            <w:tcW w:w="950" w:type="pct"/>
            <w:vAlign w:val="center"/>
          </w:tcPr>
          <w:p w14:paraId="1D8E6F6C" w14:textId="77777777" w:rsidR="00411F9A" w:rsidRPr="00AE3FC7" w:rsidRDefault="00411F9A" w:rsidP="00B22E54">
            <w:pPr>
              <w:pStyle w:val="TableText"/>
            </w:pPr>
            <w:r w:rsidRPr="00AE3FC7">
              <w:t>Dose / duration</w:t>
            </w:r>
          </w:p>
        </w:tc>
        <w:tc>
          <w:tcPr>
            <w:tcW w:w="1443" w:type="pct"/>
            <w:vAlign w:val="center"/>
          </w:tcPr>
          <w:p w14:paraId="7C553901" w14:textId="77777777" w:rsidR="00411F9A" w:rsidRPr="00AE3FC7" w:rsidRDefault="00411F9A" w:rsidP="00B22E54">
            <w:pPr>
              <w:pStyle w:val="TableText"/>
            </w:pPr>
            <w:r w:rsidRPr="00AE3FC7">
              <w:t>Treat to clearance – Q4W for 12.1 months</w:t>
            </w:r>
          </w:p>
          <w:p w14:paraId="6C78D319" w14:textId="77777777" w:rsidR="00411F9A" w:rsidRPr="00AE3FC7" w:rsidRDefault="00411F9A" w:rsidP="00B22E54">
            <w:pPr>
              <w:pStyle w:val="TableText"/>
            </w:pPr>
            <w:r w:rsidRPr="00AE3FC7">
              <w:t>Full duration treatment – Q4W 15.4 months</w:t>
            </w:r>
          </w:p>
        </w:tc>
        <w:tc>
          <w:tcPr>
            <w:tcW w:w="2607" w:type="pct"/>
            <w:vAlign w:val="center"/>
          </w:tcPr>
          <w:p w14:paraId="72474A1C" w14:textId="77777777" w:rsidR="00411F9A" w:rsidRPr="00AE3FC7" w:rsidRDefault="00411F9A" w:rsidP="00B22E54">
            <w:pPr>
              <w:pStyle w:val="TableText"/>
            </w:pPr>
            <w:r w:rsidRPr="00AE3FC7">
              <w:t>The submission uses months and Q4W interchangeably which results in the underestimate of the number of administrations required by each patient.</w:t>
            </w:r>
          </w:p>
        </w:tc>
      </w:tr>
      <w:tr w:rsidR="0095181E" w:rsidRPr="00AE3FC7" w14:paraId="49D75CCD" w14:textId="77777777" w:rsidTr="00AE3FC7">
        <w:tc>
          <w:tcPr>
            <w:tcW w:w="950" w:type="pct"/>
            <w:vAlign w:val="center"/>
          </w:tcPr>
          <w:p w14:paraId="0209AEB9" w14:textId="412675DE" w:rsidR="0095181E" w:rsidRPr="00AE3FC7" w:rsidRDefault="0095181E" w:rsidP="00B22E54">
            <w:pPr>
              <w:pStyle w:val="TableText"/>
            </w:pPr>
            <w:r w:rsidRPr="00AE3FC7">
              <w:rPr>
                <w:rFonts w:eastAsia="Calibri"/>
              </w:rPr>
              <w:t>Scripts dispensed</w:t>
            </w:r>
          </w:p>
        </w:tc>
        <w:tc>
          <w:tcPr>
            <w:tcW w:w="1443" w:type="pct"/>
            <w:vAlign w:val="center"/>
          </w:tcPr>
          <w:p w14:paraId="750B147F" w14:textId="457F22CA" w:rsidR="0095181E" w:rsidRPr="00213500" w:rsidRDefault="0095181E"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1: </w:t>
            </w:r>
            <w:r w:rsidR="00CD4EA9" w:rsidRPr="00CD4EA9">
              <w:rPr>
                <w:rFonts w:ascii="Arial Narrow" w:eastAsia="Calibri" w:hAnsi="Arial Narrow"/>
                <w:color w:val="000000"/>
                <w:spacing w:val="51"/>
                <w:sz w:val="20"/>
                <w:shd w:val="solid" w:color="000000" w:fill="000000"/>
                <w:fitText w:val="324" w:id="-632121329"/>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29"/>
                <w14:textFill>
                  <w14:solidFill>
                    <w14:srgbClr w14:val="000000">
                      <w14:alpha w14:val="100000"/>
                    </w14:srgbClr>
                  </w14:solidFill>
                </w14:textFill>
              </w:rPr>
              <w:t>|</w:t>
            </w:r>
            <w:r w:rsidR="00213500">
              <w:rPr>
                <w:rFonts w:ascii="Arial Narrow" w:eastAsia="Calibri" w:hAnsi="Arial Narrow"/>
                <w:sz w:val="20"/>
                <w:vertAlign w:val="superscript"/>
              </w:rPr>
              <w:t>7</w:t>
            </w:r>
          </w:p>
          <w:p w14:paraId="451E3EDA" w14:textId="7340C540" w:rsidR="0095181E" w:rsidRPr="00293C15" w:rsidRDefault="0095181E" w:rsidP="00B22E54">
            <w:pPr>
              <w:widowControl w:val="0"/>
              <w:spacing w:before="0" w:after="0"/>
              <w:jc w:val="left"/>
              <w:rPr>
                <w:rFonts w:ascii="Arial Narrow" w:eastAsia="Calibri" w:hAnsi="Arial Narrow"/>
                <w:sz w:val="20"/>
              </w:rPr>
            </w:pPr>
            <w:r w:rsidRPr="00AE3FC7">
              <w:rPr>
                <w:rFonts w:ascii="Arial Narrow" w:eastAsia="Calibri" w:hAnsi="Arial Narrow"/>
                <w:sz w:val="20"/>
              </w:rPr>
              <w:lastRenderedPageBreak/>
              <w:t xml:space="preserve">Yr 2: </w:t>
            </w:r>
            <w:r w:rsidR="00CD4EA9" w:rsidRPr="00CD4EA9">
              <w:rPr>
                <w:rFonts w:ascii="Arial Narrow" w:eastAsia="Calibri" w:hAnsi="Arial Narrow"/>
                <w:color w:val="000000"/>
                <w:spacing w:val="51"/>
                <w:sz w:val="20"/>
                <w:shd w:val="solid" w:color="000000" w:fill="000000"/>
                <w:fitText w:val="324" w:id="-632121328"/>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28"/>
                <w14:textFill>
                  <w14:solidFill>
                    <w14:srgbClr w14:val="000000">
                      <w14:alpha w14:val="100000"/>
                    </w14:srgbClr>
                  </w14:solidFill>
                </w14:textFill>
              </w:rPr>
              <w:t>|</w:t>
            </w:r>
            <w:r w:rsidR="00293C15">
              <w:rPr>
                <w:rFonts w:ascii="Arial Narrow" w:eastAsia="Calibri" w:hAnsi="Arial Narrow"/>
                <w:sz w:val="20"/>
                <w:vertAlign w:val="superscript"/>
              </w:rPr>
              <w:t>8</w:t>
            </w:r>
          </w:p>
          <w:p w14:paraId="345E0EA2" w14:textId="74D5CD3C" w:rsidR="0095181E" w:rsidRPr="00730C17" w:rsidRDefault="0095181E" w:rsidP="00B22E54">
            <w:pPr>
              <w:widowControl w:val="0"/>
              <w:spacing w:before="0" w:after="0"/>
              <w:jc w:val="left"/>
              <w:rPr>
                <w:rFonts w:ascii="Arial Narrow" w:eastAsia="Calibri" w:hAnsi="Arial Narrow"/>
                <w:sz w:val="20"/>
              </w:rPr>
            </w:pPr>
            <w:r w:rsidRPr="00AE3FC7">
              <w:rPr>
                <w:rFonts w:ascii="Arial Narrow" w:eastAsia="Calibri" w:hAnsi="Arial Narrow"/>
                <w:sz w:val="20"/>
              </w:rPr>
              <w:t xml:space="preserve">Yr 3: </w:t>
            </w:r>
            <w:r w:rsidR="00CD4EA9" w:rsidRPr="00CD4EA9">
              <w:rPr>
                <w:rFonts w:ascii="Arial Narrow" w:eastAsia="Calibri" w:hAnsi="Arial Narrow"/>
                <w:color w:val="000000"/>
                <w:spacing w:val="51"/>
                <w:sz w:val="20"/>
                <w:shd w:val="solid" w:color="000000" w:fill="000000"/>
                <w:fitText w:val="324" w:id="-632121344"/>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44"/>
                <w14:textFill>
                  <w14:solidFill>
                    <w14:srgbClr w14:val="000000">
                      <w14:alpha w14:val="100000"/>
                    </w14:srgbClr>
                  </w14:solidFill>
                </w14:textFill>
              </w:rPr>
              <w:t>|</w:t>
            </w:r>
            <w:r w:rsidR="00730C17">
              <w:rPr>
                <w:rFonts w:ascii="Arial Narrow" w:eastAsia="Calibri" w:hAnsi="Arial Narrow"/>
                <w:sz w:val="20"/>
                <w:vertAlign w:val="superscript"/>
              </w:rPr>
              <w:t>9</w:t>
            </w:r>
          </w:p>
          <w:p w14:paraId="176423BD" w14:textId="3241522D" w:rsidR="0095181E" w:rsidRPr="004D7639" w:rsidRDefault="0095181E" w:rsidP="00B22E54">
            <w:pPr>
              <w:widowControl w:val="0"/>
              <w:spacing w:before="0" w:after="0"/>
              <w:jc w:val="left"/>
              <w:rPr>
                <w:rFonts w:ascii="Arial Narrow" w:eastAsia="Calibri" w:hAnsi="Arial Narrow"/>
                <w:sz w:val="20"/>
              </w:rPr>
            </w:pPr>
            <w:r w:rsidRPr="00AE3FC7">
              <w:rPr>
                <w:rFonts w:ascii="Arial Narrow" w:eastAsia="Calibri" w:hAnsi="Arial Narrow"/>
                <w:sz w:val="20"/>
              </w:rPr>
              <w:t xml:space="preserve">Yr 4: </w:t>
            </w:r>
            <w:r w:rsidR="00CD4EA9" w:rsidRPr="00CD4EA9">
              <w:rPr>
                <w:rFonts w:ascii="Arial Narrow" w:eastAsia="Calibri" w:hAnsi="Arial Narrow"/>
                <w:color w:val="000000"/>
                <w:spacing w:val="51"/>
                <w:sz w:val="20"/>
                <w:shd w:val="solid" w:color="000000" w:fill="000000"/>
                <w:fitText w:val="324" w:id="-632121343"/>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43"/>
                <w14:textFill>
                  <w14:solidFill>
                    <w14:srgbClr w14:val="000000">
                      <w14:alpha w14:val="100000"/>
                    </w14:srgbClr>
                  </w14:solidFill>
                </w14:textFill>
              </w:rPr>
              <w:t>|</w:t>
            </w:r>
            <w:r w:rsidR="004D7639">
              <w:rPr>
                <w:rFonts w:ascii="Arial Narrow" w:eastAsia="Calibri" w:hAnsi="Arial Narrow"/>
                <w:sz w:val="20"/>
                <w:vertAlign w:val="superscript"/>
              </w:rPr>
              <w:t>10</w:t>
            </w:r>
          </w:p>
          <w:p w14:paraId="77BBB6B0" w14:textId="37A1E4DD" w:rsidR="0095181E" w:rsidRPr="004D7639" w:rsidRDefault="0095181E" w:rsidP="00B22E54">
            <w:pPr>
              <w:widowControl w:val="0"/>
              <w:spacing w:before="0" w:after="0"/>
              <w:jc w:val="left"/>
              <w:rPr>
                <w:rFonts w:ascii="Arial Narrow" w:eastAsia="Calibri" w:hAnsi="Arial Narrow"/>
                <w:sz w:val="20"/>
                <w:vertAlign w:val="superscript"/>
              </w:rPr>
            </w:pPr>
            <w:r w:rsidRPr="00AE3FC7">
              <w:rPr>
                <w:rFonts w:ascii="Arial Narrow" w:eastAsia="Calibri" w:hAnsi="Arial Narrow"/>
                <w:sz w:val="20"/>
              </w:rPr>
              <w:t xml:space="preserve">Yr 5: </w:t>
            </w:r>
            <w:r w:rsidR="00CD4EA9" w:rsidRPr="00CD4EA9">
              <w:rPr>
                <w:rFonts w:ascii="Arial Narrow" w:eastAsia="Calibri" w:hAnsi="Arial Narrow"/>
                <w:color w:val="000000"/>
                <w:spacing w:val="51"/>
                <w:sz w:val="20"/>
                <w:shd w:val="solid" w:color="000000" w:fill="000000"/>
                <w:fitText w:val="324" w:id="-632121342"/>
                <w14:textFill>
                  <w14:solidFill>
                    <w14:srgbClr w14:val="000000">
                      <w14:alpha w14:val="100000"/>
                    </w14:srgbClr>
                  </w14:solidFill>
                </w14:textFill>
              </w:rPr>
              <w:t>|||</w:t>
            </w:r>
            <w:r w:rsidR="00CD4EA9" w:rsidRPr="00CD4EA9">
              <w:rPr>
                <w:rFonts w:ascii="Arial Narrow" w:eastAsia="Calibri" w:hAnsi="Arial Narrow"/>
                <w:color w:val="000000"/>
                <w:spacing w:val="1"/>
                <w:sz w:val="20"/>
                <w:shd w:val="solid" w:color="000000" w:fill="000000"/>
                <w:fitText w:val="324" w:id="-632121342"/>
                <w14:textFill>
                  <w14:solidFill>
                    <w14:srgbClr w14:val="000000">
                      <w14:alpha w14:val="100000"/>
                    </w14:srgbClr>
                  </w14:solidFill>
                </w14:textFill>
              </w:rPr>
              <w:t>|</w:t>
            </w:r>
            <w:r w:rsidR="004D7639">
              <w:rPr>
                <w:rFonts w:ascii="Arial Narrow" w:eastAsia="Calibri" w:hAnsi="Arial Narrow"/>
                <w:sz w:val="20"/>
                <w:vertAlign w:val="superscript"/>
              </w:rPr>
              <w:t>11</w:t>
            </w:r>
          </w:p>
          <w:p w14:paraId="4880933F" w14:textId="504C6C7B" w:rsidR="0095181E" w:rsidRPr="00C1051B" w:rsidRDefault="0095181E" w:rsidP="00B22E54">
            <w:pPr>
              <w:pStyle w:val="TableText"/>
              <w:rPr>
                <w:vertAlign w:val="superscript"/>
              </w:rPr>
            </w:pPr>
            <w:r w:rsidRPr="00AE3FC7">
              <w:rPr>
                <w:rFonts w:eastAsia="Calibri"/>
              </w:rPr>
              <w:t xml:space="preserve">Yr 6: </w:t>
            </w:r>
            <w:r w:rsidR="00CD4EA9" w:rsidRPr="00CD4EA9">
              <w:rPr>
                <w:rFonts w:eastAsia="Calibri"/>
                <w:color w:val="000000"/>
                <w:spacing w:val="51"/>
                <w:shd w:val="solid" w:color="000000" w:fill="000000"/>
                <w:fitText w:val="324" w:id="-632121341"/>
                <w14:textFill>
                  <w14:solidFill>
                    <w14:srgbClr w14:val="000000">
                      <w14:alpha w14:val="100000"/>
                    </w14:srgbClr>
                  </w14:solidFill>
                </w14:textFill>
              </w:rPr>
              <w:t>|||</w:t>
            </w:r>
            <w:r w:rsidR="00CD4EA9" w:rsidRPr="00CD4EA9">
              <w:rPr>
                <w:rFonts w:eastAsia="Calibri"/>
                <w:color w:val="000000"/>
                <w:spacing w:val="1"/>
                <w:shd w:val="solid" w:color="000000" w:fill="000000"/>
                <w:fitText w:val="324" w:id="-632121341"/>
                <w14:textFill>
                  <w14:solidFill>
                    <w14:srgbClr w14:val="000000">
                      <w14:alpha w14:val="100000"/>
                    </w14:srgbClr>
                  </w14:solidFill>
                </w14:textFill>
              </w:rPr>
              <w:t>|</w:t>
            </w:r>
            <w:r w:rsidR="00C1051B">
              <w:rPr>
                <w:rFonts w:eastAsia="Calibri"/>
                <w:vertAlign w:val="superscript"/>
              </w:rPr>
              <w:t>12</w:t>
            </w:r>
          </w:p>
        </w:tc>
        <w:tc>
          <w:tcPr>
            <w:tcW w:w="2607" w:type="pct"/>
          </w:tcPr>
          <w:p w14:paraId="079DBFE5" w14:textId="699FC9EB" w:rsidR="0095181E" w:rsidRPr="00AE3FC7" w:rsidRDefault="0095181E" w:rsidP="00B22E54">
            <w:pPr>
              <w:pStyle w:val="TableText"/>
            </w:pPr>
            <w:r w:rsidRPr="00AE3FC7">
              <w:rPr>
                <w:rFonts w:eastAsia="Calibri"/>
              </w:rPr>
              <w:lastRenderedPageBreak/>
              <w:t xml:space="preserve">The submission </w:t>
            </w:r>
            <w:r w:rsidR="00EC04FF" w:rsidRPr="00AE3FC7">
              <w:rPr>
                <w:rFonts w:eastAsia="Calibri"/>
              </w:rPr>
              <w:t>appli</w:t>
            </w:r>
            <w:r w:rsidR="00561368" w:rsidRPr="00AE3FC7">
              <w:rPr>
                <w:rFonts w:eastAsia="Calibri"/>
              </w:rPr>
              <w:t>ed d</w:t>
            </w:r>
            <w:r w:rsidRPr="00AE3FC7">
              <w:rPr>
                <w:rFonts w:eastAsia="Calibri"/>
              </w:rPr>
              <w:t>osing frequenc</w:t>
            </w:r>
            <w:r w:rsidR="00561368" w:rsidRPr="00AE3FC7">
              <w:rPr>
                <w:rFonts w:eastAsia="Calibri"/>
              </w:rPr>
              <w:t>ies</w:t>
            </w:r>
            <w:r w:rsidRPr="00AE3FC7">
              <w:rPr>
                <w:rFonts w:eastAsia="Calibri"/>
              </w:rPr>
              <w:t xml:space="preserve"> of monthly and </w:t>
            </w:r>
            <w:r w:rsidRPr="00AE3FC7">
              <w:rPr>
                <w:rFonts w:eastAsia="Calibri"/>
              </w:rPr>
              <w:lastRenderedPageBreak/>
              <w:t xml:space="preserve">Q4W interchangeably, resulting in a different number of scripts/infusions </w:t>
            </w:r>
            <w:r w:rsidR="00561368" w:rsidRPr="00AE3FC7">
              <w:rPr>
                <w:rFonts w:eastAsia="Calibri"/>
              </w:rPr>
              <w:t>(Q</w:t>
            </w:r>
            <w:r w:rsidRPr="00AE3FC7">
              <w:rPr>
                <w:rFonts w:eastAsia="Calibri"/>
              </w:rPr>
              <w:t>4W results in 13 scripts/infusions compared 12 scripts/infusions</w:t>
            </w:r>
            <w:r w:rsidR="00561368" w:rsidRPr="00AE3FC7">
              <w:rPr>
                <w:rFonts w:eastAsia="Calibri"/>
              </w:rPr>
              <w:t xml:space="preserve"> per year</w:t>
            </w:r>
            <w:r w:rsidRPr="00AE3FC7">
              <w:rPr>
                <w:rFonts w:eastAsia="Calibri"/>
              </w:rPr>
              <w:t>).</w:t>
            </w:r>
            <w:r w:rsidR="005E0B7A" w:rsidRPr="00AE3FC7">
              <w:rPr>
                <w:rFonts w:eastAsia="Calibri"/>
              </w:rPr>
              <w:t xml:space="preserve"> The </w:t>
            </w:r>
            <w:r w:rsidRPr="00AE3FC7">
              <w:rPr>
                <w:rFonts w:eastAsia="Calibri"/>
              </w:rPr>
              <w:t xml:space="preserve">DUSC noted the evaluation presented a revised dosing frequency of 1 script per month and revised the modelling of the treatment phases to initial and continuing resulting in cost reduction </w:t>
            </w:r>
            <w:r w:rsidRPr="005916E7">
              <w:rPr>
                <w:rFonts w:eastAsia="Calibri"/>
              </w:rPr>
              <w:t>of $</w:t>
            </w:r>
            <w:r w:rsidR="00CD4EA9" w:rsidRPr="00CD4EA9">
              <w:rPr>
                <w:rFonts w:eastAsia="Calibri"/>
                <w:color w:val="000000"/>
                <w:spacing w:val="51"/>
                <w:shd w:val="solid" w:color="000000" w:fill="000000"/>
                <w:fitText w:val="324" w:id="-632121340"/>
                <w14:textFill>
                  <w14:solidFill>
                    <w14:srgbClr w14:val="000000">
                      <w14:alpha w14:val="100000"/>
                    </w14:srgbClr>
                  </w14:solidFill>
                </w14:textFill>
              </w:rPr>
              <w:t>|||</w:t>
            </w:r>
            <w:r w:rsidR="00CD4EA9" w:rsidRPr="00CD4EA9">
              <w:rPr>
                <w:rFonts w:eastAsia="Calibri"/>
                <w:color w:val="000000"/>
                <w:spacing w:val="1"/>
                <w:shd w:val="solid" w:color="000000" w:fill="000000"/>
                <w:fitText w:val="324" w:id="-632121340"/>
                <w14:textFill>
                  <w14:solidFill>
                    <w14:srgbClr w14:val="000000">
                      <w14:alpha w14:val="100000"/>
                    </w14:srgbClr>
                  </w14:solidFill>
                </w14:textFill>
              </w:rPr>
              <w:t>|</w:t>
            </w:r>
            <w:r w:rsidRPr="005916E7">
              <w:rPr>
                <w:rFonts w:eastAsia="Calibri"/>
              </w:rPr>
              <w:t xml:space="preserve"> billion</w:t>
            </w:r>
            <w:r w:rsidRPr="00AE3FC7">
              <w:rPr>
                <w:rFonts w:eastAsia="Calibri"/>
              </w:rPr>
              <w:t>.</w:t>
            </w:r>
          </w:p>
        </w:tc>
      </w:tr>
      <w:tr w:rsidR="0095181E" w:rsidRPr="00AE3FC7" w14:paraId="5AEC2556" w14:textId="77777777" w:rsidTr="00AE3FC7">
        <w:tc>
          <w:tcPr>
            <w:tcW w:w="950" w:type="pct"/>
            <w:vAlign w:val="center"/>
          </w:tcPr>
          <w:p w14:paraId="0C761A40" w14:textId="77777777" w:rsidR="0095181E" w:rsidRPr="00AE3FC7" w:rsidRDefault="0095181E" w:rsidP="00B22E54">
            <w:pPr>
              <w:pStyle w:val="TableText"/>
            </w:pPr>
            <w:r w:rsidRPr="00AE3FC7">
              <w:lastRenderedPageBreak/>
              <w:t>Offsets</w:t>
            </w:r>
          </w:p>
        </w:tc>
        <w:tc>
          <w:tcPr>
            <w:tcW w:w="1443" w:type="pct"/>
            <w:vAlign w:val="center"/>
          </w:tcPr>
          <w:p w14:paraId="29D9C08C" w14:textId="77777777" w:rsidR="0095181E" w:rsidRPr="00AE3FC7" w:rsidRDefault="0095181E" w:rsidP="00B22E54">
            <w:pPr>
              <w:pStyle w:val="TableText"/>
            </w:pPr>
            <w:r w:rsidRPr="00AE3FC7">
              <w:t>Nil</w:t>
            </w:r>
          </w:p>
        </w:tc>
        <w:tc>
          <w:tcPr>
            <w:tcW w:w="2607" w:type="pct"/>
            <w:vAlign w:val="center"/>
          </w:tcPr>
          <w:p w14:paraId="21BC96A6" w14:textId="77777777" w:rsidR="0095181E" w:rsidRPr="00AE3FC7" w:rsidRDefault="0095181E" w:rsidP="00B22E54">
            <w:pPr>
              <w:pStyle w:val="TableText"/>
            </w:pPr>
            <w:r w:rsidRPr="00AE3FC7">
              <w:t>The comparator for this submission is SoC, hence there are no offsetting medicines.</w:t>
            </w:r>
          </w:p>
        </w:tc>
      </w:tr>
      <w:tr w:rsidR="0095181E" w:rsidRPr="003F1B1E" w14:paraId="71C88831" w14:textId="77777777" w:rsidTr="00AE3FC7">
        <w:tc>
          <w:tcPr>
            <w:tcW w:w="950" w:type="pct"/>
            <w:vAlign w:val="center"/>
          </w:tcPr>
          <w:p w14:paraId="30613593" w14:textId="77777777" w:rsidR="0095181E" w:rsidRPr="00AE3FC7" w:rsidRDefault="0095181E" w:rsidP="00B22E54">
            <w:pPr>
              <w:pStyle w:val="TableText"/>
            </w:pPr>
            <w:r w:rsidRPr="00AE3FC7">
              <w:t>MBS items</w:t>
            </w:r>
          </w:p>
        </w:tc>
        <w:tc>
          <w:tcPr>
            <w:tcW w:w="1443" w:type="pct"/>
            <w:vAlign w:val="center"/>
          </w:tcPr>
          <w:p w14:paraId="1C51205F" w14:textId="77777777" w:rsidR="0095181E" w:rsidRPr="00AE3FC7" w:rsidRDefault="0095181E" w:rsidP="00B22E54">
            <w:pPr>
              <w:pStyle w:val="TableText"/>
            </w:pPr>
            <w:r w:rsidRPr="00AE3FC7">
              <w:t xml:space="preserve">Proposed </w:t>
            </w:r>
            <w:r w:rsidRPr="009E07A4">
              <w:rPr>
                <w:i/>
                <w:iCs/>
              </w:rPr>
              <w:t>APOE4</w:t>
            </w:r>
            <w:r w:rsidRPr="00AE3FC7">
              <w:t xml:space="preserve"> test - $159.95</w:t>
            </w:r>
          </w:p>
          <w:p w14:paraId="6F53996D" w14:textId="77777777" w:rsidR="0095181E" w:rsidRPr="00AE3FC7" w:rsidRDefault="0095181E" w:rsidP="00B22E54">
            <w:pPr>
              <w:pStyle w:val="TableText"/>
            </w:pPr>
            <w:r w:rsidRPr="00AE3FC7">
              <w:t>Proposed Aß-PET scan - $2,200.00</w:t>
            </w:r>
          </w:p>
          <w:p w14:paraId="7531DE49" w14:textId="77777777" w:rsidR="0095181E" w:rsidRPr="00AE3FC7" w:rsidRDefault="0095181E" w:rsidP="00B22E54">
            <w:pPr>
              <w:pStyle w:val="TableText"/>
            </w:pPr>
            <w:r w:rsidRPr="00AE3FC7">
              <w:t>Proposed CSF AD biomarker testing - $400.00</w:t>
            </w:r>
          </w:p>
          <w:p w14:paraId="152981BF" w14:textId="77777777" w:rsidR="0095181E" w:rsidRPr="00AE3FC7" w:rsidRDefault="0095181E" w:rsidP="00B22E54">
            <w:pPr>
              <w:pStyle w:val="TableText"/>
            </w:pPr>
            <w:r w:rsidRPr="00AE3FC7">
              <w:t>MBS item 116 Professional attendance - $87.30</w:t>
            </w:r>
          </w:p>
          <w:p w14:paraId="74632D2A" w14:textId="77777777" w:rsidR="0095181E" w:rsidRPr="00AE3FC7" w:rsidRDefault="0095181E" w:rsidP="00B22E54">
            <w:pPr>
              <w:pStyle w:val="TableText"/>
            </w:pPr>
            <w:r w:rsidRPr="00AE3FC7">
              <w:t>MBS item 39000 Lumbar puncture - $85.75</w:t>
            </w:r>
          </w:p>
          <w:p w14:paraId="1BC8879E" w14:textId="77777777" w:rsidR="0095181E" w:rsidRPr="00AE3FC7" w:rsidRDefault="0095181E" w:rsidP="00B22E54">
            <w:pPr>
              <w:pStyle w:val="TableText"/>
            </w:pPr>
            <w:r w:rsidRPr="00AE3FC7">
              <w:t>MBS item 56223 CT scan - $263.75</w:t>
            </w:r>
          </w:p>
          <w:p w14:paraId="7707667A" w14:textId="77777777" w:rsidR="0095181E" w:rsidRPr="00AE3FC7" w:rsidRDefault="0095181E" w:rsidP="00B22E54">
            <w:pPr>
              <w:pStyle w:val="TableText"/>
            </w:pPr>
            <w:r w:rsidRPr="00AE3FC7">
              <w:t>MBS item 61505 CT scan with Aß-PET - $100.00</w:t>
            </w:r>
          </w:p>
          <w:p w14:paraId="71F34B5B" w14:textId="77777777" w:rsidR="0095181E" w:rsidRPr="00AE3FC7" w:rsidRDefault="0095181E" w:rsidP="00B22E54">
            <w:pPr>
              <w:pStyle w:val="TableText"/>
            </w:pPr>
            <w:r w:rsidRPr="00AE3FC7">
              <w:t>MBS item 63004 MRI (head) - $441.45</w:t>
            </w:r>
          </w:p>
        </w:tc>
        <w:tc>
          <w:tcPr>
            <w:tcW w:w="2607" w:type="pct"/>
            <w:vAlign w:val="center"/>
          </w:tcPr>
          <w:p w14:paraId="1D9ED7C6" w14:textId="14418AFD" w:rsidR="0095181E" w:rsidRPr="003F1B1E" w:rsidRDefault="0095181E" w:rsidP="00B22E54">
            <w:pPr>
              <w:pStyle w:val="TableText"/>
            </w:pPr>
            <w:r w:rsidRPr="00AE3FC7">
              <w:t>The proposed MBS items are appropriate. However, the submission did not include several services associated with lumbar puncture. The proportion of Aß-PET scan and CSF AD biomarker test is uncertain and will depend on patient locality and service availability. This will consequentially change the rate of utilisation of the associated services</w:t>
            </w:r>
            <w:r w:rsidR="001432CF" w:rsidRPr="00AE3FC7">
              <w:t>.</w:t>
            </w:r>
          </w:p>
        </w:tc>
      </w:tr>
    </w:tbl>
    <w:p w14:paraId="6E22DEC4" w14:textId="331C76C1" w:rsidR="006B6AFB" w:rsidRDefault="009D5476" w:rsidP="009D5476">
      <w:pPr>
        <w:pStyle w:val="TableFigureFooter"/>
      </w:pPr>
      <w:r w:rsidRPr="00EE0EEB">
        <w:t>Source: Financial estimates workbook provided with the submission.</w:t>
      </w:r>
    </w:p>
    <w:p w14:paraId="7BD45BEA" w14:textId="77777777" w:rsidR="00C533B0" w:rsidRPr="00C533B0" w:rsidRDefault="00C533B0" w:rsidP="00C533B0">
      <w:pPr>
        <w:pStyle w:val="TableFigureFooter"/>
        <w:rPr>
          <w:i/>
          <w:iCs/>
        </w:rPr>
      </w:pPr>
      <w:r w:rsidRPr="00C533B0">
        <w:rPr>
          <w:i/>
          <w:iCs/>
        </w:rPr>
        <w:t xml:space="preserve">The redacted values correspond to the following ranges: </w:t>
      </w:r>
    </w:p>
    <w:p w14:paraId="1CD70F5B" w14:textId="250526C6" w:rsidR="00C533B0" w:rsidRPr="00C533B0" w:rsidRDefault="00C533B0" w:rsidP="00C533B0">
      <w:pPr>
        <w:pStyle w:val="TableFigureFooter"/>
        <w:rPr>
          <w:i/>
          <w:iCs/>
        </w:rPr>
      </w:pPr>
      <w:r w:rsidRPr="00C533B0">
        <w:rPr>
          <w:i/>
          <w:iCs/>
          <w:vertAlign w:val="superscript"/>
        </w:rPr>
        <w:t>1</w:t>
      </w:r>
      <w:r w:rsidRPr="00C533B0">
        <w:rPr>
          <w:i/>
          <w:iCs/>
        </w:rPr>
        <w:t xml:space="preserve"> </w:t>
      </w:r>
      <w:r w:rsidR="008F42F2" w:rsidRPr="008F42F2">
        <w:rPr>
          <w:i/>
          <w:iCs/>
        </w:rPr>
        <w:t>10,000 to &lt; 20,000</w:t>
      </w:r>
    </w:p>
    <w:p w14:paraId="0174C68B" w14:textId="3B3F82B5" w:rsidR="00C533B0" w:rsidRPr="00C533B0" w:rsidRDefault="00C533B0" w:rsidP="00C533B0">
      <w:pPr>
        <w:pStyle w:val="TableFigureFooter"/>
        <w:rPr>
          <w:i/>
          <w:iCs/>
        </w:rPr>
      </w:pPr>
      <w:r w:rsidRPr="00C533B0">
        <w:rPr>
          <w:i/>
          <w:iCs/>
          <w:vertAlign w:val="superscript"/>
        </w:rPr>
        <w:t>2</w:t>
      </w:r>
      <w:r w:rsidRPr="00C533B0">
        <w:rPr>
          <w:i/>
          <w:iCs/>
        </w:rPr>
        <w:t xml:space="preserve"> </w:t>
      </w:r>
      <w:r w:rsidR="007C6EA3" w:rsidRPr="007C6EA3">
        <w:rPr>
          <w:i/>
          <w:iCs/>
        </w:rPr>
        <w:t>20,000 to &lt; 30,000</w:t>
      </w:r>
    </w:p>
    <w:p w14:paraId="55CF8A31" w14:textId="37DE69A9" w:rsidR="00C533B0" w:rsidRDefault="00C533B0" w:rsidP="00C533B0">
      <w:pPr>
        <w:pStyle w:val="TableFigureFooter"/>
        <w:rPr>
          <w:i/>
          <w:iCs/>
        </w:rPr>
      </w:pPr>
      <w:r w:rsidRPr="00C533B0">
        <w:rPr>
          <w:i/>
          <w:iCs/>
          <w:vertAlign w:val="superscript"/>
        </w:rPr>
        <w:t>3</w:t>
      </w:r>
      <w:r w:rsidRPr="00C533B0">
        <w:rPr>
          <w:i/>
          <w:iCs/>
        </w:rPr>
        <w:t xml:space="preserve"> </w:t>
      </w:r>
      <w:r w:rsidR="00DE2D3A" w:rsidRPr="00DE2D3A">
        <w:rPr>
          <w:i/>
          <w:iCs/>
        </w:rPr>
        <w:t>30,000 to &lt; 40,000</w:t>
      </w:r>
    </w:p>
    <w:p w14:paraId="7B94DAC8" w14:textId="77777777" w:rsidR="00EC6F94" w:rsidRDefault="00DE2D3A" w:rsidP="00EC6F94">
      <w:pPr>
        <w:pStyle w:val="TableFigureFooter"/>
        <w:rPr>
          <w:i/>
          <w:iCs/>
        </w:rPr>
      </w:pPr>
      <w:r>
        <w:rPr>
          <w:i/>
          <w:iCs/>
          <w:vertAlign w:val="superscript"/>
        </w:rPr>
        <w:t xml:space="preserve">4 </w:t>
      </w:r>
      <w:r w:rsidR="00EC6F94" w:rsidRPr="00EC6F94">
        <w:rPr>
          <w:i/>
          <w:iCs/>
        </w:rPr>
        <w:t>40,000 to &lt; 50,000</w:t>
      </w:r>
    </w:p>
    <w:p w14:paraId="5EED0D76" w14:textId="77777777" w:rsidR="00EE4AD0" w:rsidRDefault="00EC6F94" w:rsidP="00EE4AD0">
      <w:pPr>
        <w:pStyle w:val="TableFigureFooter"/>
        <w:rPr>
          <w:i/>
          <w:iCs/>
        </w:rPr>
      </w:pPr>
      <w:r>
        <w:rPr>
          <w:i/>
          <w:iCs/>
          <w:vertAlign w:val="superscript"/>
        </w:rPr>
        <w:t xml:space="preserve">5 </w:t>
      </w:r>
      <w:r w:rsidR="00EE4AD0" w:rsidRPr="00EE4AD0">
        <w:rPr>
          <w:i/>
          <w:iCs/>
        </w:rPr>
        <w:t>50,000 to &lt; 60,000</w:t>
      </w:r>
    </w:p>
    <w:p w14:paraId="0BA801D4" w14:textId="77777777" w:rsidR="00322B48" w:rsidRDefault="00EE4AD0" w:rsidP="00322B48">
      <w:pPr>
        <w:pStyle w:val="TableFigureFooter"/>
        <w:rPr>
          <w:i/>
          <w:iCs/>
        </w:rPr>
      </w:pPr>
      <w:r>
        <w:rPr>
          <w:i/>
          <w:iCs/>
          <w:vertAlign w:val="superscript"/>
        </w:rPr>
        <w:t xml:space="preserve">6 </w:t>
      </w:r>
      <w:r w:rsidR="00322B48" w:rsidRPr="00322B48">
        <w:rPr>
          <w:i/>
          <w:iCs/>
        </w:rPr>
        <w:t>60,000 to &lt; 70,000</w:t>
      </w:r>
    </w:p>
    <w:p w14:paraId="0A544CCB" w14:textId="7BC44C6C" w:rsidR="00213500" w:rsidRDefault="00213500" w:rsidP="00322B48">
      <w:pPr>
        <w:pStyle w:val="TableFigureFooter"/>
        <w:rPr>
          <w:i/>
          <w:iCs/>
        </w:rPr>
      </w:pPr>
      <w:r>
        <w:rPr>
          <w:i/>
          <w:iCs/>
          <w:vertAlign w:val="superscript"/>
        </w:rPr>
        <w:t>7</w:t>
      </w:r>
      <w:r>
        <w:rPr>
          <w:i/>
          <w:iCs/>
        </w:rPr>
        <w:t xml:space="preserve"> </w:t>
      </w:r>
      <w:r w:rsidRPr="00213500">
        <w:rPr>
          <w:i/>
          <w:iCs/>
        </w:rPr>
        <w:t>200,000 to &lt; 300,000</w:t>
      </w:r>
    </w:p>
    <w:p w14:paraId="469D8001" w14:textId="7B8B3014" w:rsidR="00293C15" w:rsidRPr="00293C15" w:rsidRDefault="00293C15" w:rsidP="00322B48">
      <w:pPr>
        <w:pStyle w:val="TableFigureFooter"/>
        <w:rPr>
          <w:i/>
          <w:iCs/>
        </w:rPr>
      </w:pPr>
      <w:r>
        <w:rPr>
          <w:i/>
          <w:iCs/>
          <w:vertAlign w:val="superscript"/>
        </w:rPr>
        <w:t>8</w:t>
      </w:r>
      <w:r>
        <w:rPr>
          <w:i/>
          <w:iCs/>
        </w:rPr>
        <w:t xml:space="preserve"> </w:t>
      </w:r>
      <w:r w:rsidRPr="00293C15">
        <w:rPr>
          <w:i/>
          <w:iCs/>
        </w:rPr>
        <w:t>300,000 to &lt; 400,000</w:t>
      </w:r>
    </w:p>
    <w:p w14:paraId="12AFB75E" w14:textId="61983058" w:rsidR="00EE4AD0" w:rsidRDefault="00730C17" w:rsidP="00EE4AD0">
      <w:pPr>
        <w:pStyle w:val="TableFigureFooter"/>
        <w:rPr>
          <w:i/>
          <w:iCs/>
        </w:rPr>
      </w:pPr>
      <w:r>
        <w:rPr>
          <w:i/>
          <w:iCs/>
          <w:vertAlign w:val="superscript"/>
        </w:rPr>
        <w:t>9</w:t>
      </w:r>
      <w:r>
        <w:rPr>
          <w:i/>
          <w:iCs/>
        </w:rPr>
        <w:t xml:space="preserve"> </w:t>
      </w:r>
      <w:r w:rsidRPr="00730C17">
        <w:rPr>
          <w:i/>
          <w:iCs/>
        </w:rPr>
        <w:t>400,000 to &lt; 500,000</w:t>
      </w:r>
    </w:p>
    <w:p w14:paraId="49487739" w14:textId="28CCDDD8" w:rsidR="004D7639" w:rsidRDefault="004D7639" w:rsidP="00EE4AD0">
      <w:pPr>
        <w:pStyle w:val="TableFigureFooter"/>
        <w:rPr>
          <w:i/>
          <w:iCs/>
        </w:rPr>
      </w:pPr>
      <w:r>
        <w:rPr>
          <w:i/>
          <w:iCs/>
          <w:vertAlign w:val="superscript"/>
        </w:rPr>
        <w:t xml:space="preserve">10 </w:t>
      </w:r>
      <w:r w:rsidRPr="004D7639">
        <w:rPr>
          <w:i/>
          <w:iCs/>
        </w:rPr>
        <w:t>500,000 to &lt; 600,000</w:t>
      </w:r>
    </w:p>
    <w:p w14:paraId="64C41E55" w14:textId="4E0381D0" w:rsidR="00C1051B" w:rsidRDefault="00C1051B" w:rsidP="00EE4AD0">
      <w:pPr>
        <w:pStyle w:val="TableFigureFooter"/>
        <w:rPr>
          <w:i/>
          <w:iCs/>
        </w:rPr>
      </w:pPr>
      <w:r>
        <w:rPr>
          <w:i/>
          <w:iCs/>
          <w:vertAlign w:val="superscript"/>
        </w:rPr>
        <w:t>11</w:t>
      </w:r>
      <w:r>
        <w:rPr>
          <w:i/>
          <w:iCs/>
        </w:rPr>
        <w:t xml:space="preserve"> </w:t>
      </w:r>
      <w:r w:rsidRPr="00C1051B">
        <w:rPr>
          <w:i/>
          <w:iCs/>
        </w:rPr>
        <w:t>600,000 to &lt; 700,000</w:t>
      </w:r>
    </w:p>
    <w:p w14:paraId="5FFC8E88" w14:textId="33DC2C9D" w:rsidR="00DE2D3A" w:rsidRPr="00AF6F08" w:rsidRDefault="00C1051B" w:rsidP="00C533B0">
      <w:pPr>
        <w:pStyle w:val="TableFigureFooter"/>
        <w:rPr>
          <w:i/>
          <w:iCs/>
          <w:vertAlign w:val="superscript"/>
        </w:rPr>
      </w:pPr>
      <w:r>
        <w:rPr>
          <w:i/>
          <w:iCs/>
          <w:vertAlign w:val="superscript"/>
        </w:rPr>
        <w:t xml:space="preserve">12 </w:t>
      </w:r>
      <w:r w:rsidR="00C02D82" w:rsidRPr="00C02D82">
        <w:rPr>
          <w:i/>
          <w:iCs/>
        </w:rPr>
        <w:t>700,000 to &lt; 800,000</w:t>
      </w:r>
    </w:p>
    <w:p w14:paraId="1552FC37" w14:textId="1A051ED2" w:rsidR="00AB4C6F" w:rsidRPr="00EE0EEB" w:rsidRDefault="00220CDC" w:rsidP="006C66C7">
      <w:pPr>
        <w:pStyle w:val="Caption"/>
        <w:keepLines/>
      </w:pPr>
      <w:r>
        <w:lastRenderedPageBreak/>
        <w:t xml:space="preserve">Table </w:t>
      </w:r>
      <w:r>
        <w:fldChar w:fldCharType="begin"/>
      </w:r>
      <w:r>
        <w:instrText xml:space="preserve"> SEQ Table \* ARABIC </w:instrText>
      </w:r>
      <w:r>
        <w:fldChar w:fldCharType="separate"/>
      </w:r>
      <w:r w:rsidR="00392423">
        <w:rPr>
          <w:noProof/>
        </w:rPr>
        <w:t>26</w:t>
      </w:r>
      <w:r>
        <w:fldChar w:fldCharType="end"/>
      </w:r>
      <w:r>
        <w:t xml:space="preserve">: </w:t>
      </w:r>
      <w:r w:rsidR="00AB4C6F">
        <w:t>Patient estimates</w:t>
      </w:r>
    </w:p>
    <w:tbl>
      <w:tblPr>
        <w:tblStyle w:val="TableGrid"/>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6: Patient estimates"/>
      </w:tblPr>
      <w:tblGrid>
        <w:gridCol w:w="1751"/>
        <w:gridCol w:w="1197"/>
        <w:gridCol w:w="1197"/>
        <w:gridCol w:w="1198"/>
        <w:gridCol w:w="1198"/>
        <w:gridCol w:w="1198"/>
        <w:gridCol w:w="1198"/>
      </w:tblGrid>
      <w:tr w:rsidR="00AB4C6F" w:rsidRPr="00EE0EEB" w14:paraId="712D4B9F" w14:textId="77777777" w:rsidTr="00AB4C6F">
        <w:trPr>
          <w:cnfStyle w:val="100000000000" w:firstRow="1" w:lastRow="0" w:firstColumn="0" w:lastColumn="0" w:oddVBand="0" w:evenVBand="0" w:oddHBand="0" w:evenHBand="0" w:firstRowFirstColumn="0" w:firstRowLastColumn="0" w:lastRowFirstColumn="0" w:lastRowLastColumn="0"/>
        </w:trPr>
        <w:tc>
          <w:tcPr>
            <w:tcW w:w="980" w:type="pct"/>
          </w:tcPr>
          <w:p w14:paraId="2BA280C1" w14:textId="77777777" w:rsidR="00AB4C6F" w:rsidRPr="00EE0EEB" w:rsidRDefault="00AB4C6F" w:rsidP="006C66C7">
            <w:pPr>
              <w:pStyle w:val="TableText"/>
              <w:keepNext/>
              <w:keepLines/>
              <w:jc w:val="center"/>
              <w:rPr>
                <w:b w:val="0"/>
              </w:rPr>
            </w:pPr>
          </w:p>
        </w:tc>
        <w:tc>
          <w:tcPr>
            <w:tcW w:w="670" w:type="pct"/>
          </w:tcPr>
          <w:p w14:paraId="14323D7D" w14:textId="77777777" w:rsidR="00AB4C6F" w:rsidRPr="00EE0EEB" w:rsidRDefault="00AB4C6F" w:rsidP="006C66C7">
            <w:pPr>
              <w:pStyle w:val="TableText"/>
              <w:keepNext/>
              <w:keepLines/>
              <w:jc w:val="center"/>
              <w:rPr>
                <w:b w:val="0"/>
              </w:rPr>
            </w:pPr>
            <w:r w:rsidRPr="00EE0EEB">
              <w:t>Year 1</w:t>
            </w:r>
          </w:p>
        </w:tc>
        <w:tc>
          <w:tcPr>
            <w:tcW w:w="670" w:type="pct"/>
          </w:tcPr>
          <w:p w14:paraId="666DA1ED" w14:textId="77777777" w:rsidR="00AB4C6F" w:rsidRPr="00EE0EEB" w:rsidRDefault="00AB4C6F" w:rsidP="006C66C7">
            <w:pPr>
              <w:pStyle w:val="TableText"/>
              <w:keepNext/>
              <w:keepLines/>
              <w:jc w:val="center"/>
              <w:rPr>
                <w:b w:val="0"/>
              </w:rPr>
            </w:pPr>
            <w:r w:rsidRPr="00EE0EEB">
              <w:t>Year 2</w:t>
            </w:r>
          </w:p>
        </w:tc>
        <w:tc>
          <w:tcPr>
            <w:tcW w:w="670" w:type="pct"/>
          </w:tcPr>
          <w:p w14:paraId="16E9DFCF" w14:textId="77777777" w:rsidR="00AB4C6F" w:rsidRPr="00EE0EEB" w:rsidRDefault="00AB4C6F" w:rsidP="006C66C7">
            <w:pPr>
              <w:pStyle w:val="TableText"/>
              <w:keepNext/>
              <w:keepLines/>
              <w:jc w:val="center"/>
              <w:rPr>
                <w:b w:val="0"/>
              </w:rPr>
            </w:pPr>
            <w:r w:rsidRPr="00EE0EEB">
              <w:t>Year 3</w:t>
            </w:r>
          </w:p>
        </w:tc>
        <w:tc>
          <w:tcPr>
            <w:tcW w:w="670" w:type="pct"/>
          </w:tcPr>
          <w:p w14:paraId="253BD275" w14:textId="77777777" w:rsidR="00AB4C6F" w:rsidRPr="00EE0EEB" w:rsidRDefault="00AB4C6F" w:rsidP="006C66C7">
            <w:pPr>
              <w:pStyle w:val="TableText"/>
              <w:keepNext/>
              <w:keepLines/>
              <w:jc w:val="center"/>
              <w:rPr>
                <w:b w:val="0"/>
              </w:rPr>
            </w:pPr>
            <w:r w:rsidRPr="00EE0EEB">
              <w:t>Year 4</w:t>
            </w:r>
          </w:p>
        </w:tc>
        <w:tc>
          <w:tcPr>
            <w:tcW w:w="670" w:type="pct"/>
          </w:tcPr>
          <w:p w14:paraId="03058635" w14:textId="77777777" w:rsidR="00AB4C6F" w:rsidRPr="00EE0EEB" w:rsidRDefault="00AB4C6F" w:rsidP="006C66C7">
            <w:pPr>
              <w:pStyle w:val="TableText"/>
              <w:keepNext/>
              <w:keepLines/>
              <w:jc w:val="center"/>
              <w:rPr>
                <w:b w:val="0"/>
              </w:rPr>
            </w:pPr>
            <w:r w:rsidRPr="00EE0EEB">
              <w:t>Year 5</w:t>
            </w:r>
          </w:p>
        </w:tc>
        <w:tc>
          <w:tcPr>
            <w:tcW w:w="670" w:type="pct"/>
          </w:tcPr>
          <w:p w14:paraId="05FA5F79" w14:textId="77777777" w:rsidR="00AB4C6F" w:rsidRPr="00EE0EEB" w:rsidRDefault="00AB4C6F" w:rsidP="006C66C7">
            <w:pPr>
              <w:pStyle w:val="TableText"/>
              <w:keepNext/>
              <w:keepLines/>
              <w:jc w:val="center"/>
              <w:rPr>
                <w:b w:val="0"/>
              </w:rPr>
            </w:pPr>
            <w:r w:rsidRPr="00EE0EEB">
              <w:t>Year 6</w:t>
            </w:r>
          </w:p>
        </w:tc>
      </w:tr>
      <w:tr w:rsidR="00AB4C6F" w:rsidRPr="00EE0EEB" w14:paraId="2CF35029" w14:textId="77777777" w:rsidTr="00AB4C6F">
        <w:tc>
          <w:tcPr>
            <w:tcW w:w="5000" w:type="pct"/>
            <w:gridSpan w:val="7"/>
          </w:tcPr>
          <w:p w14:paraId="71BAF91A" w14:textId="77777777" w:rsidR="00AB4C6F" w:rsidRPr="00EE0EEB" w:rsidRDefault="00AB4C6F" w:rsidP="006C66C7">
            <w:pPr>
              <w:pStyle w:val="TableText"/>
              <w:keepNext/>
              <w:keepLines/>
              <w:rPr>
                <w:b/>
              </w:rPr>
            </w:pPr>
            <w:r>
              <w:rPr>
                <w:b/>
              </w:rPr>
              <w:t>Estimated case capacity</w:t>
            </w:r>
          </w:p>
        </w:tc>
      </w:tr>
      <w:tr w:rsidR="00AB4C6F" w:rsidRPr="00EE0EEB" w14:paraId="1D8AD80D" w14:textId="77777777" w:rsidTr="00AB4C6F">
        <w:tc>
          <w:tcPr>
            <w:tcW w:w="980" w:type="pct"/>
          </w:tcPr>
          <w:p w14:paraId="0D56F629" w14:textId="77777777" w:rsidR="00AB4C6F" w:rsidRPr="00EE0EEB" w:rsidRDefault="00AB4C6F" w:rsidP="006C66C7">
            <w:pPr>
              <w:pStyle w:val="TableText"/>
              <w:keepNext/>
              <w:keepLines/>
            </w:pPr>
            <w:r>
              <w:t>Number of new patients that could be assessed</w:t>
            </w:r>
          </w:p>
        </w:tc>
        <w:tc>
          <w:tcPr>
            <w:tcW w:w="670" w:type="pct"/>
          </w:tcPr>
          <w:p w14:paraId="5C2E3E63" w14:textId="2BF2C31A" w:rsidR="00AB4C6F" w:rsidRPr="00CC678D" w:rsidRDefault="00CD4EA9" w:rsidP="006C66C7">
            <w:pPr>
              <w:pStyle w:val="TableNumber"/>
              <w:keepNext/>
              <w:keepLines/>
              <w:rPr>
                <w:highlight w:val="darkGray"/>
                <w:vertAlign w:val="superscript"/>
              </w:rPr>
            </w:pPr>
            <w:r w:rsidRPr="00CD4EA9">
              <w:rPr>
                <w:color w:val="000000"/>
                <w:spacing w:val="51"/>
                <w:shd w:val="solid" w:color="000000" w:fill="000000"/>
                <w:fitText w:val="324" w:id="-632121339"/>
                <w14:textFill>
                  <w14:solidFill>
                    <w14:srgbClr w14:val="000000">
                      <w14:alpha w14:val="100000"/>
                    </w14:srgbClr>
                  </w14:solidFill>
                </w14:textFill>
              </w:rPr>
              <w:t>|||</w:t>
            </w:r>
            <w:r w:rsidRPr="00CD4EA9">
              <w:rPr>
                <w:color w:val="000000"/>
                <w:spacing w:val="1"/>
                <w:shd w:val="solid" w:color="000000" w:fill="000000"/>
                <w:fitText w:val="324" w:id="-632121339"/>
                <w14:textFill>
                  <w14:solidFill>
                    <w14:srgbClr w14:val="000000">
                      <w14:alpha w14:val="100000"/>
                    </w14:srgbClr>
                  </w14:solidFill>
                </w14:textFill>
              </w:rPr>
              <w:t>|</w:t>
            </w:r>
            <w:r w:rsidR="00CC678D" w:rsidRPr="00CC678D">
              <w:rPr>
                <w:vertAlign w:val="superscript"/>
              </w:rPr>
              <w:t>1</w:t>
            </w:r>
          </w:p>
        </w:tc>
        <w:tc>
          <w:tcPr>
            <w:tcW w:w="670" w:type="pct"/>
          </w:tcPr>
          <w:p w14:paraId="751C3E58" w14:textId="0C52EC98" w:rsidR="00AB4C6F" w:rsidRPr="00CC678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8"/>
                <w14:textFill>
                  <w14:solidFill>
                    <w14:srgbClr w14:val="000000">
                      <w14:alpha w14:val="100000"/>
                    </w14:srgbClr>
                  </w14:solidFill>
                </w14:textFill>
              </w:rPr>
              <w:t>|||</w:t>
            </w:r>
            <w:r w:rsidRPr="00CD4EA9">
              <w:rPr>
                <w:color w:val="000000"/>
                <w:spacing w:val="1"/>
                <w:shd w:val="solid" w:color="000000" w:fill="000000"/>
                <w:fitText w:val="324" w:id="-632121338"/>
                <w14:textFill>
                  <w14:solidFill>
                    <w14:srgbClr w14:val="000000">
                      <w14:alpha w14:val="100000"/>
                    </w14:srgbClr>
                  </w14:solidFill>
                </w14:textFill>
              </w:rPr>
              <w:t>|</w:t>
            </w:r>
            <w:r w:rsidR="00CC678D" w:rsidRPr="00CC678D">
              <w:rPr>
                <w:vertAlign w:val="superscript"/>
              </w:rPr>
              <w:t>2</w:t>
            </w:r>
          </w:p>
        </w:tc>
        <w:tc>
          <w:tcPr>
            <w:tcW w:w="670" w:type="pct"/>
          </w:tcPr>
          <w:p w14:paraId="5790A2C3" w14:textId="74ED5E44" w:rsidR="00AB4C6F" w:rsidRPr="00DE2D3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7"/>
                <w14:textFill>
                  <w14:solidFill>
                    <w14:srgbClr w14:val="000000">
                      <w14:alpha w14:val="100000"/>
                    </w14:srgbClr>
                  </w14:solidFill>
                </w14:textFill>
              </w:rPr>
              <w:t>|||</w:t>
            </w:r>
            <w:r w:rsidRPr="00CD4EA9">
              <w:rPr>
                <w:color w:val="000000"/>
                <w:spacing w:val="1"/>
                <w:shd w:val="solid" w:color="000000" w:fill="000000"/>
                <w:fitText w:val="324" w:id="-632121337"/>
                <w14:textFill>
                  <w14:solidFill>
                    <w14:srgbClr w14:val="000000">
                      <w14:alpha w14:val="100000"/>
                    </w14:srgbClr>
                  </w14:solidFill>
                </w14:textFill>
              </w:rPr>
              <w:t>|</w:t>
            </w:r>
            <w:r w:rsidR="00DE2D3D" w:rsidRPr="00DE2D3D">
              <w:rPr>
                <w:vertAlign w:val="superscript"/>
              </w:rPr>
              <w:t>3</w:t>
            </w:r>
          </w:p>
        </w:tc>
        <w:tc>
          <w:tcPr>
            <w:tcW w:w="670" w:type="pct"/>
          </w:tcPr>
          <w:p w14:paraId="62C10926" w14:textId="1F2024A5" w:rsidR="00AB4C6F" w:rsidRPr="00BF1F7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6"/>
                <w14:textFill>
                  <w14:solidFill>
                    <w14:srgbClr w14:val="000000">
                      <w14:alpha w14:val="100000"/>
                    </w14:srgbClr>
                  </w14:solidFill>
                </w14:textFill>
              </w:rPr>
              <w:t>|||</w:t>
            </w:r>
            <w:r w:rsidRPr="00CD4EA9">
              <w:rPr>
                <w:color w:val="000000"/>
                <w:spacing w:val="1"/>
                <w:shd w:val="solid" w:color="000000" w:fill="000000"/>
                <w:fitText w:val="324" w:id="-632121336"/>
                <w14:textFill>
                  <w14:solidFill>
                    <w14:srgbClr w14:val="000000">
                      <w14:alpha w14:val="100000"/>
                    </w14:srgbClr>
                  </w14:solidFill>
                </w14:textFill>
              </w:rPr>
              <w:t>|</w:t>
            </w:r>
            <w:r w:rsidR="00BF1F7D" w:rsidRPr="00BF1F7D">
              <w:rPr>
                <w:vertAlign w:val="superscript"/>
              </w:rPr>
              <w:t>4</w:t>
            </w:r>
          </w:p>
        </w:tc>
        <w:tc>
          <w:tcPr>
            <w:tcW w:w="670" w:type="pct"/>
          </w:tcPr>
          <w:p w14:paraId="2288EFBE" w14:textId="6E493AEC" w:rsidR="00AB4C6F" w:rsidRPr="00BF1F7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5"/>
                <w14:textFill>
                  <w14:solidFill>
                    <w14:srgbClr w14:val="000000">
                      <w14:alpha w14:val="100000"/>
                    </w14:srgbClr>
                  </w14:solidFill>
                </w14:textFill>
              </w:rPr>
              <w:t>|||</w:t>
            </w:r>
            <w:r w:rsidRPr="00CD4EA9">
              <w:rPr>
                <w:color w:val="000000"/>
                <w:spacing w:val="1"/>
                <w:shd w:val="solid" w:color="000000" w:fill="000000"/>
                <w:fitText w:val="324" w:id="-632121335"/>
                <w14:textFill>
                  <w14:solidFill>
                    <w14:srgbClr w14:val="000000">
                      <w14:alpha w14:val="100000"/>
                    </w14:srgbClr>
                  </w14:solidFill>
                </w14:textFill>
              </w:rPr>
              <w:t>|</w:t>
            </w:r>
            <w:r w:rsidR="00BF1F7D" w:rsidRPr="00BF1F7D">
              <w:rPr>
                <w:vertAlign w:val="superscript"/>
              </w:rPr>
              <w:t>4</w:t>
            </w:r>
          </w:p>
        </w:tc>
        <w:tc>
          <w:tcPr>
            <w:tcW w:w="670" w:type="pct"/>
          </w:tcPr>
          <w:p w14:paraId="7A6205F1" w14:textId="4A7FC29B" w:rsidR="00AB4C6F" w:rsidRPr="00BF1F7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4"/>
                <w14:textFill>
                  <w14:solidFill>
                    <w14:srgbClr w14:val="000000">
                      <w14:alpha w14:val="100000"/>
                    </w14:srgbClr>
                  </w14:solidFill>
                </w14:textFill>
              </w:rPr>
              <w:t>|||</w:t>
            </w:r>
            <w:r w:rsidRPr="00CD4EA9">
              <w:rPr>
                <w:color w:val="000000"/>
                <w:spacing w:val="1"/>
                <w:shd w:val="solid" w:color="000000" w:fill="000000"/>
                <w:fitText w:val="324" w:id="-632121334"/>
                <w14:textFill>
                  <w14:solidFill>
                    <w14:srgbClr w14:val="000000">
                      <w14:alpha w14:val="100000"/>
                    </w14:srgbClr>
                  </w14:solidFill>
                </w14:textFill>
              </w:rPr>
              <w:t>|</w:t>
            </w:r>
            <w:r w:rsidR="00BF1F7D" w:rsidRPr="00BF1F7D">
              <w:rPr>
                <w:vertAlign w:val="superscript"/>
              </w:rPr>
              <w:t>4</w:t>
            </w:r>
          </w:p>
        </w:tc>
      </w:tr>
      <w:tr w:rsidR="00AB4C6F" w:rsidRPr="00EE0EEB" w14:paraId="5D70243E" w14:textId="77777777" w:rsidTr="00AB4C6F">
        <w:tc>
          <w:tcPr>
            <w:tcW w:w="980" w:type="pct"/>
          </w:tcPr>
          <w:p w14:paraId="728F3AF8" w14:textId="77777777" w:rsidR="00AB4C6F" w:rsidRDefault="00AB4C6F" w:rsidP="006C66C7">
            <w:pPr>
              <w:pStyle w:val="TableText"/>
              <w:keepNext/>
              <w:keepLines/>
              <w:numPr>
                <w:ilvl w:val="0"/>
                <w:numId w:val="29"/>
              </w:numPr>
              <w:ind w:left="100" w:hanging="100"/>
            </w:pPr>
            <w:r>
              <w:t>MCI (37%)</w:t>
            </w:r>
          </w:p>
        </w:tc>
        <w:tc>
          <w:tcPr>
            <w:tcW w:w="670" w:type="pct"/>
          </w:tcPr>
          <w:p w14:paraId="7BD62A89" w14:textId="4B9BEFCE" w:rsidR="00AB4C6F" w:rsidRPr="00670AC3" w:rsidRDefault="00CD4EA9" w:rsidP="006C66C7">
            <w:pPr>
              <w:pStyle w:val="TableNumber"/>
              <w:keepNext/>
              <w:keepLines/>
              <w:rPr>
                <w:highlight w:val="darkGray"/>
                <w:vertAlign w:val="superscript"/>
              </w:rPr>
            </w:pPr>
            <w:r w:rsidRPr="00CD4EA9">
              <w:rPr>
                <w:color w:val="000000"/>
                <w:spacing w:val="51"/>
                <w:shd w:val="solid" w:color="000000" w:fill="000000"/>
                <w:fitText w:val="324" w:id="-632121333"/>
                <w14:textFill>
                  <w14:solidFill>
                    <w14:srgbClr w14:val="000000">
                      <w14:alpha w14:val="100000"/>
                    </w14:srgbClr>
                  </w14:solidFill>
                </w14:textFill>
              </w:rPr>
              <w:t>|||</w:t>
            </w:r>
            <w:r w:rsidRPr="00CD4EA9">
              <w:rPr>
                <w:color w:val="000000"/>
                <w:spacing w:val="1"/>
                <w:shd w:val="solid" w:color="000000" w:fill="000000"/>
                <w:fitText w:val="324" w:id="-632121333"/>
                <w14:textFill>
                  <w14:solidFill>
                    <w14:srgbClr w14:val="000000">
                      <w14:alpha w14:val="100000"/>
                    </w14:srgbClr>
                  </w14:solidFill>
                </w14:textFill>
              </w:rPr>
              <w:t>|</w:t>
            </w:r>
            <w:r w:rsidR="00670AC3" w:rsidRPr="00670AC3">
              <w:rPr>
                <w:vertAlign w:val="superscript"/>
              </w:rPr>
              <w:t>5</w:t>
            </w:r>
          </w:p>
        </w:tc>
        <w:tc>
          <w:tcPr>
            <w:tcW w:w="670" w:type="pct"/>
          </w:tcPr>
          <w:p w14:paraId="622AC014" w14:textId="69A6048E" w:rsidR="00AB4C6F" w:rsidRPr="00670AC3"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2"/>
                <w14:textFill>
                  <w14:solidFill>
                    <w14:srgbClr w14:val="000000">
                      <w14:alpha w14:val="100000"/>
                    </w14:srgbClr>
                  </w14:solidFill>
                </w14:textFill>
              </w:rPr>
              <w:t>|||</w:t>
            </w:r>
            <w:r w:rsidRPr="00CD4EA9">
              <w:rPr>
                <w:color w:val="000000"/>
                <w:spacing w:val="1"/>
                <w:shd w:val="solid" w:color="000000" w:fill="000000"/>
                <w:fitText w:val="324" w:id="-632121332"/>
                <w14:textFill>
                  <w14:solidFill>
                    <w14:srgbClr w14:val="000000">
                      <w14:alpha w14:val="100000"/>
                    </w14:srgbClr>
                  </w14:solidFill>
                </w14:textFill>
              </w:rPr>
              <w:t>|</w:t>
            </w:r>
            <w:r w:rsidR="00670AC3" w:rsidRPr="00670AC3">
              <w:rPr>
                <w:vertAlign w:val="superscript"/>
              </w:rPr>
              <w:t>5</w:t>
            </w:r>
          </w:p>
        </w:tc>
        <w:tc>
          <w:tcPr>
            <w:tcW w:w="670" w:type="pct"/>
          </w:tcPr>
          <w:p w14:paraId="1D17B847" w14:textId="5C624520" w:rsidR="00AB4C6F" w:rsidRPr="00670AC3"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1"/>
                <w14:textFill>
                  <w14:solidFill>
                    <w14:srgbClr w14:val="000000">
                      <w14:alpha w14:val="100000"/>
                    </w14:srgbClr>
                  </w14:solidFill>
                </w14:textFill>
              </w:rPr>
              <w:t>|||</w:t>
            </w:r>
            <w:r w:rsidRPr="00CD4EA9">
              <w:rPr>
                <w:color w:val="000000"/>
                <w:spacing w:val="1"/>
                <w:shd w:val="solid" w:color="000000" w:fill="000000"/>
                <w:fitText w:val="324" w:id="-632121331"/>
                <w14:textFill>
                  <w14:solidFill>
                    <w14:srgbClr w14:val="000000">
                      <w14:alpha w14:val="100000"/>
                    </w14:srgbClr>
                  </w14:solidFill>
                </w14:textFill>
              </w:rPr>
              <w:t>|</w:t>
            </w:r>
            <w:r w:rsidR="00670AC3" w:rsidRPr="00670AC3">
              <w:rPr>
                <w:vertAlign w:val="superscript"/>
              </w:rPr>
              <w:t>6</w:t>
            </w:r>
          </w:p>
        </w:tc>
        <w:tc>
          <w:tcPr>
            <w:tcW w:w="670" w:type="pct"/>
          </w:tcPr>
          <w:p w14:paraId="32053CAF" w14:textId="6B753914" w:rsidR="00AB4C6F" w:rsidRPr="00810992"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30"/>
                <w14:textFill>
                  <w14:solidFill>
                    <w14:srgbClr w14:val="000000">
                      <w14:alpha w14:val="100000"/>
                    </w14:srgbClr>
                  </w14:solidFill>
                </w14:textFill>
              </w:rPr>
              <w:t>|||</w:t>
            </w:r>
            <w:r w:rsidRPr="00CD4EA9">
              <w:rPr>
                <w:color w:val="000000"/>
                <w:spacing w:val="1"/>
                <w:shd w:val="solid" w:color="000000" w:fill="000000"/>
                <w:fitText w:val="324" w:id="-632121330"/>
                <w14:textFill>
                  <w14:solidFill>
                    <w14:srgbClr w14:val="000000">
                      <w14:alpha w14:val="100000"/>
                    </w14:srgbClr>
                  </w14:solidFill>
                </w14:textFill>
              </w:rPr>
              <w:t>|</w:t>
            </w:r>
            <w:r w:rsidR="00810992" w:rsidRPr="00810992">
              <w:rPr>
                <w:vertAlign w:val="superscript"/>
              </w:rPr>
              <w:t>6</w:t>
            </w:r>
          </w:p>
        </w:tc>
        <w:tc>
          <w:tcPr>
            <w:tcW w:w="670" w:type="pct"/>
          </w:tcPr>
          <w:p w14:paraId="0DF5C498" w14:textId="320B974E" w:rsidR="00AB4C6F" w:rsidRPr="004C6034"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29"/>
                <w14:textFill>
                  <w14:solidFill>
                    <w14:srgbClr w14:val="000000">
                      <w14:alpha w14:val="100000"/>
                    </w14:srgbClr>
                  </w14:solidFill>
                </w14:textFill>
              </w:rPr>
              <w:t>|||</w:t>
            </w:r>
            <w:r w:rsidRPr="00CD4EA9">
              <w:rPr>
                <w:color w:val="000000"/>
                <w:spacing w:val="1"/>
                <w:shd w:val="solid" w:color="000000" w:fill="000000"/>
                <w:fitText w:val="324" w:id="-632121329"/>
                <w14:textFill>
                  <w14:solidFill>
                    <w14:srgbClr w14:val="000000">
                      <w14:alpha w14:val="100000"/>
                    </w14:srgbClr>
                  </w14:solidFill>
                </w14:textFill>
              </w:rPr>
              <w:t>|</w:t>
            </w:r>
            <w:r w:rsidR="004C6034" w:rsidRPr="00CE1D46">
              <w:rPr>
                <w:vertAlign w:val="superscript"/>
              </w:rPr>
              <w:t>7</w:t>
            </w:r>
          </w:p>
        </w:tc>
        <w:tc>
          <w:tcPr>
            <w:tcW w:w="670" w:type="pct"/>
          </w:tcPr>
          <w:p w14:paraId="2883A57B" w14:textId="37314EE0" w:rsidR="00AB4C6F" w:rsidRPr="0033328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28"/>
                <w14:textFill>
                  <w14:solidFill>
                    <w14:srgbClr w14:val="000000">
                      <w14:alpha w14:val="100000"/>
                    </w14:srgbClr>
                  </w14:solidFill>
                </w14:textFill>
              </w:rPr>
              <w:t>|||</w:t>
            </w:r>
            <w:r w:rsidRPr="00CD4EA9">
              <w:rPr>
                <w:color w:val="000000"/>
                <w:spacing w:val="1"/>
                <w:shd w:val="solid" w:color="000000" w:fill="000000"/>
                <w:fitText w:val="324" w:id="-632121328"/>
                <w14:textFill>
                  <w14:solidFill>
                    <w14:srgbClr w14:val="000000">
                      <w14:alpha w14:val="100000"/>
                    </w14:srgbClr>
                  </w14:solidFill>
                </w14:textFill>
              </w:rPr>
              <w:t>|</w:t>
            </w:r>
            <w:r w:rsidR="0033328D" w:rsidRPr="0033328D">
              <w:rPr>
                <w:vertAlign w:val="superscript"/>
              </w:rPr>
              <w:t>8</w:t>
            </w:r>
          </w:p>
        </w:tc>
      </w:tr>
      <w:tr w:rsidR="00AB4C6F" w:rsidRPr="00EE0EEB" w14:paraId="14AF131E" w14:textId="77777777" w:rsidTr="00AB4C6F">
        <w:tc>
          <w:tcPr>
            <w:tcW w:w="980" w:type="pct"/>
          </w:tcPr>
          <w:p w14:paraId="322B4015" w14:textId="77777777" w:rsidR="00AB4C6F" w:rsidRDefault="00AB4C6F" w:rsidP="006C66C7">
            <w:pPr>
              <w:pStyle w:val="TableText"/>
              <w:keepNext/>
              <w:keepLines/>
              <w:numPr>
                <w:ilvl w:val="0"/>
                <w:numId w:val="29"/>
              </w:numPr>
              <w:ind w:left="100" w:hanging="100"/>
            </w:pPr>
            <w:r>
              <w:t>Dementia (63%)</w:t>
            </w:r>
          </w:p>
        </w:tc>
        <w:tc>
          <w:tcPr>
            <w:tcW w:w="670" w:type="pct"/>
          </w:tcPr>
          <w:p w14:paraId="40462C23" w14:textId="792942A8" w:rsidR="00AB4C6F" w:rsidRPr="00CE1D46" w:rsidRDefault="00CD4EA9" w:rsidP="006C66C7">
            <w:pPr>
              <w:pStyle w:val="TableNumber"/>
              <w:keepNext/>
              <w:keepLines/>
              <w:rPr>
                <w:highlight w:val="darkGray"/>
                <w:vertAlign w:val="superscript"/>
              </w:rPr>
            </w:pPr>
            <w:r w:rsidRPr="00CD4EA9">
              <w:rPr>
                <w:color w:val="000000"/>
                <w:spacing w:val="51"/>
                <w:shd w:val="solid" w:color="000000" w:fill="000000"/>
                <w:fitText w:val="324" w:id="-632121344"/>
                <w14:textFill>
                  <w14:solidFill>
                    <w14:srgbClr w14:val="000000">
                      <w14:alpha w14:val="100000"/>
                    </w14:srgbClr>
                  </w14:solidFill>
                </w14:textFill>
              </w:rPr>
              <w:t>|||</w:t>
            </w:r>
            <w:r w:rsidRPr="00CD4EA9">
              <w:rPr>
                <w:color w:val="000000"/>
                <w:spacing w:val="1"/>
                <w:shd w:val="solid" w:color="000000" w:fill="000000"/>
                <w:fitText w:val="324" w:id="-632121344"/>
                <w14:textFill>
                  <w14:solidFill>
                    <w14:srgbClr w14:val="000000">
                      <w14:alpha w14:val="100000"/>
                    </w14:srgbClr>
                  </w14:solidFill>
                </w14:textFill>
              </w:rPr>
              <w:t>|</w:t>
            </w:r>
            <w:r w:rsidR="00CE1D46" w:rsidRPr="00CE1D46">
              <w:rPr>
                <w:vertAlign w:val="superscript"/>
              </w:rPr>
              <w:t>7</w:t>
            </w:r>
          </w:p>
        </w:tc>
        <w:tc>
          <w:tcPr>
            <w:tcW w:w="670" w:type="pct"/>
          </w:tcPr>
          <w:p w14:paraId="5F1811A1" w14:textId="50621CEF" w:rsidR="00AB4C6F" w:rsidRPr="0033328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343"/>
                <w14:textFill>
                  <w14:solidFill>
                    <w14:srgbClr w14:val="000000">
                      <w14:alpha w14:val="100000"/>
                    </w14:srgbClr>
                  </w14:solidFill>
                </w14:textFill>
              </w:rPr>
              <w:t>|||</w:t>
            </w:r>
            <w:r w:rsidRPr="00CD4EA9">
              <w:rPr>
                <w:color w:val="000000"/>
                <w:spacing w:val="1"/>
                <w:shd w:val="solid" w:color="000000" w:fill="000000"/>
                <w:fitText w:val="324" w:id="-632121343"/>
                <w14:textFill>
                  <w14:solidFill>
                    <w14:srgbClr w14:val="000000">
                      <w14:alpha w14:val="100000"/>
                    </w14:srgbClr>
                  </w14:solidFill>
                </w14:textFill>
              </w:rPr>
              <w:t>|</w:t>
            </w:r>
            <w:r w:rsidR="0033328D" w:rsidRPr="0033328D">
              <w:rPr>
                <w:vertAlign w:val="superscript"/>
              </w:rPr>
              <w:t>8</w:t>
            </w:r>
          </w:p>
        </w:tc>
        <w:tc>
          <w:tcPr>
            <w:tcW w:w="670" w:type="pct"/>
          </w:tcPr>
          <w:p w14:paraId="3969424D" w14:textId="0D5B6AFA" w:rsidR="00AB4C6F" w:rsidRPr="0033328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8"/>
                <w14:textFill>
                  <w14:solidFill>
                    <w14:srgbClr w14:val="000000">
                      <w14:alpha w14:val="100000"/>
                    </w14:srgbClr>
                  </w14:solidFill>
                </w14:textFill>
              </w:rPr>
              <w:t>|||</w:t>
            </w:r>
            <w:r w:rsidRPr="00CD4EA9">
              <w:rPr>
                <w:color w:val="000000"/>
                <w:spacing w:val="1"/>
                <w:shd w:val="solid" w:color="000000" w:fill="000000"/>
                <w:fitText w:val="324" w:id="-632121088"/>
                <w14:textFill>
                  <w14:solidFill>
                    <w14:srgbClr w14:val="000000">
                      <w14:alpha w14:val="100000"/>
                    </w14:srgbClr>
                  </w14:solidFill>
                </w14:textFill>
              </w:rPr>
              <w:t>|</w:t>
            </w:r>
            <w:r w:rsidR="0033328D" w:rsidRPr="0033328D">
              <w:rPr>
                <w:vertAlign w:val="superscript"/>
              </w:rPr>
              <w:t>8</w:t>
            </w:r>
          </w:p>
        </w:tc>
        <w:tc>
          <w:tcPr>
            <w:tcW w:w="670" w:type="pct"/>
          </w:tcPr>
          <w:p w14:paraId="162164A2" w14:textId="5E9B8284" w:rsidR="00AB4C6F" w:rsidRPr="000A2F55"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7"/>
                <w14:textFill>
                  <w14:solidFill>
                    <w14:srgbClr w14:val="000000">
                      <w14:alpha w14:val="100000"/>
                    </w14:srgbClr>
                  </w14:solidFill>
                </w14:textFill>
              </w:rPr>
              <w:t>|||</w:t>
            </w:r>
            <w:r w:rsidRPr="00CD4EA9">
              <w:rPr>
                <w:color w:val="000000"/>
                <w:spacing w:val="1"/>
                <w:shd w:val="solid" w:color="000000" w:fill="000000"/>
                <w:fitText w:val="324" w:id="-632121087"/>
                <w14:textFill>
                  <w14:solidFill>
                    <w14:srgbClr w14:val="000000">
                      <w14:alpha w14:val="100000"/>
                    </w14:srgbClr>
                  </w14:solidFill>
                </w14:textFill>
              </w:rPr>
              <w:t>|</w:t>
            </w:r>
            <w:r w:rsidR="000A2F55" w:rsidRPr="000A2F55">
              <w:rPr>
                <w:vertAlign w:val="superscript"/>
              </w:rPr>
              <w:t>9</w:t>
            </w:r>
          </w:p>
        </w:tc>
        <w:tc>
          <w:tcPr>
            <w:tcW w:w="670" w:type="pct"/>
          </w:tcPr>
          <w:p w14:paraId="1A1E5A78" w14:textId="0693A5F6" w:rsidR="00AB4C6F" w:rsidRPr="00CC678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6"/>
                <w14:textFill>
                  <w14:solidFill>
                    <w14:srgbClr w14:val="000000">
                      <w14:alpha w14:val="100000"/>
                    </w14:srgbClr>
                  </w14:solidFill>
                </w14:textFill>
              </w:rPr>
              <w:t>|||</w:t>
            </w:r>
            <w:r w:rsidRPr="00CD4EA9">
              <w:rPr>
                <w:color w:val="000000"/>
                <w:spacing w:val="1"/>
                <w:shd w:val="solid" w:color="000000" w:fill="000000"/>
                <w:fitText w:val="324" w:id="-632121086"/>
                <w14:textFill>
                  <w14:solidFill>
                    <w14:srgbClr w14:val="000000">
                      <w14:alpha w14:val="100000"/>
                    </w14:srgbClr>
                  </w14:solidFill>
                </w14:textFill>
              </w:rPr>
              <w:t>|</w:t>
            </w:r>
            <w:r w:rsidR="00CC678D" w:rsidRPr="00CC678D">
              <w:rPr>
                <w:vertAlign w:val="superscript"/>
              </w:rPr>
              <w:t>1</w:t>
            </w:r>
          </w:p>
        </w:tc>
        <w:tc>
          <w:tcPr>
            <w:tcW w:w="670" w:type="pct"/>
          </w:tcPr>
          <w:p w14:paraId="1981693D" w14:textId="23455855" w:rsidR="00AB4C6F" w:rsidRPr="00DE2D3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5"/>
                <w14:textFill>
                  <w14:solidFill>
                    <w14:srgbClr w14:val="000000">
                      <w14:alpha w14:val="100000"/>
                    </w14:srgbClr>
                  </w14:solidFill>
                </w14:textFill>
              </w:rPr>
              <w:t>|||</w:t>
            </w:r>
            <w:r w:rsidRPr="00CD4EA9">
              <w:rPr>
                <w:color w:val="000000"/>
                <w:spacing w:val="1"/>
                <w:shd w:val="solid" w:color="000000" w:fill="000000"/>
                <w:fitText w:val="324" w:id="-632121085"/>
                <w14:textFill>
                  <w14:solidFill>
                    <w14:srgbClr w14:val="000000">
                      <w14:alpha w14:val="100000"/>
                    </w14:srgbClr>
                  </w14:solidFill>
                </w14:textFill>
              </w:rPr>
              <w:t>|</w:t>
            </w:r>
            <w:r w:rsidR="00DE2D3D" w:rsidRPr="00DE2D3D">
              <w:rPr>
                <w:vertAlign w:val="superscript"/>
              </w:rPr>
              <w:t>2</w:t>
            </w:r>
          </w:p>
        </w:tc>
      </w:tr>
      <w:tr w:rsidR="00AB4C6F" w:rsidRPr="00EE0EEB" w14:paraId="2ADE570E" w14:textId="77777777" w:rsidTr="00AB4C6F">
        <w:tc>
          <w:tcPr>
            <w:tcW w:w="5000" w:type="pct"/>
            <w:gridSpan w:val="7"/>
          </w:tcPr>
          <w:p w14:paraId="1B7D2417" w14:textId="77777777" w:rsidR="00AB4C6F" w:rsidRPr="00EE0EEB" w:rsidRDefault="00AB4C6F" w:rsidP="006C66C7">
            <w:pPr>
              <w:pStyle w:val="TableText"/>
              <w:keepNext/>
              <w:keepLines/>
              <w:rPr>
                <w:b/>
              </w:rPr>
            </w:pPr>
            <w:r>
              <w:rPr>
                <w:b/>
              </w:rPr>
              <w:t xml:space="preserve">Estimated patients eligible for </w:t>
            </w:r>
            <w:r w:rsidRPr="003E2A72">
              <w:rPr>
                <w:b/>
                <w:i/>
                <w:iCs/>
              </w:rPr>
              <w:t>APOE4</w:t>
            </w:r>
            <w:r>
              <w:rPr>
                <w:b/>
              </w:rPr>
              <w:t xml:space="preserve"> genotyping</w:t>
            </w:r>
          </w:p>
        </w:tc>
      </w:tr>
      <w:tr w:rsidR="00AB4C6F" w:rsidRPr="00EE0EEB" w14:paraId="6B7840BC" w14:textId="77777777" w:rsidTr="00AB4C6F">
        <w:tc>
          <w:tcPr>
            <w:tcW w:w="980" w:type="pct"/>
          </w:tcPr>
          <w:p w14:paraId="2EBE7F9D" w14:textId="77777777" w:rsidR="00AB4C6F" w:rsidRPr="00EE0EEB" w:rsidRDefault="00AB4C6F" w:rsidP="006C66C7">
            <w:pPr>
              <w:pStyle w:val="TableText"/>
              <w:keepNext/>
              <w:keepLines/>
            </w:pPr>
            <w:r>
              <w:t>Number of patients appropriate for testing</w:t>
            </w:r>
          </w:p>
        </w:tc>
        <w:tc>
          <w:tcPr>
            <w:tcW w:w="670" w:type="pct"/>
          </w:tcPr>
          <w:p w14:paraId="5D328778" w14:textId="49906D18" w:rsidR="00AB4C6F" w:rsidRPr="00CE1D46" w:rsidRDefault="00CD4EA9" w:rsidP="006C66C7">
            <w:pPr>
              <w:pStyle w:val="TableNumber"/>
              <w:keepNext/>
              <w:keepLines/>
              <w:rPr>
                <w:highlight w:val="darkGray"/>
                <w:vertAlign w:val="superscript"/>
              </w:rPr>
            </w:pPr>
            <w:r w:rsidRPr="00CD4EA9">
              <w:rPr>
                <w:color w:val="000000"/>
                <w:spacing w:val="51"/>
                <w:shd w:val="solid" w:color="000000" w:fill="000000"/>
                <w:fitText w:val="324" w:id="-632121084"/>
                <w14:textFill>
                  <w14:solidFill>
                    <w14:srgbClr w14:val="000000">
                      <w14:alpha w14:val="100000"/>
                    </w14:srgbClr>
                  </w14:solidFill>
                </w14:textFill>
              </w:rPr>
              <w:t>|||</w:t>
            </w:r>
            <w:r w:rsidRPr="00CD4EA9">
              <w:rPr>
                <w:color w:val="000000"/>
                <w:spacing w:val="1"/>
                <w:shd w:val="solid" w:color="000000" w:fill="000000"/>
                <w:fitText w:val="324" w:id="-632121084"/>
                <w14:textFill>
                  <w14:solidFill>
                    <w14:srgbClr w14:val="000000">
                      <w14:alpha w14:val="100000"/>
                    </w14:srgbClr>
                  </w14:solidFill>
                </w14:textFill>
              </w:rPr>
              <w:t>|</w:t>
            </w:r>
            <w:r w:rsidR="00CE1D46" w:rsidRPr="00CE1D46">
              <w:rPr>
                <w:vertAlign w:val="superscript"/>
              </w:rPr>
              <w:t>6</w:t>
            </w:r>
          </w:p>
        </w:tc>
        <w:tc>
          <w:tcPr>
            <w:tcW w:w="670" w:type="pct"/>
          </w:tcPr>
          <w:p w14:paraId="7683F3D6" w14:textId="07410028" w:rsidR="00AB4C6F" w:rsidRPr="00CE1D46"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3"/>
                <w14:textFill>
                  <w14:solidFill>
                    <w14:srgbClr w14:val="000000">
                      <w14:alpha w14:val="100000"/>
                    </w14:srgbClr>
                  </w14:solidFill>
                </w14:textFill>
              </w:rPr>
              <w:t>|||</w:t>
            </w:r>
            <w:r w:rsidRPr="00CD4EA9">
              <w:rPr>
                <w:color w:val="000000"/>
                <w:spacing w:val="1"/>
                <w:shd w:val="solid" w:color="000000" w:fill="000000"/>
                <w:fitText w:val="324" w:id="-632121083"/>
                <w14:textFill>
                  <w14:solidFill>
                    <w14:srgbClr w14:val="000000">
                      <w14:alpha w14:val="100000"/>
                    </w14:srgbClr>
                  </w14:solidFill>
                </w14:textFill>
              </w:rPr>
              <w:t>|</w:t>
            </w:r>
            <w:r w:rsidR="00CE1D46" w:rsidRPr="00CE1D46">
              <w:rPr>
                <w:vertAlign w:val="superscript"/>
              </w:rPr>
              <w:t>7</w:t>
            </w:r>
          </w:p>
        </w:tc>
        <w:tc>
          <w:tcPr>
            <w:tcW w:w="670" w:type="pct"/>
          </w:tcPr>
          <w:p w14:paraId="3F2E5280" w14:textId="343949F2" w:rsidR="00AB4C6F" w:rsidRPr="0033328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2"/>
                <w14:textFill>
                  <w14:solidFill>
                    <w14:srgbClr w14:val="000000">
                      <w14:alpha w14:val="100000"/>
                    </w14:srgbClr>
                  </w14:solidFill>
                </w14:textFill>
              </w:rPr>
              <w:t>|||</w:t>
            </w:r>
            <w:r w:rsidRPr="00CD4EA9">
              <w:rPr>
                <w:color w:val="000000"/>
                <w:spacing w:val="1"/>
                <w:shd w:val="solid" w:color="000000" w:fill="000000"/>
                <w:fitText w:val="324" w:id="-632121082"/>
                <w14:textFill>
                  <w14:solidFill>
                    <w14:srgbClr w14:val="000000">
                      <w14:alpha w14:val="100000"/>
                    </w14:srgbClr>
                  </w14:solidFill>
                </w14:textFill>
              </w:rPr>
              <w:t>|</w:t>
            </w:r>
            <w:r w:rsidR="0033328D" w:rsidRPr="0033328D">
              <w:rPr>
                <w:vertAlign w:val="superscript"/>
              </w:rPr>
              <w:t>8</w:t>
            </w:r>
          </w:p>
        </w:tc>
        <w:tc>
          <w:tcPr>
            <w:tcW w:w="670" w:type="pct"/>
          </w:tcPr>
          <w:p w14:paraId="6F1FD8C8" w14:textId="17C9E96D" w:rsidR="00AB4C6F" w:rsidRPr="000A2F55"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1"/>
                <w14:textFill>
                  <w14:solidFill>
                    <w14:srgbClr w14:val="000000">
                      <w14:alpha w14:val="100000"/>
                    </w14:srgbClr>
                  </w14:solidFill>
                </w14:textFill>
              </w:rPr>
              <w:t>|||</w:t>
            </w:r>
            <w:r w:rsidRPr="00CD4EA9">
              <w:rPr>
                <w:color w:val="000000"/>
                <w:spacing w:val="1"/>
                <w:shd w:val="solid" w:color="000000" w:fill="000000"/>
                <w:fitText w:val="324" w:id="-632121081"/>
                <w14:textFill>
                  <w14:solidFill>
                    <w14:srgbClr w14:val="000000">
                      <w14:alpha w14:val="100000"/>
                    </w14:srgbClr>
                  </w14:solidFill>
                </w14:textFill>
              </w:rPr>
              <w:t>|</w:t>
            </w:r>
            <w:r w:rsidR="000A2F55" w:rsidRPr="000A2F55">
              <w:rPr>
                <w:vertAlign w:val="superscript"/>
              </w:rPr>
              <w:t>9</w:t>
            </w:r>
          </w:p>
        </w:tc>
        <w:tc>
          <w:tcPr>
            <w:tcW w:w="670" w:type="pct"/>
          </w:tcPr>
          <w:p w14:paraId="33CC5A28" w14:textId="13FBE78F" w:rsidR="00AB4C6F" w:rsidRPr="00CC678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80"/>
                <w14:textFill>
                  <w14:solidFill>
                    <w14:srgbClr w14:val="000000">
                      <w14:alpha w14:val="100000"/>
                    </w14:srgbClr>
                  </w14:solidFill>
                </w14:textFill>
              </w:rPr>
              <w:t>|||</w:t>
            </w:r>
            <w:r w:rsidRPr="00CD4EA9">
              <w:rPr>
                <w:color w:val="000000"/>
                <w:spacing w:val="1"/>
                <w:shd w:val="solid" w:color="000000" w:fill="000000"/>
                <w:fitText w:val="324" w:id="-632121080"/>
                <w14:textFill>
                  <w14:solidFill>
                    <w14:srgbClr w14:val="000000">
                      <w14:alpha w14:val="100000"/>
                    </w14:srgbClr>
                  </w14:solidFill>
                </w14:textFill>
              </w:rPr>
              <w:t>|</w:t>
            </w:r>
            <w:r w:rsidR="00CC678D" w:rsidRPr="00CC678D">
              <w:rPr>
                <w:vertAlign w:val="superscript"/>
              </w:rPr>
              <w:t>1</w:t>
            </w:r>
          </w:p>
        </w:tc>
        <w:tc>
          <w:tcPr>
            <w:tcW w:w="670" w:type="pct"/>
          </w:tcPr>
          <w:p w14:paraId="41AB80C8" w14:textId="28B13089" w:rsidR="00AB4C6F" w:rsidRPr="00DE2D3D" w:rsidRDefault="00CD4EA9" w:rsidP="006C66C7">
            <w:pPr>
              <w:pStyle w:val="TableText"/>
              <w:keepNext/>
              <w:keepLines/>
              <w:tabs>
                <w:tab w:val="decimal" w:pos="396"/>
              </w:tabs>
              <w:jc w:val="center"/>
              <w:rPr>
                <w:highlight w:val="darkGray"/>
                <w:vertAlign w:val="superscript"/>
              </w:rPr>
            </w:pPr>
            <w:r w:rsidRPr="00CD4EA9">
              <w:rPr>
                <w:color w:val="000000"/>
                <w:spacing w:val="51"/>
                <w:shd w:val="solid" w:color="000000" w:fill="000000"/>
                <w:fitText w:val="324" w:id="-632121079"/>
                <w14:textFill>
                  <w14:solidFill>
                    <w14:srgbClr w14:val="000000">
                      <w14:alpha w14:val="100000"/>
                    </w14:srgbClr>
                  </w14:solidFill>
                </w14:textFill>
              </w:rPr>
              <w:t>|||</w:t>
            </w:r>
            <w:r w:rsidRPr="00CD4EA9">
              <w:rPr>
                <w:color w:val="000000"/>
                <w:spacing w:val="1"/>
                <w:shd w:val="solid" w:color="000000" w:fill="000000"/>
                <w:fitText w:val="324" w:id="-632121079"/>
                <w14:textFill>
                  <w14:solidFill>
                    <w14:srgbClr w14:val="000000">
                      <w14:alpha w14:val="100000"/>
                    </w14:srgbClr>
                  </w14:solidFill>
                </w14:textFill>
              </w:rPr>
              <w:t>|</w:t>
            </w:r>
            <w:r w:rsidR="00DE2D3D" w:rsidRPr="00DE2D3D">
              <w:rPr>
                <w:vertAlign w:val="superscript"/>
              </w:rPr>
              <w:t>2</w:t>
            </w:r>
          </w:p>
        </w:tc>
      </w:tr>
      <w:tr w:rsidR="00AB4C6F" w:rsidRPr="00EE0EEB" w14:paraId="5596CA82" w14:textId="77777777" w:rsidTr="00AB4C6F">
        <w:tc>
          <w:tcPr>
            <w:tcW w:w="980" w:type="pct"/>
          </w:tcPr>
          <w:p w14:paraId="7F586275" w14:textId="77777777" w:rsidR="00AB4C6F" w:rsidRDefault="00AB4C6F" w:rsidP="006C66C7">
            <w:pPr>
              <w:pStyle w:val="TableText"/>
              <w:keepNext/>
              <w:keepLines/>
              <w:numPr>
                <w:ilvl w:val="0"/>
                <w:numId w:val="29"/>
              </w:numPr>
              <w:ind w:left="100" w:hanging="100"/>
            </w:pPr>
            <w:r>
              <w:t>MCI</w:t>
            </w:r>
            <w:r w:rsidRPr="003E2A72">
              <w:rPr>
                <w:vertAlign w:val="superscript"/>
              </w:rPr>
              <w:t>1</w:t>
            </w:r>
          </w:p>
        </w:tc>
        <w:tc>
          <w:tcPr>
            <w:tcW w:w="670" w:type="pct"/>
          </w:tcPr>
          <w:p w14:paraId="7CC60D93" w14:textId="2C044AFC" w:rsidR="00AB4C6F" w:rsidRPr="00BD637A" w:rsidRDefault="00CD4EA9" w:rsidP="006C66C7">
            <w:pPr>
              <w:pStyle w:val="TableNumber"/>
              <w:keepNext/>
              <w:keepLines/>
              <w:rPr>
                <w:szCs w:val="20"/>
                <w:highlight w:val="darkGray"/>
                <w:vertAlign w:val="superscript"/>
              </w:rPr>
            </w:pPr>
            <w:r w:rsidRPr="00CD4EA9">
              <w:rPr>
                <w:color w:val="000000"/>
                <w:spacing w:val="51"/>
                <w:szCs w:val="20"/>
                <w:shd w:val="solid" w:color="000000" w:fill="000000"/>
                <w:fitText w:val="324" w:id="-632121078"/>
                <w14:textFill>
                  <w14:solidFill>
                    <w14:srgbClr w14:val="000000">
                      <w14:alpha w14:val="100000"/>
                    </w14:srgbClr>
                  </w14:solidFill>
                </w14:textFill>
              </w:rPr>
              <w:t>|||</w:t>
            </w:r>
            <w:r w:rsidRPr="00CD4EA9">
              <w:rPr>
                <w:color w:val="000000"/>
                <w:spacing w:val="1"/>
                <w:szCs w:val="20"/>
                <w:shd w:val="solid" w:color="000000" w:fill="000000"/>
                <w:fitText w:val="324" w:id="-632121078"/>
                <w14:textFill>
                  <w14:solidFill>
                    <w14:srgbClr w14:val="000000">
                      <w14:alpha w14:val="100000"/>
                    </w14:srgbClr>
                  </w14:solidFill>
                </w14:textFill>
              </w:rPr>
              <w:t>|</w:t>
            </w:r>
            <w:r w:rsidR="00BD637A" w:rsidRPr="00BD637A">
              <w:rPr>
                <w:color w:val="000000"/>
                <w:szCs w:val="20"/>
                <w:vertAlign w:val="superscript"/>
              </w:rPr>
              <w:t>9</w:t>
            </w:r>
          </w:p>
        </w:tc>
        <w:tc>
          <w:tcPr>
            <w:tcW w:w="670" w:type="pct"/>
          </w:tcPr>
          <w:p w14:paraId="5503AFF8" w14:textId="45C139DB" w:rsidR="00AB4C6F" w:rsidRPr="00BD637A"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77"/>
                <w14:textFill>
                  <w14:solidFill>
                    <w14:srgbClr w14:val="000000">
                      <w14:alpha w14:val="100000"/>
                    </w14:srgbClr>
                  </w14:solidFill>
                </w14:textFill>
              </w:rPr>
              <w:t>|||</w:t>
            </w:r>
            <w:r w:rsidRPr="00CD4EA9">
              <w:rPr>
                <w:color w:val="000000"/>
                <w:spacing w:val="1"/>
                <w:szCs w:val="20"/>
                <w:shd w:val="solid" w:color="000000" w:fill="000000"/>
                <w:fitText w:val="324" w:id="-632121077"/>
                <w14:textFill>
                  <w14:solidFill>
                    <w14:srgbClr w14:val="000000">
                      <w14:alpha w14:val="100000"/>
                    </w14:srgbClr>
                  </w14:solidFill>
                </w14:textFill>
              </w:rPr>
              <w:t>|</w:t>
            </w:r>
            <w:r w:rsidR="00BD637A" w:rsidRPr="00BD637A">
              <w:rPr>
                <w:color w:val="000000"/>
                <w:szCs w:val="20"/>
                <w:vertAlign w:val="superscript"/>
              </w:rPr>
              <w:t>9</w:t>
            </w:r>
          </w:p>
        </w:tc>
        <w:tc>
          <w:tcPr>
            <w:tcW w:w="670" w:type="pct"/>
          </w:tcPr>
          <w:p w14:paraId="0982A8C5" w14:textId="565501CD" w:rsidR="00AB4C6F" w:rsidRPr="00BD637A"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76"/>
                <w14:textFill>
                  <w14:solidFill>
                    <w14:srgbClr w14:val="000000">
                      <w14:alpha w14:val="100000"/>
                    </w14:srgbClr>
                  </w14:solidFill>
                </w14:textFill>
              </w:rPr>
              <w:t>|||</w:t>
            </w:r>
            <w:r w:rsidRPr="00CD4EA9">
              <w:rPr>
                <w:color w:val="000000"/>
                <w:spacing w:val="1"/>
                <w:szCs w:val="20"/>
                <w:shd w:val="solid" w:color="000000" w:fill="000000"/>
                <w:fitText w:val="324" w:id="-632121076"/>
                <w14:textFill>
                  <w14:solidFill>
                    <w14:srgbClr w14:val="000000">
                      <w14:alpha w14:val="100000"/>
                    </w14:srgbClr>
                  </w14:solidFill>
                </w14:textFill>
              </w:rPr>
              <w:t>|</w:t>
            </w:r>
            <w:r w:rsidR="00BD637A" w:rsidRPr="00BD637A">
              <w:rPr>
                <w:color w:val="000000"/>
                <w:szCs w:val="20"/>
                <w:vertAlign w:val="superscript"/>
              </w:rPr>
              <w:t>9</w:t>
            </w:r>
          </w:p>
        </w:tc>
        <w:tc>
          <w:tcPr>
            <w:tcW w:w="670" w:type="pct"/>
          </w:tcPr>
          <w:p w14:paraId="749141B7" w14:textId="5236736B" w:rsidR="00AB4C6F" w:rsidRPr="00670AC3"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75"/>
                <w14:textFill>
                  <w14:solidFill>
                    <w14:srgbClr w14:val="000000">
                      <w14:alpha w14:val="100000"/>
                    </w14:srgbClr>
                  </w14:solidFill>
                </w14:textFill>
              </w:rPr>
              <w:t>|||</w:t>
            </w:r>
            <w:r w:rsidRPr="00CD4EA9">
              <w:rPr>
                <w:color w:val="000000"/>
                <w:spacing w:val="1"/>
                <w:szCs w:val="20"/>
                <w:shd w:val="solid" w:color="000000" w:fill="000000"/>
                <w:fitText w:val="324" w:id="-632121075"/>
                <w14:textFill>
                  <w14:solidFill>
                    <w14:srgbClr w14:val="000000">
                      <w14:alpha w14:val="100000"/>
                    </w14:srgbClr>
                  </w14:solidFill>
                </w14:textFill>
              </w:rPr>
              <w:t>|</w:t>
            </w:r>
            <w:r w:rsidR="00670AC3" w:rsidRPr="00670AC3">
              <w:rPr>
                <w:color w:val="000000"/>
                <w:szCs w:val="20"/>
                <w:vertAlign w:val="superscript"/>
              </w:rPr>
              <w:t>5</w:t>
            </w:r>
          </w:p>
        </w:tc>
        <w:tc>
          <w:tcPr>
            <w:tcW w:w="670" w:type="pct"/>
          </w:tcPr>
          <w:p w14:paraId="0392F382" w14:textId="39095D28" w:rsidR="00AB4C6F" w:rsidRPr="00670AC3"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74"/>
                <w14:textFill>
                  <w14:solidFill>
                    <w14:srgbClr w14:val="000000">
                      <w14:alpha w14:val="100000"/>
                    </w14:srgbClr>
                  </w14:solidFill>
                </w14:textFill>
              </w:rPr>
              <w:t>|||</w:t>
            </w:r>
            <w:r w:rsidRPr="00CD4EA9">
              <w:rPr>
                <w:color w:val="000000"/>
                <w:spacing w:val="1"/>
                <w:szCs w:val="20"/>
                <w:shd w:val="solid" w:color="000000" w:fill="000000"/>
                <w:fitText w:val="324" w:id="-632121074"/>
                <w14:textFill>
                  <w14:solidFill>
                    <w14:srgbClr w14:val="000000">
                      <w14:alpha w14:val="100000"/>
                    </w14:srgbClr>
                  </w14:solidFill>
                </w14:textFill>
              </w:rPr>
              <w:t>|</w:t>
            </w:r>
            <w:r w:rsidR="00670AC3" w:rsidRPr="00670AC3">
              <w:rPr>
                <w:color w:val="000000"/>
                <w:szCs w:val="20"/>
                <w:vertAlign w:val="superscript"/>
              </w:rPr>
              <w:t>5</w:t>
            </w:r>
          </w:p>
        </w:tc>
        <w:tc>
          <w:tcPr>
            <w:tcW w:w="670" w:type="pct"/>
          </w:tcPr>
          <w:p w14:paraId="3794769A" w14:textId="0AACB4DC" w:rsidR="00AB4C6F" w:rsidRPr="00670AC3"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73"/>
                <w14:textFill>
                  <w14:solidFill>
                    <w14:srgbClr w14:val="000000">
                      <w14:alpha w14:val="100000"/>
                    </w14:srgbClr>
                  </w14:solidFill>
                </w14:textFill>
              </w:rPr>
              <w:t>|||</w:t>
            </w:r>
            <w:r w:rsidRPr="00CD4EA9">
              <w:rPr>
                <w:color w:val="000000"/>
                <w:spacing w:val="1"/>
                <w:szCs w:val="20"/>
                <w:shd w:val="solid" w:color="000000" w:fill="000000"/>
                <w:fitText w:val="324" w:id="-632121073"/>
                <w14:textFill>
                  <w14:solidFill>
                    <w14:srgbClr w14:val="000000">
                      <w14:alpha w14:val="100000"/>
                    </w14:srgbClr>
                  </w14:solidFill>
                </w14:textFill>
              </w:rPr>
              <w:t>|</w:t>
            </w:r>
            <w:r w:rsidR="00670AC3" w:rsidRPr="00670AC3">
              <w:rPr>
                <w:color w:val="000000"/>
                <w:szCs w:val="20"/>
                <w:vertAlign w:val="superscript"/>
              </w:rPr>
              <w:t>5</w:t>
            </w:r>
          </w:p>
        </w:tc>
      </w:tr>
      <w:tr w:rsidR="00AB4C6F" w:rsidRPr="00EE0EEB" w14:paraId="759F2B9C" w14:textId="77777777" w:rsidTr="00AB4C6F">
        <w:tc>
          <w:tcPr>
            <w:tcW w:w="980" w:type="pct"/>
          </w:tcPr>
          <w:p w14:paraId="14E3D1E5" w14:textId="77777777" w:rsidR="00AB4C6F" w:rsidRDefault="00AB4C6F" w:rsidP="006C66C7">
            <w:pPr>
              <w:pStyle w:val="TableText"/>
              <w:keepNext/>
              <w:keepLines/>
              <w:numPr>
                <w:ilvl w:val="0"/>
                <w:numId w:val="29"/>
              </w:numPr>
              <w:ind w:left="100" w:hanging="100"/>
            </w:pPr>
            <w:r>
              <w:t>Dementia</w:t>
            </w:r>
            <w:r w:rsidRPr="003E2A72">
              <w:rPr>
                <w:vertAlign w:val="superscript"/>
              </w:rPr>
              <w:t>2</w:t>
            </w:r>
          </w:p>
        </w:tc>
        <w:tc>
          <w:tcPr>
            <w:tcW w:w="670" w:type="pct"/>
          </w:tcPr>
          <w:p w14:paraId="02F7EA8E" w14:textId="2A088B26" w:rsidR="00AB4C6F" w:rsidRPr="00670AC3" w:rsidRDefault="00CD4EA9" w:rsidP="006C66C7">
            <w:pPr>
              <w:pStyle w:val="TableNumber"/>
              <w:keepNext/>
              <w:keepLines/>
              <w:rPr>
                <w:szCs w:val="20"/>
                <w:highlight w:val="darkGray"/>
                <w:vertAlign w:val="superscript"/>
              </w:rPr>
            </w:pPr>
            <w:r w:rsidRPr="00CD4EA9">
              <w:rPr>
                <w:color w:val="000000"/>
                <w:spacing w:val="51"/>
                <w:szCs w:val="20"/>
                <w:shd w:val="solid" w:color="000000" w:fill="000000"/>
                <w:fitText w:val="324" w:id="-632121072"/>
                <w14:textFill>
                  <w14:solidFill>
                    <w14:srgbClr w14:val="000000">
                      <w14:alpha w14:val="100000"/>
                    </w14:srgbClr>
                  </w14:solidFill>
                </w14:textFill>
              </w:rPr>
              <w:t>|||</w:t>
            </w:r>
            <w:r w:rsidRPr="00CD4EA9">
              <w:rPr>
                <w:color w:val="000000"/>
                <w:spacing w:val="1"/>
                <w:szCs w:val="20"/>
                <w:shd w:val="solid" w:color="000000" w:fill="000000"/>
                <w:fitText w:val="324" w:id="-632121072"/>
                <w14:textFill>
                  <w14:solidFill>
                    <w14:srgbClr w14:val="000000">
                      <w14:alpha w14:val="100000"/>
                    </w14:srgbClr>
                  </w14:solidFill>
                </w14:textFill>
              </w:rPr>
              <w:t>|</w:t>
            </w:r>
            <w:r w:rsidR="00670AC3" w:rsidRPr="00670AC3">
              <w:rPr>
                <w:color w:val="000000"/>
                <w:szCs w:val="20"/>
                <w:vertAlign w:val="superscript"/>
              </w:rPr>
              <w:t>5</w:t>
            </w:r>
          </w:p>
        </w:tc>
        <w:tc>
          <w:tcPr>
            <w:tcW w:w="670" w:type="pct"/>
          </w:tcPr>
          <w:p w14:paraId="7BEDEB13" w14:textId="680D41A5" w:rsidR="00AB4C6F" w:rsidRPr="00670AC3"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88"/>
                <w14:textFill>
                  <w14:solidFill>
                    <w14:srgbClr w14:val="000000">
                      <w14:alpha w14:val="100000"/>
                    </w14:srgbClr>
                  </w14:solidFill>
                </w14:textFill>
              </w:rPr>
              <w:t>|||</w:t>
            </w:r>
            <w:r w:rsidRPr="00CD4EA9">
              <w:rPr>
                <w:color w:val="000000"/>
                <w:spacing w:val="1"/>
                <w:szCs w:val="20"/>
                <w:shd w:val="solid" w:color="000000" w:fill="000000"/>
                <w:fitText w:val="324" w:id="-632121088"/>
                <w14:textFill>
                  <w14:solidFill>
                    <w14:srgbClr w14:val="000000">
                      <w14:alpha w14:val="100000"/>
                    </w14:srgbClr>
                  </w14:solidFill>
                </w14:textFill>
              </w:rPr>
              <w:t>|</w:t>
            </w:r>
            <w:r w:rsidR="00670AC3" w:rsidRPr="00670AC3">
              <w:rPr>
                <w:color w:val="000000"/>
                <w:szCs w:val="20"/>
                <w:vertAlign w:val="superscript"/>
              </w:rPr>
              <w:t>5</w:t>
            </w:r>
          </w:p>
        </w:tc>
        <w:tc>
          <w:tcPr>
            <w:tcW w:w="670" w:type="pct"/>
          </w:tcPr>
          <w:p w14:paraId="71603F86" w14:textId="79676653" w:rsidR="00AB4C6F" w:rsidRPr="00810992"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87"/>
                <w14:textFill>
                  <w14:solidFill>
                    <w14:srgbClr w14:val="000000">
                      <w14:alpha w14:val="100000"/>
                    </w14:srgbClr>
                  </w14:solidFill>
                </w14:textFill>
              </w:rPr>
              <w:t>|||</w:t>
            </w:r>
            <w:r w:rsidRPr="00CD4EA9">
              <w:rPr>
                <w:color w:val="000000"/>
                <w:spacing w:val="1"/>
                <w:szCs w:val="20"/>
                <w:shd w:val="solid" w:color="000000" w:fill="000000"/>
                <w:fitText w:val="324" w:id="-632121087"/>
                <w14:textFill>
                  <w14:solidFill>
                    <w14:srgbClr w14:val="000000">
                      <w14:alpha w14:val="100000"/>
                    </w14:srgbClr>
                  </w14:solidFill>
                </w14:textFill>
              </w:rPr>
              <w:t>|</w:t>
            </w:r>
            <w:r w:rsidR="00810992" w:rsidRPr="00810992">
              <w:rPr>
                <w:color w:val="000000"/>
                <w:szCs w:val="20"/>
                <w:vertAlign w:val="superscript"/>
              </w:rPr>
              <w:t>6</w:t>
            </w:r>
          </w:p>
        </w:tc>
        <w:tc>
          <w:tcPr>
            <w:tcW w:w="670" w:type="pct"/>
          </w:tcPr>
          <w:p w14:paraId="1471DFC2" w14:textId="2ECD670A" w:rsidR="00AB4C6F" w:rsidRPr="00810992"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86"/>
                <w14:textFill>
                  <w14:solidFill>
                    <w14:srgbClr w14:val="000000">
                      <w14:alpha w14:val="100000"/>
                    </w14:srgbClr>
                  </w14:solidFill>
                </w14:textFill>
              </w:rPr>
              <w:t>|||</w:t>
            </w:r>
            <w:r w:rsidRPr="00CD4EA9">
              <w:rPr>
                <w:color w:val="000000"/>
                <w:spacing w:val="1"/>
                <w:szCs w:val="20"/>
                <w:shd w:val="solid" w:color="000000" w:fill="000000"/>
                <w:fitText w:val="324" w:id="-632121086"/>
                <w14:textFill>
                  <w14:solidFill>
                    <w14:srgbClr w14:val="000000">
                      <w14:alpha w14:val="100000"/>
                    </w14:srgbClr>
                  </w14:solidFill>
                </w14:textFill>
              </w:rPr>
              <w:t>|</w:t>
            </w:r>
            <w:r w:rsidR="00810992" w:rsidRPr="00810992">
              <w:rPr>
                <w:color w:val="000000"/>
                <w:szCs w:val="20"/>
                <w:vertAlign w:val="superscript"/>
              </w:rPr>
              <w:t>6</w:t>
            </w:r>
          </w:p>
        </w:tc>
        <w:tc>
          <w:tcPr>
            <w:tcW w:w="670" w:type="pct"/>
          </w:tcPr>
          <w:p w14:paraId="6FA1D47D" w14:textId="704EE74E" w:rsidR="00AB4C6F" w:rsidRPr="003E57D6"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85"/>
                <w14:textFill>
                  <w14:solidFill>
                    <w14:srgbClr w14:val="000000">
                      <w14:alpha w14:val="100000"/>
                    </w14:srgbClr>
                  </w14:solidFill>
                </w14:textFill>
              </w:rPr>
              <w:t>|||</w:t>
            </w:r>
            <w:r w:rsidRPr="00CD4EA9">
              <w:rPr>
                <w:color w:val="000000"/>
                <w:spacing w:val="1"/>
                <w:szCs w:val="20"/>
                <w:shd w:val="solid" w:color="000000" w:fill="000000"/>
                <w:fitText w:val="324" w:id="-632121085"/>
                <w14:textFill>
                  <w14:solidFill>
                    <w14:srgbClr w14:val="000000">
                      <w14:alpha w14:val="100000"/>
                    </w14:srgbClr>
                  </w14:solidFill>
                </w14:textFill>
              </w:rPr>
              <w:t>|</w:t>
            </w:r>
            <w:r w:rsidR="003E57D6" w:rsidRPr="003E57D6">
              <w:rPr>
                <w:color w:val="000000"/>
                <w:szCs w:val="20"/>
                <w:vertAlign w:val="superscript"/>
              </w:rPr>
              <w:t>7</w:t>
            </w:r>
          </w:p>
        </w:tc>
        <w:tc>
          <w:tcPr>
            <w:tcW w:w="670" w:type="pct"/>
          </w:tcPr>
          <w:p w14:paraId="2E61B666" w14:textId="46AE0E89" w:rsidR="00AB4C6F" w:rsidRPr="00B41731" w:rsidRDefault="00CD4EA9" w:rsidP="006C66C7">
            <w:pPr>
              <w:pStyle w:val="TableText"/>
              <w:keepNext/>
              <w:keepLines/>
              <w:tabs>
                <w:tab w:val="decimal" w:pos="396"/>
              </w:tabs>
              <w:jc w:val="center"/>
              <w:rPr>
                <w:szCs w:val="20"/>
                <w:highlight w:val="darkGray"/>
                <w:vertAlign w:val="superscript"/>
              </w:rPr>
            </w:pPr>
            <w:r w:rsidRPr="00CD4EA9">
              <w:rPr>
                <w:color w:val="000000"/>
                <w:spacing w:val="51"/>
                <w:szCs w:val="20"/>
                <w:shd w:val="solid" w:color="000000" w:fill="000000"/>
                <w:fitText w:val="324" w:id="-632121084"/>
                <w14:textFill>
                  <w14:solidFill>
                    <w14:srgbClr w14:val="000000">
                      <w14:alpha w14:val="100000"/>
                    </w14:srgbClr>
                  </w14:solidFill>
                </w14:textFill>
              </w:rPr>
              <w:t>|||</w:t>
            </w:r>
            <w:r w:rsidRPr="00CD4EA9">
              <w:rPr>
                <w:color w:val="000000"/>
                <w:spacing w:val="1"/>
                <w:szCs w:val="20"/>
                <w:shd w:val="solid" w:color="000000" w:fill="000000"/>
                <w:fitText w:val="324" w:id="-632121084"/>
                <w14:textFill>
                  <w14:solidFill>
                    <w14:srgbClr w14:val="000000">
                      <w14:alpha w14:val="100000"/>
                    </w14:srgbClr>
                  </w14:solidFill>
                </w14:textFill>
              </w:rPr>
              <w:t>|</w:t>
            </w:r>
            <w:r w:rsidR="00B41731" w:rsidRPr="00B41731">
              <w:rPr>
                <w:color w:val="000000"/>
                <w:szCs w:val="20"/>
                <w:vertAlign w:val="superscript"/>
              </w:rPr>
              <w:t>8</w:t>
            </w:r>
          </w:p>
        </w:tc>
      </w:tr>
    </w:tbl>
    <w:p w14:paraId="76590797" w14:textId="77777777" w:rsidR="00AB4C6F" w:rsidRPr="00220CDC" w:rsidRDefault="00AB4C6F" w:rsidP="006C66C7">
      <w:pPr>
        <w:pStyle w:val="ListParagraph"/>
        <w:keepNext/>
        <w:keepLines/>
        <w:numPr>
          <w:ilvl w:val="0"/>
          <w:numId w:val="30"/>
        </w:numPr>
        <w:spacing w:before="0" w:after="0"/>
        <w:ind w:left="100" w:hanging="100"/>
        <w:contextualSpacing/>
        <w:rPr>
          <w:rFonts w:ascii="Arial Narrow" w:hAnsi="Arial Narrow"/>
          <w:sz w:val="18"/>
          <w:szCs w:val="18"/>
        </w:rPr>
      </w:pPr>
      <w:r w:rsidRPr="00220CDC">
        <w:rPr>
          <w:rFonts w:ascii="Arial Narrow" w:hAnsi="Arial Narrow"/>
          <w:sz w:val="18"/>
          <w:szCs w:val="18"/>
        </w:rPr>
        <w:t>Cases assessed x 62% with AD x 95% with MMSE&gt; 20 x 89% meet MRI criteria</w:t>
      </w:r>
    </w:p>
    <w:p w14:paraId="508518E0" w14:textId="77777777" w:rsidR="00AB4C6F" w:rsidRDefault="00AB4C6F" w:rsidP="006C66C7">
      <w:pPr>
        <w:pStyle w:val="ListParagraph"/>
        <w:keepNext/>
        <w:keepLines/>
        <w:numPr>
          <w:ilvl w:val="0"/>
          <w:numId w:val="30"/>
        </w:numPr>
        <w:spacing w:before="0" w:after="0"/>
        <w:ind w:left="100" w:hanging="100"/>
        <w:contextualSpacing/>
        <w:rPr>
          <w:rFonts w:ascii="Arial Narrow" w:hAnsi="Arial Narrow"/>
          <w:sz w:val="18"/>
          <w:szCs w:val="18"/>
        </w:rPr>
      </w:pPr>
      <w:r w:rsidRPr="00220CDC">
        <w:rPr>
          <w:rFonts w:ascii="Arial Narrow" w:hAnsi="Arial Narrow"/>
          <w:sz w:val="18"/>
          <w:szCs w:val="18"/>
        </w:rPr>
        <w:t>Cases assessed x 74% with AD x 75% to 90% with MMSE &gt; 20 x 89% meet MRI criteria</w:t>
      </w:r>
    </w:p>
    <w:p w14:paraId="2231A320" w14:textId="77777777" w:rsidR="00954BC1" w:rsidRPr="00C533B0" w:rsidRDefault="00954BC1" w:rsidP="006C66C7">
      <w:pPr>
        <w:pStyle w:val="TableFigureFooter"/>
        <w:keepNext/>
        <w:keepLines/>
        <w:rPr>
          <w:i/>
          <w:iCs/>
        </w:rPr>
      </w:pPr>
      <w:r w:rsidRPr="00C533B0">
        <w:rPr>
          <w:i/>
          <w:iCs/>
        </w:rPr>
        <w:t xml:space="preserve">The redacted values correspond to the following ranges: </w:t>
      </w:r>
    </w:p>
    <w:p w14:paraId="654BC84E" w14:textId="12DCB62C" w:rsidR="00954BC1" w:rsidRPr="00C533B0" w:rsidRDefault="00954BC1" w:rsidP="006C66C7">
      <w:pPr>
        <w:pStyle w:val="TableFigureFooter"/>
        <w:keepNext/>
        <w:keepLines/>
        <w:rPr>
          <w:i/>
          <w:iCs/>
        </w:rPr>
      </w:pPr>
      <w:r w:rsidRPr="00C533B0">
        <w:rPr>
          <w:i/>
          <w:iCs/>
          <w:vertAlign w:val="superscript"/>
        </w:rPr>
        <w:t>1</w:t>
      </w:r>
      <w:r w:rsidRPr="00C533B0">
        <w:rPr>
          <w:i/>
          <w:iCs/>
        </w:rPr>
        <w:t xml:space="preserve"> </w:t>
      </w:r>
      <w:r w:rsidR="00CC678D" w:rsidRPr="00CC678D">
        <w:rPr>
          <w:i/>
          <w:iCs/>
        </w:rPr>
        <w:t>70,000 to &lt; 80,000</w:t>
      </w:r>
    </w:p>
    <w:p w14:paraId="275055B1" w14:textId="0F6AE9A6" w:rsidR="00954BC1" w:rsidRPr="00C533B0" w:rsidRDefault="00954BC1" w:rsidP="006C66C7">
      <w:pPr>
        <w:pStyle w:val="TableFigureFooter"/>
        <w:keepNext/>
        <w:keepLines/>
        <w:rPr>
          <w:i/>
          <w:iCs/>
        </w:rPr>
      </w:pPr>
      <w:r w:rsidRPr="00C533B0">
        <w:rPr>
          <w:i/>
          <w:iCs/>
          <w:vertAlign w:val="superscript"/>
        </w:rPr>
        <w:t>2</w:t>
      </w:r>
      <w:r w:rsidRPr="00C533B0">
        <w:rPr>
          <w:i/>
          <w:iCs/>
        </w:rPr>
        <w:t xml:space="preserve"> </w:t>
      </w:r>
      <w:r w:rsidR="00DE2D3D" w:rsidRPr="00DE2D3D">
        <w:rPr>
          <w:i/>
          <w:iCs/>
        </w:rPr>
        <w:t>80,000 to &lt; 90,000</w:t>
      </w:r>
    </w:p>
    <w:p w14:paraId="4FF43CB8" w14:textId="56CEB3E2" w:rsidR="00954BC1" w:rsidRDefault="00954BC1" w:rsidP="006C66C7">
      <w:pPr>
        <w:pStyle w:val="TableFigureFooter"/>
        <w:keepNext/>
        <w:keepLines/>
        <w:rPr>
          <w:i/>
          <w:iCs/>
        </w:rPr>
      </w:pPr>
      <w:r w:rsidRPr="00C533B0">
        <w:rPr>
          <w:i/>
          <w:iCs/>
          <w:vertAlign w:val="superscript"/>
        </w:rPr>
        <w:t>3</w:t>
      </w:r>
      <w:r w:rsidRPr="00C533B0">
        <w:rPr>
          <w:i/>
          <w:iCs/>
        </w:rPr>
        <w:t xml:space="preserve"> </w:t>
      </w:r>
      <w:r w:rsidR="0074171B" w:rsidRPr="0074171B">
        <w:rPr>
          <w:i/>
          <w:iCs/>
        </w:rPr>
        <w:t>90,000 to &lt; 100,000</w:t>
      </w:r>
    </w:p>
    <w:p w14:paraId="67CA3B61" w14:textId="407DCD1E" w:rsidR="00954BC1" w:rsidRDefault="00954BC1" w:rsidP="006C66C7">
      <w:pPr>
        <w:pStyle w:val="TableFigureFooter"/>
        <w:keepNext/>
        <w:keepLines/>
        <w:rPr>
          <w:i/>
          <w:iCs/>
        </w:rPr>
      </w:pPr>
      <w:r>
        <w:rPr>
          <w:i/>
          <w:iCs/>
          <w:vertAlign w:val="superscript"/>
        </w:rPr>
        <w:t xml:space="preserve">4 </w:t>
      </w:r>
      <w:r w:rsidR="00BF1F7D" w:rsidRPr="00BF1F7D">
        <w:rPr>
          <w:i/>
          <w:iCs/>
        </w:rPr>
        <w:t>100,000 to &lt; 200,000</w:t>
      </w:r>
    </w:p>
    <w:p w14:paraId="5454DE97" w14:textId="5404B533" w:rsidR="00954BC1" w:rsidRDefault="00954BC1" w:rsidP="006C66C7">
      <w:pPr>
        <w:pStyle w:val="TableFigureFooter"/>
        <w:keepNext/>
        <w:keepLines/>
        <w:rPr>
          <w:i/>
          <w:iCs/>
        </w:rPr>
      </w:pPr>
      <w:r>
        <w:rPr>
          <w:i/>
          <w:iCs/>
          <w:vertAlign w:val="superscript"/>
        </w:rPr>
        <w:t xml:space="preserve">5 </w:t>
      </w:r>
      <w:r w:rsidR="00670AC3" w:rsidRPr="00670AC3">
        <w:rPr>
          <w:i/>
          <w:iCs/>
        </w:rPr>
        <w:t>20,000 to &lt; 30,000</w:t>
      </w:r>
    </w:p>
    <w:p w14:paraId="56EC2557" w14:textId="152A5C21" w:rsidR="00954BC1" w:rsidRDefault="00954BC1" w:rsidP="006C66C7">
      <w:pPr>
        <w:pStyle w:val="TableFigureFooter"/>
        <w:keepNext/>
        <w:keepLines/>
        <w:rPr>
          <w:i/>
          <w:iCs/>
        </w:rPr>
      </w:pPr>
      <w:r>
        <w:rPr>
          <w:i/>
          <w:iCs/>
          <w:vertAlign w:val="superscript"/>
        </w:rPr>
        <w:t xml:space="preserve">6 </w:t>
      </w:r>
      <w:r w:rsidR="00810992" w:rsidRPr="00810992">
        <w:rPr>
          <w:i/>
          <w:iCs/>
        </w:rPr>
        <w:t>30,000 to &lt; 40,000</w:t>
      </w:r>
    </w:p>
    <w:p w14:paraId="3C615651" w14:textId="3301BDB7" w:rsidR="00954BC1" w:rsidRDefault="00954BC1" w:rsidP="006C66C7">
      <w:pPr>
        <w:pStyle w:val="TableFigureFooter"/>
        <w:keepNext/>
        <w:keepLines/>
        <w:rPr>
          <w:i/>
          <w:iCs/>
        </w:rPr>
      </w:pPr>
      <w:r>
        <w:rPr>
          <w:i/>
          <w:iCs/>
          <w:vertAlign w:val="superscript"/>
        </w:rPr>
        <w:t>7</w:t>
      </w:r>
      <w:r>
        <w:rPr>
          <w:i/>
          <w:iCs/>
        </w:rPr>
        <w:t xml:space="preserve"> </w:t>
      </w:r>
      <w:r w:rsidR="00CE1D46" w:rsidRPr="00CE1D46">
        <w:rPr>
          <w:i/>
          <w:iCs/>
        </w:rPr>
        <w:t>40,000 to &lt; 50,000</w:t>
      </w:r>
    </w:p>
    <w:p w14:paraId="7D3947D9" w14:textId="5BDEF23A" w:rsidR="00954BC1" w:rsidRPr="00293C15" w:rsidRDefault="00954BC1" w:rsidP="006C66C7">
      <w:pPr>
        <w:pStyle w:val="TableFigureFooter"/>
        <w:keepNext/>
        <w:keepLines/>
        <w:rPr>
          <w:i/>
          <w:iCs/>
        </w:rPr>
      </w:pPr>
      <w:r>
        <w:rPr>
          <w:i/>
          <w:iCs/>
          <w:vertAlign w:val="superscript"/>
        </w:rPr>
        <w:t>8</w:t>
      </w:r>
      <w:r>
        <w:rPr>
          <w:i/>
          <w:iCs/>
        </w:rPr>
        <w:t xml:space="preserve"> </w:t>
      </w:r>
      <w:r w:rsidR="0033328D" w:rsidRPr="0033328D">
        <w:rPr>
          <w:i/>
          <w:iCs/>
        </w:rPr>
        <w:t>50,000 to &lt; 60,000</w:t>
      </w:r>
    </w:p>
    <w:p w14:paraId="1CAD43CC" w14:textId="1B94FCC5" w:rsidR="00954BC1" w:rsidRPr="00954BC1" w:rsidRDefault="00954BC1" w:rsidP="006C66C7">
      <w:pPr>
        <w:pStyle w:val="TableFigureFooter"/>
        <w:keepNext/>
        <w:keepLines/>
      </w:pPr>
      <w:r>
        <w:rPr>
          <w:i/>
          <w:iCs/>
          <w:vertAlign w:val="superscript"/>
        </w:rPr>
        <w:t>9</w:t>
      </w:r>
      <w:r>
        <w:rPr>
          <w:i/>
          <w:iCs/>
        </w:rPr>
        <w:t xml:space="preserve"> </w:t>
      </w:r>
      <w:r w:rsidR="00BD637A" w:rsidRPr="00BD637A">
        <w:rPr>
          <w:i/>
          <w:iCs/>
        </w:rPr>
        <w:t>10,000 to &lt; 20,000</w:t>
      </w:r>
    </w:p>
    <w:p w14:paraId="4CCF8C90" w14:textId="51A20E5D" w:rsidR="009D5476" w:rsidRPr="00EE0EEB" w:rsidRDefault="0020516C" w:rsidP="0020516C">
      <w:pPr>
        <w:pStyle w:val="Caption"/>
      </w:pPr>
      <w:r>
        <w:t xml:space="preserve">Table </w:t>
      </w:r>
      <w:r>
        <w:fldChar w:fldCharType="begin"/>
      </w:r>
      <w:r>
        <w:instrText xml:space="preserve"> SEQ Table \* ARABIC </w:instrText>
      </w:r>
      <w:r>
        <w:fldChar w:fldCharType="separate"/>
      </w:r>
      <w:r w:rsidR="00392423">
        <w:rPr>
          <w:noProof/>
        </w:rPr>
        <w:t>27</w:t>
      </w:r>
      <w:r>
        <w:fldChar w:fldCharType="end"/>
      </w:r>
      <w:r w:rsidR="00CC40F2">
        <w:t xml:space="preserve">: </w:t>
      </w:r>
      <w:r w:rsidR="009D5476" w:rsidRPr="00EE0EEB">
        <w:t>Estimated use and financial implications</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7: Estimated use and financial implications"/>
      </w:tblPr>
      <w:tblGrid>
        <w:gridCol w:w="1751"/>
        <w:gridCol w:w="1197"/>
        <w:gridCol w:w="1197"/>
        <w:gridCol w:w="1198"/>
        <w:gridCol w:w="1198"/>
        <w:gridCol w:w="1198"/>
        <w:gridCol w:w="1198"/>
      </w:tblGrid>
      <w:tr w:rsidR="00E3171D" w:rsidRPr="00EE0EEB" w14:paraId="3772DC17" w14:textId="77777777" w:rsidTr="00080BC7">
        <w:trPr>
          <w:tblHeader/>
        </w:trPr>
        <w:tc>
          <w:tcPr>
            <w:tcW w:w="980" w:type="pct"/>
            <w:vAlign w:val="center"/>
          </w:tcPr>
          <w:p w14:paraId="515044AE" w14:textId="77777777" w:rsidR="009D5476" w:rsidRPr="00EE0EEB" w:rsidRDefault="009D5476">
            <w:pPr>
              <w:pStyle w:val="TableText"/>
              <w:jc w:val="center"/>
              <w:rPr>
                <w:b/>
              </w:rPr>
            </w:pPr>
          </w:p>
        </w:tc>
        <w:tc>
          <w:tcPr>
            <w:tcW w:w="670" w:type="pct"/>
            <w:vAlign w:val="center"/>
          </w:tcPr>
          <w:p w14:paraId="0F67B549" w14:textId="77777777" w:rsidR="009D5476" w:rsidRPr="00EE0EEB" w:rsidRDefault="009D5476">
            <w:pPr>
              <w:pStyle w:val="TableText"/>
              <w:jc w:val="center"/>
              <w:rPr>
                <w:b/>
              </w:rPr>
            </w:pPr>
            <w:r w:rsidRPr="00EE0EEB">
              <w:rPr>
                <w:b/>
              </w:rPr>
              <w:t>Year 1</w:t>
            </w:r>
          </w:p>
        </w:tc>
        <w:tc>
          <w:tcPr>
            <w:tcW w:w="670" w:type="pct"/>
            <w:vAlign w:val="center"/>
          </w:tcPr>
          <w:p w14:paraId="18A25E7B" w14:textId="77777777" w:rsidR="009D5476" w:rsidRPr="00EE0EEB" w:rsidRDefault="009D5476">
            <w:pPr>
              <w:pStyle w:val="TableText"/>
              <w:jc w:val="center"/>
              <w:rPr>
                <w:b/>
              </w:rPr>
            </w:pPr>
            <w:r w:rsidRPr="00EE0EEB">
              <w:rPr>
                <w:b/>
              </w:rPr>
              <w:t>Year 2</w:t>
            </w:r>
          </w:p>
        </w:tc>
        <w:tc>
          <w:tcPr>
            <w:tcW w:w="670" w:type="pct"/>
            <w:vAlign w:val="center"/>
          </w:tcPr>
          <w:p w14:paraId="280F4790" w14:textId="77777777" w:rsidR="009D5476" w:rsidRPr="00EE0EEB" w:rsidRDefault="009D5476">
            <w:pPr>
              <w:pStyle w:val="TableText"/>
              <w:jc w:val="center"/>
              <w:rPr>
                <w:b/>
              </w:rPr>
            </w:pPr>
            <w:r w:rsidRPr="00EE0EEB">
              <w:rPr>
                <w:b/>
              </w:rPr>
              <w:t>Year 3</w:t>
            </w:r>
          </w:p>
        </w:tc>
        <w:tc>
          <w:tcPr>
            <w:tcW w:w="670" w:type="pct"/>
            <w:vAlign w:val="center"/>
          </w:tcPr>
          <w:p w14:paraId="6D391F99" w14:textId="77777777" w:rsidR="009D5476" w:rsidRPr="00EE0EEB" w:rsidRDefault="009D5476">
            <w:pPr>
              <w:pStyle w:val="TableText"/>
              <w:jc w:val="center"/>
              <w:rPr>
                <w:b/>
              </w:rPr>
            </w:pPr>
            <w:r w:rsidRPr="00EE0EEB">
              <w:rPr>
                <w:b/>
              </w:rPr>
              <w:t>Year 4</w:t>
            </w:r>
          </w:p>
        </w:tc>
        <w:tc>
          <w:tcPr>
            <w:tcW w:w="670" w:type="pct"/>
            <w:vAlign w:val="center"/>
          </w:tcPr>
          <w:p w14:paraId="437E2AF1" w14:textId="77777777" w:rsidR="009D5476" w:rsidRPr="00EE0EEB" w:rsidRDefault="009D5476">
            <w:pPr>
              <w:pStyle w:val="TableText"/>
              <w:jc w:val="center"/>
              <w:rPr>
                <w:b/>
              </w:rPr>
            </w:pPr>
            <w:r w:rsidRPr="00EE0EEB">
              <w:rPr>
                <w:b/>
              </w:rPr>
              <w:t>Year 5</w:t>
            </w:r>
          </w:p>
        </w:tc>
        <w:tc>
          <w:tcPr>
            <w:tcW w:w="670" w:type="pct"/>
          </w:tcPr>
          <w:p w14:paraId="5A422ADA" w14:textId="77777777" w:rsidR="009D5476" w:rsidRPr="00EE0EEB" w:rsidRDefault="009D5476">
            <w:pPr>
              <w:pStyle w:val="TableText"/>
              <w:jc w:val="center"/>
              <w:rPr>
                <w:b/>
              </w:rPr>
            </w:pPr>
            <w:r w:rsidRPr="00EE0EEB">
              <w:rPr>
                <w:b/>
              </w:rPr>
              <w:t>Year 6</w:t>
            </w:r>
          </w:p>
        </w:tc>
      </w:tr>
      <w:tr w:rsidR="009D5476" w:rsidRPr="00EE0EEB" w14:paraId="53E5B337" w14:textId="77777777" w:rsidTr="00080BC7">
        <w:tc>
          <w:tcPr>
            <w:tcW w:w="5000" w:type="pct"/>
            <w:gridSpan w:val="7"/>
            <w:vAlign w:val="center"/>
          </w:tcPr>
          <w:p w14:paraId="4C72319A" w14:textId="77777777" w:rsidR="009D5476" w:rsidRPr="00EE0EEB" w:rsidRDefault="009D5476">
            <w:pPr>
              <w:pStyle w:val="TableText"/>
              <w:rPr>
                <w:b/>
              </w:rPr>
            </w:pPr>
            <w:r w:rsidRPr="00EE0EEB">
              <w:rPr>
                <w:b/>
              </w:rPr>
              <w:t xml:space="preserve">Estimated extent of use of </w:t>
            </w:r>
            <w:r w:rsidRPr="00EE0EEB">
              <w:rPr>
                <w:b/>
                <w:i/>
                <w:iCs/>
              </w:rPr>
              <w:t>APOE4</w:t>
            </w:r>
            <w:r w:rsidRPr="00EE0EEB">
              <w:rPr>
                <w:b/>
              </w:rPr>
              <w:t xml:space="preserve"> genotyping</w:t>
            </w:r>
          </w:p>
        </w:tc>
      </w:tr>
      <w:tr w:rsidR="00E3171D" w:rsidRPr="00EE0EEB" w14:paraId="31592B41" w14:textId="77777777" w:rsidTr="00080BC7">
        <w:tc>
          <w:tcPr>
            <w:tcW w:w="980" w:type="pct"/>
            <w:vAlign w:val="center"/>
          </w:tcPr>
          <w:p w14:paraId="2E192FC1" w14:textId="77777777" w:rsidR="009D5476" w:rsidRPr="00EE0EEB" w:rsidRDefault="009D5476">
            <w:pPr>
              <w:pStyle w:val="TableText"/>
            </w:pPr>
            <w:r w:rsidRPr="00EE0EEB">
              <w:t>Number of tests</w:t>
            </w:r>
          </w:p>
        </w:tc>
        <w:tc>
          <w:tcPr>
            <w:tcW w:w="670" w:type="pct"/>
          </w:tcPr>
          <w:p w14:paraId="1749D2BC" w14:textId="38D26889" w:rsidR="009D5476" w:rsidRPr="00D22E08" w:rsidRDefault="00CD4EA9">
            <w:pPr>
              <w:pStyle w:val="TableNumber"/>
              <w:rPr>
                <w:vertAlign w:val="superscript"/>
              </w:rPr>
            </w:pPr>
            <w:r w:rsidRPr="00CD4EA9">
              <w:rPr>
                <w:color w:val="000000"/>
                <w:spacing w:val="53"/>
                <w:shd w:val="solid" w:color="000000" w:fill="000000"/>
                <w:fitText w:val="330" w:id="-632121083"/>
                <w14:textFill>
                  <w14:solidFill>
                    <w14:srgbClr w14:val="000000">
                      <w14:alpha w14:val="100000"/>
                    </w14:srgbClr>
                  </w14:solidFill>
                </w14:textFill>
              </w:rPr>
              <w:t>|||</w:t>
            </w:r>
            <w:r w:rsidRPr="00CD4EA9">
              <w:rPr>
                <w:color w:val="000000"/>
                <w:spacing w:val="1"/>
                <w:shd w:val="solid" w:color="000000" w:fill="000000"/>
                <w:fitText w:val="330" w:id="-632121083"/>
                <w14:textFill>
                  <w14:solidFill>
                    <w14:srgbClr w14:val="000000">
                      <w14:alpha w14:val="100000"/>
                    </w14:srgbClr>
                  </w14:solidFill>
                </w14:textFill>
              </w:rPr>
              <w:t>|</w:t>
            </w:r>
            <w:r w:rsidR="00D22E08">
              <w:rPr>
                <w:vertAlign w:val="superscript"/>
              </w:rPr>
              <w:t>1</w:t>
            </w:r>
          </w:p>
        </w:tc>
        <w:tc>
          <w:tcPr>
            <w:tcW w:w="670" w:type="pct"/>
          </w:tcPr>
          <w:p w14:paraId="0626450D" w14:textId="6100CF6F" w:rsidR="009D5476" w:rsidRPr="0073085C" w:rsidRDefault="00CD4EA9">
            <w:pPr>
              <w:pStyle w:val="TableText"/>
              <w:tabs>
                <w:tab w:val="decimal" w:pos="396"/>
              </w:tabs>
              <w:jc w:val="center"/>
              <w:rPr>
                <w:vertAlign w:val="superscript"/>
              </w:rPr>
            </w:pPr>
            <w:r w:rsidRPr="00CD4EA9">
              <w:rPr>
                <w:color w:val="000000"/>
                <w:spacing w:val="53"/>
                <w:shd w:val="solid" w:color="000000" w:fill="000000"/>
                <w:fitText w:val="330" w:id="-632121082"/>
                <w14:textFill>
                  <w14:solidFill>
                    <w14:srgbClr w14:val="000000">
                      <w14:alpha w14:val="100000"/>
                    </w14:srgbClr>
                  </w14:solidFill>
                </w14:textFill>
              </w:rPr>
              <w:t>|||</w:t>
            </w:r>
            <w:r w:rsidRPr="00CD4EA9">
              <w:rPr>
                <w:color w:val="000000"/>
                <w:spacing w:val="1"/>
                <w:shd w:val="solid" w:color="000000" w:fill="000000"/>
                <w:fitText w:val="330" w:id="-632121082"/>
                <w14:textFill>
                  <w14:solidFill>
                    <w14:srgbClr w14:val="000000">
                      <w14:alpha w14:val="100000"/>
                    </w14:srgbClr>
                  </w14:solidFill>
                </w14:textFill>
              </w:rPr>
              <w:t>|</w:t>
            </w:r>
            <w:r w:rsidR="0073085C">
              <w:rPr>
                <w:vertAlign w:val="superscript"/>
              </w:rPr>
              <w:t>2</w:t>
            </w:r>
          </w:p>
        </w:tc>
        <w:tc>
          <w:tcPr>
            <w:tcW w:w="670" w:type="pct"/>
          </w:tcPr>
          <w:p w14:paraId="0533B388" w14:textId="36E1F265" w:rsidR="009D5476" w:rsidRPr="0073085C"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81"/>
                <w14:textFill>
                  <w14:solidFill>
                    <w14:srgbClr w14:val="000000">
                      <w14:alpha w14:val="100000"/>
                    </w14:srgbClr>
                  </w14:solidFill>
                </w14:textFill>
              </w:rPr>
              <w:t>|||</w:t>
            </w:r>
            <w:r w:rsidRPr="00CD4EA9">
              <w:rPr>
                <w:color w:val="000000"/>
                <w:spacing w:val="1"/>
                <w:shd w:val="solid" w:color="000000" w:fill="000000"/>
                <w:fitText w:val="330" w:id="-632121081"/>
                <w14:textFill>
                  <w14:solidFill>
                    <w14:srgbClr w14:val="000000">
                      <w14:alpha w14:val="100000"/>
                    </w14:srgbClr>
                  </w14:solidFill>
                </w14:textFill>
              </w:rPr>
              <w:t>|</w:t>
            </w:r>
            <w:r w:rsidR="0073085C" w:rsidRPr="0073085C">
              <w:rPr>
                <w:vertAlign w:val="superscript"/>
              </w:rPr>
              <w:t>3</w:t>
            </w:r>
          </w:p>
        </w:tc>
        <w:tc>
          <w:tcPr>
            <w:tcW w:w="670" w:type="pct"/>
          </w:tcPr>
          <w:p w14:paraId="2B7B178A" w14:textId="22CB63A2" w:rsidR="009D5476" w:rsidRPr="0065767B"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80"/>
                <w14:textFill>
                  <w14:solidFill>
                    <w14:srgbClr w14:val="000000">
                      <w14:alpha w14:val="100000"/>
                    </w14:srgbClr>
                  </w14:solidFill>
                </w14:textFill>
              </w:rPr>
              <w:t>|||</w:t>
            </w:r>
            <w:r w:rsidRPr="00CD4EA9">
              <w:rPr>
                <w:color w:val="000000"/>
                <w:spacing w:val="1"/>
                <w:shd w:val="solid" w:color="000000" w:fill="000000"/>
                <w:fitText w:val="330" w:id="-632121080"/>
                <w14:textFill>
                  <w14:solidFill>
                    <w14:srgbClr w14:val="000000">
                      <w14:alpha w14:val="100000"/>
                    </w14:srgbClr>
                  </w14:solidFill>
                </w14:textFill>
              </w:rPr>
              <w:t>|</w:t>
            </w:r>
            <w:r w:rsidR="0065767B" w:rsidRPr="0065767B">
              <w:rPr>
                <w:vertAlign w:val="superscript"/>
              </w:rPr>
              <w:t>4</w:t>
            </w:r>
          </w:p>
        </w:tc>
        <w:tc>
          <w:tcPr>
            <w:tcW w:w="670" w:type="pct"/>
          </w:tcPr>
          <w:p w14:paraId="2C42C647" w14:textId="22D99118" w:rsidR="009D5476" w:rsidRPr="00B72F6D"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79"/>
                <w14:textFill>
                  <w14:solidFill>
                    <w14:srgbClr w14:val="000000">
                      <w14:alpha w14:val="100000"/>
                    </w14:srgbClr>
                  </w14:solidFill>
                </w14:textFill>
              </w:rPr>
              <w:t>|||</w:t>
            </w:r>
            <w:r w:rsidRPr="00CD4EA9">
              <w:rPr>
                <w:color w:val="000000"/>
                <w:spacing w:val="1"/>
                <w:shd w:val="solid" w:color="000000" w:fill="000000"/>
                <w:fitText w:val="330" w:id="-632121079"/>
                <w14:textFill>
                  <w14:solidFill>
                    <w14:srgbClr w14:val="000000">
                      <w14:alpha w14:val="100000"/>
                    </w14:srgbClr>
                  </w14:solidFill>
                </w14:textFill>
              </w:rPr>
              <w:t>|</w:t>
            </w:r>
            <w:r w:rsidR="00B72F6D" w:rsidRPr="00B72F6D">
              <w:rPr>
                <w:vertAlign w:val="superscript"/>
              </w:rPr>
              <w:t>5</w:t>
            </w:r>
          </w:p>
        </w:tc>
        <w:tc>
          <w:tcPr>
            <w:tcW w:w="670" w:type="pct"/>
          </w:tcPr>
          <w:p w14:paraId="18BD4DAA" w14:textId="4D5D9442" w:rsidR="009D5476" w:rsidRPr="00E218E2"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78"/>
                <w14:textFill>
                  <w14:solidFill>
                    <w14:srgbClr w14:val="000000">
                      <w14:alpha w14:val="100000"/>
                    </w14:srgbClr>
                  </w14:solidFill>
                </w14:textFill>
              </w:rPr>
              <w:t>|||</w:t>
            </w:r>
            <w:r w:rsidRPr="00CD4EA9">
              <w:rPr>
                <w:color w:val="000000"/>
                <w:spacing w:val="1"/>
                <w:shd w:val="solid" w:color="000000" w:fill="000000"/>
                <w:fitText w:val="330" w:id="-632121078"/>
                <w14:textFill>
                  <w14:solidFill>
                    <w14:srgbClr w14:val="000000">
                      <w14:alpha w14:val="100000"/>
                    </w14:srgbClr>
                  </w14:solidFill>
                </w14:textFill>
              </w:rPr>
              <w:t>|</w:t>
            </w:r>
            <w:r w:rsidR="00E218E2" w:rsidRPr="00E218E2">
              <w:rPr>
                <w:vertAlign w:val="superscript"/>
              </w:rPr>
              <w:t>6</w:t>
            </w:r>
          </w:p>
        </w:tc>
      </w:tr>
      <w:tr w:rsidR="009D5476" w:rsidRPr="00EE0EEB" w14:paraId="753F94A8" w14:textId="77777777" w:rsidTr="00080BC7">
        <w:tc>
          <w:tcPr>
            <w:tcW w:w="5000" w:type="pct"/>
            <w:gridSpan w:val="7"/>
            <w:vAlign w:val="center"/>
          </w:tcPr>
          <w:p w14:paraId="44DD34CE" w14:textId="77777777" w:rsidR="009D5476" w:rsidRPr="00EE0EEB" w:rsidRDefault="009D5476">
            <w:pPr>
              <w:pStyle w:val="TableText"/>
              <w:rPr>
                <w:b/>
              </w:rPr>
            </w:pPr>
            <w:r w:rsidRPr="00EE0EEB">
              <w:rPr>
                <w:b/>
              </w:rPr>
              <w:t>Estimated extent of use of Aß-PET scan (eligibility and monitoring)</w:t>
            </w:r>
          </w:p>
        </w:tc>
      </w:tr>
      <w:tr w:rsidR="00E3171D" w:rsidRPr="00EE0EEB" w14:paraId="0EA3F904" w14:textId="77777777" w:rsidTr="00080BC7">
        <w:tc>
          <w:tcPr>
            <w:tcW w:w="980" w:type="pct"/>
            <w:vAlign w:val="center"/>
          </w:tcPr>
          <w:p w14:paraId="2336D85C" w14:textId="77777777" w:rsidR="009D5476" w:rsidRPr="00EE0EEB" w:rsidRDefault="009D5476">
            <w:pPr>
              <w:pStyle w:val="TableText"/>
            </w:pPr>
            <w:r w:rsidRPr="00EE0EEB">
              <w:t>Number of tests</w:t>
            </w:r>
          </w:p>
        </w:tc>
        <w:tc>
          <w:tcPr>
            <w:tcW w:w="670" w:type="pct"/>
          </w:tcPr>
          <w:p w14:paraId="0A17077C" w14:textId="3C1C932B" w:rsidR="009D5476" w:rsidRPr="00CD651B" w:rsidRDefault="00CD4EA9">
            <w:pPr>
              <w:pStyle w:val="TableNumber"/>
              <w:rPr>
                <w:highlight w:val="darkGray"/>
                <w:vertAlign w:val="superscript"/>
              </w:rPr>
            </w:pPr>
            <w:r w:rsidRPr="00CD4EA9">
              <w:rPr>
                <w:color w:val="000000"/>
                <w:spacing w:val="53"/>
                <w:shd w:val="solid" w:color="000000" w:fill="000000"/>
                <w:fitText w:val="330" w:id="-632121077"/>
                <w14:textFill>
                  <w14:solidFill>
                    <w14:srgbClr w14:val="000000">
                      <w14:alpha w14:val="100000"/>
                    </w14:srgbClr>
                  </w14:solidFill>
                </w14:textFill>
              </w:rPr>
              <w:t>|||</w:t>
            </w:r>
            <w:r w:rsidRPr="00CD4EA9">
              <w:rPr>
                <w:color w:val="000000"/>
                <w:spacing w:val="1"/>
                <w:shd w:val="solid" w:color="000000" w:fill="000000"/>
                <w:fitText w:val="330" w:id="-632121077"/>
                <w14:textFill>
                  <w14:solidFill>
                    <w14:srgbClr w14:val="000000">
                      <w14:alpha w14:val="100000"/>
                    </w14:srgbClr>
                  </w14:solidFill>
                </w14:textFill>
              </w:rPr>
              <w:t>|</w:t>
            </w:r>
            <w:r w:rsidR="00CD651B" w:rsidRPr="00CD651B">
              <w:rPr>
                <w:vertAlign w:val="superscript"/>
              </w:rPr>
              <w:t>7</w:t>
            </w:r>
          </w:p>
        </w:tc>
        <w:tc>
          <w:tcPr>
            <w:tcW w:w="670" w:type="pct"/>
          </w:tcPr>
          <w:p w14:paraId="3086CD28" w14:textId="464DA00C" w:rsidR="009D5476" w:rsidRPr="00D22E08"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76"/>
                <w14:textFill>
                  <w14:solidFill>
                    <w14:srgbClr w14:val="000000">
                      <w14:alpha w14:val="100000"/>
                    </w14:srgbClr>
                  </w14:solidFill>
                </w14:textFill>
              </w:rPr>
              <w:t>|||</w:t>
            </w:r>
            <w:r w:rsidRPr="00CD4EA9">
              <w:rPr>
                <w:color w:val="000000"/>
                <w:spacing w:val="1"/>
                <w:shd w:val="solid" w:color="000000" w:fill="000000"/>
                <w:fitText w:val="330" w:id="-632121076"/>
                <w14:textFill>
                  <w14:solidFill>
                    <w14:srgbClr w14:val="000000">
                      <w14:alpha w14:val="100000"/>
                    </w14:srgbClr>
                  </w14:solidFill>
                </w14:textFill>
              </w:rPr>
              <w:t>|</w:t>
            </w:r>
            <w:r w:rsidR="00D22E08" w:rsidRPr="00D22E08">
              <w:rPr>
                <w:vertAlign w:val="superscript"/>
              </w:rPr>
              <w:t>1</w:t>
            </w:r>
          </w:p>
        </w:tc>
        <w:tc>
          <w:tcPr>
            <w:tcW w:w="670" w:type="pct"/>
          </w:tcPr>
          <w:p w14:paraId="3E793858" w14:textId="337338A0" w:rsidR="009D5476" w:rsidRPr="0073085C"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75"/>
                <w14:textFill>
                  <w14:solidFill>
                    <w14:srgbClr w14:val="000000">
                      <w14:alpha w14:val="100000"/>
                    </w14:srgbClr>
                  </w14:solidFill>
                </w14:textFill>
              </w:rPr>
              <w:t>|||</w:t>
            </w:r>
            <w:r w:rsidRPr="00CD4EA9">
              <w:rPr>
                <w:color w:val="000000"/>
                <w:spacing w:val="1"/>
                <w:shd w:val="solid" w:color="000000" w:fill="000000"/>
                <w:fitText w:val="330" w:id="-632121075"/>
                <w14:textFill>
                  <w14:solidFill>
                    <w14:srgbClr w14:val="000000">
                      <w14:alpha w14:val="100000"/>
                    </w14:srgbClr>
                  </w14:solidFill>
                </w14:textFill>
              </w:rPr>
              <w:t>|</w:t>
            </w:r>
            <w:r w:rsidR="0073085C" w:rsidRPr="0073085C">
              <w:rPr>
                <w:vertAlign w:val="superscript"/>
              </w:rPr>
              <w:t>2</w:t>
            </w:r>
          </w:p>
        </w:tc>
        <w:tc>
          <w:tcPr>
            <w:tcW w:w="670" w:type="pct"/>
          </w:tcPr>
          <w:p w14:paraId="4B736661" w14:textId="7B2240D8" w:rsidR="009D5476" w:rsidRPr="00854C1D"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74"/>
                <w14:textFill>
                  <w14:solidFill>
                    <w14:srgbClr w14:val="000000">
                      <w14:alpha w14:val="100000"/>
                    </w14:srgbClr>
                  </w14:solidFill>
                </w14:textFill>
              </w:rPr>
              <w:t>|||</w:t>
            </w:r>
            <w:r w:rsidRPr="00CD4EA9">
              <w:rPr>
                <w:color w:val="000000"/>
                <w:spacing w:val="1"/>
                <w:shd w:val="solid" w:color="000000" w:fill="000000"/>
                <w:fitText w:val="330" w:id="-632121074"/>
                <w14:textFill>
                  <w14:solidFill>
                    <w14:srgbClr w14:val="000000">
                      <w14:alpha w14:val="100000"/>
                    </w14:srgbClr>
                  </w14:solidFill>
                </w14:textFill>
              </w:rPr>
              <w:t>|</w:t>
            </w:r>
            <w:r w:rsidR="00854C1D" w:rsidRPr="00854C1D">
              <w:rPr>
                <w:vertAlign w:val="superscript"/>
              </w:rPr>
              <w:t>3</w:t>
            </w:r>
          </w:p>
        </w:tc>
        <w:tc>
          <w:tcPr>
            <w:tcW w:w="670" w:type="pct"/>
          </w:tcPr>
          <w:p w14:paraId="252B6BFC" w14:textId="7A6FF324" w:rsidR="009D5476" w:rsidRPr="00E63543"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73"/>
                <w14:textFill>
                  <w14:solidFill>
                    <w14:srgbClr w14:val="000000">
                      <w14:alpha w14:val="100000"/>
                    </w14:srgbClr>
                  </w14:solidFill>
                </w14:textFill>
              </w:rPr>
              <w:t>|||</w:t>
            </w:r>
            <w:r w:rsidRPr="00CD4EA9">
              <w:rPr>
                <w:color w:val="000000"/>
                <w:spacing w:val="1"/>
                <w:shd w:val="solid" w:color="000000" w:fill="000000"/>
                <w:fitText w:val="330" w:id="-632121073"/>
                <w14:textFill>
                  <w14:solidFill>
                    <w14:srgbClr w14:val="000000">
                      <w14:alpha w14:val="100000"/>
                    </w14:srgbClr>
                  </w14:solidFill>
                </w14:textFill>
              </w:rPr>
              <w:t>|</w:t>
            </w:r>
            <w:r w:rsidR="00E63543" w:rsidRPr="00E63543">
              <w:rPr>
                <w:vertAlign w:val="superscript"/>
              </w:rPr>
              <w:t>4</w:t>
            </w:r>
          </w:p>
        </w:tc>
        <w:tc>
          <w:tcPr>
            <w:tcW w:w="670" w:type="pct"/>
          </w:tcPr>
          <w:p w14:paraId="0DDA66BC" w14:textId="36D8375B" w:rsidR="009D5476" w:rsidRPr="00D70FF0"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72"/>
                <w14:textFill>
                  <w14:solidFill>
                    <w14:srgbClr w14:val="000000">
                      <w14:alpha w14:val="100000"/>
                    </w14:srgbClr>
                  </w14:solidFill>
                </w14:textFill>
              </w:rPr>
              <w:t>|||</w:t>
            </w:r>
            <w:r w:rsidRPr="00CD4EA9">
              <w:rPr>
                <w:color w:val="000000"/>
                <w:spacing w:val="1"/>
                <w:shd w:val="solid" w:color="000000" w:fill="000000"/>
                <w:fitText w:val="330" w:id="-632121072"/>
                <w14:textFill>
                  <w14:solidFill>
                    <w14:srgbClr w14:val="000000">
                      <w14:alpha w14:val="100000"/>
                    </w14:srgbClr>
                  </w14:solidFill>
                </w14:textFill>
              </w:rPr>
              <w:t>|</w:t>
            </w:r>
            <w:r w:rsidR="00D70FF0" w:rsidRPr="00D70FF0">
              <w:rPr>
                <w:vertAlign w:val="superscript"/>
              </w:rPr>
              <w:t>5</w:t>
            </w:r>
          </w:p>
        </w:tc>
      </w:tr>
      <w:tr w:rsidR="009D5476" w:rsidRPr="00EE0EEB" w14:paraId="3D1176EF" w14:textId="77777777" w:rsidTr="00080BC7">
        <w:tc>
          <w:tcPr>
            <w:tcW w:w="5000" w:type="pct"/>
            <w:gridSpan w:val="7"/>
            <w:vAlign w:val="center"/>
          </w:tcPr>
          <w:p w14:paraId="4394C334" w14:textId="77777777" w:rsidR="009D5476" w:rsidRPr="00EE0EEB" w:rsidRDefault="009D5476">
            <w:pPr>
              <w:pStyle w:val="TableText"/>
              <w:rPr>
                <w:b/>
              </w:rPr>
            </w:pPr>
            <w:r w:rsidRPr="00EE0EEB">
              <w:rPr>
                <w:b/>
              </w:rPr>
              <w:t>Estimated extent of use of CSF AD biomarker testing</w:t>
            </w:r>
          </w:p>
        </w:tc>
      </w:tr>
      <w:tr w:rsidR="00E3171D" w:rsidRPr="00EE0EEB" w14:paraId="2838E9F8" w14:textId="77777777" w:rsidTr="00080BC7">
        <w:tc>
          <w:tcPr>
            <w:tcW w:w="980" w:type="pct"/>
            <w:vAlign w:val="center"/>
          </w:tcPr>
          <w:p w14:paraId="620C8EE1" w14:textId="77777777" w:rsidR="009D5476" w:rsidRPr="00EE0EEB" w:rsidRDefault="009D5476">
            <w:pPr>
              <w:pStyle w:val="TableText"/>
            </w:pPr>
            <w:r w:rsidRPr="00EE0EEB">
              <w:t>Number of tests</w:t>
            </w:r>
          </w:p>
        </w:tc>
        <w:tc>
          <w:tcPr>
            <w:tcW w:w="670" w:type="pct"/>
          </w:tcPr>
          <w:p w14:paraId="16D248B3" w14:textId="3BBF5446" w:rsidR="009D5476" w:rsidRPr="000652F9" w:rsidRDefault="00CD4EA9">
            <w:pPr>
              <w:pStyle w:val="TableNumber"/>
              <w:rPr>
                <w:highlight w:val="darkGray"/>
                <w:vertAlign w:val="superscript"/>
              </w:rPr>
            </w:pPr>
            <w:r w:rsidRPr="00CD4EA9">
              <w:rPr>
                <w:color w:val="000000"/>
                <w:spacing w:val="53"/>
                <w:shd w:val="solid" w:color="000000" w:fill="000000"/>
                <w:fitText w:val="330" w:id="-632121088"/>
                <w14:textFill>
                  <w14:solidFill>
                    <w14:srgbClr w14:val="000000">
                      <w14:alpha w14:val="100000"/>
                    </w14:srgbClr>
                  </w14:solidFill>
                </w14:textFill>
              </w:rPr>
              <w:t>|||</w:t>
            </w:r>
            <w:r w:rsidRPr="00CD4EA9">
              <w:rPr>
                <w:color w:val="000000"/>
                <w:spacing w:val="1"/>
                <w:shd w:val="solid" w:color="000000" w:fill="000000"/>
                <w:fitText w:val="330" w:id="-632121088"/>
                <w14:textFill>
                  <w14:solidFill>
                    <w14:srgbClr w14:val="000000">
                      <w14:alpha w14:val="100000"/>
                    </w14:srgbClr>
                  </w14:solidFill>
                </w14:textFill>
              </w:rPr>
              <w:t>|</w:t>
            </w:r>
            <w:r w:rsidR="000652F9" w:rsidRPr="000652F9">
              <w:rPr>
                <w:vertAlign w:val="superscript"/>
              </w:rPr>
              <w:t>8</w:t>
            </w:r>
          </w:p>
        </w:tc>
        <w:tc>
          <w:tcPr>
            <w:tcW w:w="670" w:type="pct"/>
          </w:tcPr>
          <w:p w14:paraId="1C3BB147" w14:textId="7A4F8887" w:rsidR="009D5476" w:rsidRPr="000652F9"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87"/>
                <w14:textFill>
                  <w14:solidFill>
                    <w14:srgbClr w14:val="000000">
                      <w14:alpha w14:val="100000"/>
                    </w14:srgbClr>
                  </w14:solidFill>
                </w14:textFill>
              </w:rPr>
              <w:t>|||</w:t>
            </w:r>
            <w:r w:rsidRPr="00CD4EA9">
              <w:rPr>
                <w:color w:val="000000"/>
                <w:spacing w:val="1"/>
                <w:shd w:val="solid" w:color="000000" w:fill="000000"/>
                <w:fitText w:val="330" w:id="-632121087"/>
                <w14:textFill>
                  <w14:solidFill>
                    <w14:srgbClr w14:val="000000">
                      <w14:alpha w14:val="100000"/>
                    </w14:srgbClr>
                  </w14:solidFill>
                </w14:textFill>
              </w:rPr>
              <w:t>|</w:t>
            </w:r>
            <w:r w:rsidR="000652F9" w:rsidRPr="000652F9">
              <w:rPr>
                <w:vertAlign w:val="superscript"/>
              </w:rPr>
              <w:t>8</w:t>
            </w:r>
          </w:p>
        </w:tc>
        <w:tc>
          <w:tcPr>
            <w:tcW w:w="670" w:type="pct"/>
          </w:tcPr>
          <w:p w14:paraId="390CB7C0" w14:textId="63B7EE75" w:rsidR="009D5476" w:rsidRPr="00CD651B"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86"/>
                <w14:textFill>
                  <w14:solidFill>
                    <w14:srgbClr w14:val="000000">
                      <w14:alpha w14:val="100000"/>
                    </w14:srgbClr>
                  </w14:solidFill>
                </w14:textFill>
              </w:rPr>
              <w:t>|||</w:t>
            </w:r>
            <w:r w:rsidRPr="00CD4EA9">
              <w:rPr>
                <w:color w:val="000000"/>
                <w:spacing w:val="1"/>
                <w:shd w:val="solid" w:color="000000" w:fill="000000"/>
                <w:fitText w:val="330" w:id="-632121086"/>
                <w14:textFill>
                  <w14:solidFill>
                    <w14:srgbClr w14:val="000000">
                      <w14:alpha w14:val="100000"/>
                    </w14:srgbClr>
                  </w14:solidFill>
                </w14:textFill>
              </w:rPr>
              <w:t>|</w:t>
            </w:r>
            <w:r w:rsidR="00CD651B" w:rsidRPr="00CD651B">
              <w:rPr>
                <w:vertAlign w:val="superscript"/>
              </w:rPr>
              <w:t>7</w:t>
            </w:r>
          </w:p>
        </w:tc>
        <w:tc>
          <w:tcPr>
            <w:tcW w:w="670" w:type="pct"/>
          </w:tcPr>
          <w:p w14:paraId="37F21B1D" w14:textId="7FFD527F" w:rsidR="009D5476" w:rsidRPr="00CD651B"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85"/>
                <w14:textFill>
                  <w14:solidFill>
                    <w14:srgbClr w14:val="000000">
                      <w14:alpha w14:val="100000"/>
                    </w14:srgbClr>
                  </w14:solidFill>
                </w14:textFill>
              </w:rPr>
              <w:t>|||</w:t>
            </w:r>
            <w:r w:rsidRPr="00CD4EA9">
              <w:rPr>
                <w:color w:val="000000"/>
                <w:spacing w:val="1"/>
                <w:shd w:val="solid" w:color="000000" w:fill="000000"/>
                <w:fitText w:val="330" w:id="-632121085"/>
                <w14:textFill>
                  <w14:solidFill>
                    <w14:srgbClr w14:val="000000">
                      <w14:alpha w14:val="100000"/>
                    </w14:srgbClr>
                  </w14:solidFill>
                </w14:textFill>
              </w:rPr>
              <w:t>|</w:t>
            </w:r>
            <w:r w:rsidR="00CD651B" w:rsidRPr="00CD651B">
              <w:rPr>
                <w:vertAlign w:val="superscript"/>
              </w:rPr>
              <w:t>7</w:t>
            </w:r>
          </w:p>
        </w:tc>
        <w:tc>
          <w:tcPr>
            <w:tcW w:w="670" w:type="pct"/>
          </w:tcPr>
          <w:p w14:paraId="5E07039F" w14:textId="316BA00D" w:rsidR="009D5476" w:rsidRPr="00D22E08"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84"/>
                <w14:textFill>
                  <w14:solidFill>
                    <w14:srgbClr w14:val="000000">
                      <w14:alpha w14:val="100000"/>
                    </w14:srgbClr>
                  </w14:solidFill>
                </w14:textFill>
              </w:rPr>
              <w:t>|||</w:t>
            </w:r>
            <w:r w:rsidRPr="00CD4EA9">
              <w:rPr>
                <w:color w:val="000000"/>
                <w:spacing w:val="1"/>
                <w:shd w:val="solid" w:color="000000" w:fill="000000"/>
                <w:fitText w:val="330" w:id="-632121084"/>
                <w14:textFill>
                  <w14:solidFill>
                    <w14:srgbClr w14:val="000000">
                      <w14:alpha w14:val="100000"/>
                    </w14:srgbClr>
                  </w14:solidFill>
                </w14:textFill>
              </w:rPr>
              <w:t>|</w:t>
            </w:r>
            <w:r w:rsidR="00D22E08" w:rsidRPr="00D22E08">
              <w:rPr>
                <w:vertAlign w:val="superscript"/>
              </w:rPr>
              <w:t>1</w:t>
            </w:r>
          </w:p>
        </w:tc>
        <w:tc>
          <w:tcPr>
            <w:tcW w:w="670" w:type="pct"/>
          </w:tcPr>
          <w:p w14:paraId="4E22CDAB" w14:textId="669CF9EC" w:rsidR="009D5476" w:rsidRPr="00D22E08" w:rsidRDefault="00CD4EA9">
            <w:pPr>
              <w:pStyle w:val="TableText"/>
              <w:tabs>
                <w:tab w:val="decimal" w:pos="396"/>
              </w:tabs>
              <w:jc w:val="center"/>
              <w:rPr>
                <w:highlight w:val="darkGray"/>
                <w:vertAlign w:val="superscript"/>
              </w:rPr>
            </w:pPr>
            <w:r w:rsidRPr="00CD4EA9">
              <w:rPr>
                <w:color w:val="000000"/>
                <w:spacing w:val="53"/>
                <w:shd w:val="solid" w:color="000000" w:fill="000000"/>
                <w:fitText w:val="330" w:id="-632121083"/>
                <w14:textFill>
                  <w14:solidFill>
                    <w14:srgbClr w14:val="000000">
                      <w14:alpha w14:val="100000"/>
                    </w14:srgbClr>
                  </w14:solidFill>
                </w14:textFill>
              </w:rPr>
              <w:t>|||</w:t>
            </w:r>
            <w:r w:rsidRPr="00CD4EA9">
              <w:rPr>
                <w:color w:val="000000"/>
                <w:spacing w:val="1"/>
                <w:shd w:val="solid" w:color="000000" w:fill="000000"/>
                <w:fitText w:val="330" w:id="-632121083"/>
                <w14:textFill>
                  <w14:solidFill>
                    <w14:srgbClr w14:val="000000">
                      <w14:alpha w14:val="100000"/>
                    </w14:srgbClr>
                  </w14:solidFill>
                </w14:textFill>
              </w:rPr>
              <w:t>|</w:t>
            </w:r>
            <w:r w:rsidR="00D22E08" w:rsidRPr="00D22E08">
              <w:rPr>
                <w:vertAlign w:val="superscript"/>
              </w:rPr>
              <w:t>1</w:t>
            </w:r>
          </w:p>
        </w:tc>
      </w:tr>
      <w:tr w:rsidR="009D5476" w:rsidRPr="00EE0EEB" w14:paraId="58734B24" w14:textId="77777777" w:rsidTr="00080BC7">
        <w:tc>
          <w:tcPr>
            <w:tcW w:w="5000" w:type="pct"/>
            <w:gridSpan w:val="7"/>
            <w:vAlign w:val="center"/>
          </w:tcPr>
          <w:p w14:paraId="2A74A88F" w14:textId="77777777" w:rsidR="009D5476" w:rsidRPr="00EE0EEB" w:rsidRDefault="009D5476">
            <w:pPr>
              <w:pStyle w:val="TableText"/>
              <w:rPr>
                <w:b/>
              </w:rPr>
            </w:pPr>
            <w:r w:rsidRPr="00EE0EEB">
              <w:rPr>
                <w:b/>
              </w:rPr>
              <w:t>Estimated extent of use of donanemab</w:t>
            </w:r>
          </w:p>
        </w:tc>
      </w:tr>
      <w:tr w:rsidR="00E3171D" w:rsidRPr="00EE0EEB" w14:paraId="269F9ADF" w14:textId="77777777" w:rsidTr="00080BC7">
        <w:tc>
          <w:tcPr>
            <w:tcW w:w="980" w:type="pct"/>
            <w:vAlign w:val="center"/>
          </w:tcPr>
          <w:p w14:paraId="5A169212" w14:textId="77777777" w:rsidR="009D5476" w:rsidRPr="00EE0EEB" w:rsidRDefault="009D5476">
            <w:pPr>
              <w:pStyle w:val="TableText"/>
              <w:rPr>
                <w:rFonts w:ascii="Times" w:eastAsia="Times New Roman" w:hAnsi="Times" w:cs="Times New Roman"/>
              </w:rPr>
            </w:pPr>
            <w:r w:rsidRPr="00EE0EEB">
              <w:t>Number of patients likely to be treated with proposed drug</w:t>
            </w:r>
          </w:p>
        </w:tc>
        <w:tc>
          <w:tcPr>
            <w:tcW w:w="670" w:type="pct"/>
          </w:tcPr>
          <w:p w14:paraId="2EEEAF41" w14:textId="754569B8" w:rsidR="009D5476" w:rsidRPr="00E80FD4" w:rsidRDefault="00CD4EA9">
            <w:pPr>
              <w:pStyle w:val="TableText"/>
              <w:jc w:val="center"/>
              <w:rPr>
                <w:vertAlign w:val="superscript"/>
              </w:rPr>
            </w:pPr>
            <w:r w:rsidRPr="00CD4EA9">
              <w:rPr>
                <w:color w:val="000000"/>
                <w:spacing w:val="53"/>
                <w:shd w:val="solid" w:color="000000" w:fill="000000"/>
                <w:fitText w:val="330" w:id="-632121082"/>
                <w14:textFill>
                  <w14:solidFill>
                    <w14:srgbClr w14:val="000000">
                      <w14:alpha w14:val="100000"/>
                    </w14:srgbClr>
                  </w14:solidFill>
                </w14:textFill>
              </w:rPr>
              <w:t>|||</w:t>
            </w:r>
            <w:r w:rsidRPr="00CD4EA9">
              <w:rPr>
                <w:color w:val="000000"/>
                <w:spacing w:val="1"/>
                <w:shd w:val="solid" w:color="000000" w:fill="000000"/>
                <w:fitText w:val="330" w:id="-632121082"/>
                <w14:textFill>
                  <w14:solidFill>
                    <w14:srgbClr w14:val="000000">
                      <w14:alpha w14:val="100000"/>
                    </w14:srgbClr>
                  </w14:solidFill>
                </w14:textFill>
              </w:rPr>
              <w:t>|</w:t>
            </w:r>
            <w:r w:rsidR="00976E91" w:rsidRPr="00A169B9">
              <w:rPr>
                <w:vertAlign w:val="superscript"/>
              </w:rPr>
              <w:t>1</w:t>
            </w:r>
          </w:p>
        </w:tc>
        <w:tc>
          <w:tcPr>
            <w:tcW w:w="670" w:type="pct"/>
          </w:tcPr>
          <w:p w14:paraId="15C62DFA" w14:textId="2112D08E" w:rsidR="009D5476" w:rsidRPr="00E80FD4" w:rsidRDefault="00CD4EA9">
            <w:pPr>
              <w:pStyle w:val="TableText"/>
              <w:jc w:val="center"/>
              <w:rPr>
                <w:vertAlign w:val="superscript"/>
              </w:rPr>
            </w:pPr>
            <w:r w:rsidRPr="00CD4EA9">
              <w:rPr>
                <w:color w:val="000000"/>
                <w:spacing w:val="53"/>
                <w:shd w:val="solid" w:color="000000" w:fill="000000"/>
                <w:fitText w:val="330" w:id="-632121081"/>
                <w14:textFill>
                  <w14:solidFill>
                    <w14:srgbClr w14:val="000000">
                      <w14:alpha w14:val="100000"/>
                    </w14:srgbClr>
                  </w14:solidFill>
                </w14:textFill>
              </w:rPr>
              <w:t>|||</w:t>
            </w:r>
            <w:r w:rsidRPr="00CD4EA9">
              <w:rPr>
                <w:color w:val="000000"/>
                <w:spacing w:val="1"/>
                <w:shd w:val="solid" w:color="000000" w:fill="000000"/>
                <w:fitText w:val="330" w:id="-632121081"/>
                <w14:textFill>
                  <w14:solidFill>
                    <w14:srgbClr w14:val="000000">
                      <w14:alpha w14:val="100000"/>
                    </w14:srgbClr>
                  </w14:solidFill>
                </w14:textFill>
              </w:rPr>
              <w:t>|</w:t>
            </w:r>
            <w:r w:rsidR="00D22E08">
              <w:rPr>
                <w:vertAlign w:val="superscript"/>
              </w:rPr>
              <w:t>1</w:t>
            </w:r>
          </w:p>
        </w:tc>
        <w:tc>
          <w:tcPr>
            <w:tcW w:w="670" w:type="pct"/>
          </w:tcPr>
          <w:p w14:paraId="6EDE8FBB" w14:textId="6A64DABB" w:rsidR="009D5476" w:rsidRPr="00E80FD4" w:rsidRDefault="00CD4EA9">
            <w:pPr>
              <w:pStyle w:val="TableText"/>
              <w:jc w:val="center"/>
              <w:rPr>
                <w:highlight w:val="green"/>
                <w:vertAlign w:val="superscript"/>
              </w:rPr>
            </w:pPr>
            <w:r w:rsidRPr="00CD4EA9">
              <w:rPr>
                <w:color w:val="000000"/>
                <w:spacing w:val="53"/>
                <w:shd w:val="solid" w:color="000000" w:fill="000000"/>
                <w:fitText w:val="330" w:id="-632121080"/>
                <w14:textFill>
                  <w14:solidFill>
                    <w14:srgbClr w14:val="000000">
                      <w14:alpha w14:val="100000"/>
                    </w14:srgbClr>
                  </w14:solidFill>
                </w14:textFill>
              </w:rPr>
              <w:t>|||</w:t>
            </w:r>
            <w:r w:rsidRPr="00CD4EA9">
              <w:rPr>
                <w:color w:val="000000"/>
                <w:spacing w:val="1"/>
                <w:shd w:val="solid" w:color="000000" w:fill="000000"/>
                <w:fitText w:val="330" w:id="-632121080"/>
                <w14:textFill>
                  <w14:solidFill>
                    <w14:srgbClr w14:val="000000">
                      <w14:alpha w14:val="100000"/>
                    </w14:srgbClr>
                  </w14:solidFill>
                </w14:textFill>
              </w:rPr>
              <w:t>|</w:t>
            </w:r>
            <w:r w:rsidR="00D22E08">
              <w:rPr>
                <w:vertAlign w:val="superscript"/>
              </w:rPr>
              <w:t>1</w:t>
            </w:r>
          </w:p>
        </w:tc>
        <w:tc>
          <w:tcPr>
            <w:tcW w:w="670" w:type="pct"/>
          </w:tcPr>
          <w:p w14:paraId="6B3CF6D0" w14:textId="46415B74" w:rsidR="009D5476" w:rsidRPr="00E80FD4" w:rsidRDefault="00CD4EA9">
            <w:pPr>
              <w:pStyle w:val="TableText"/>
              <w:jc w:val="center"/>
              <w:rPr>
                <w:highlight w:val="green"/>
                <w:vertAlign w:val="superscript"/>
              </w:rPr>
            </w:pPr>
            <w:r w:rsidRPr="00CD4EA9">
              <w:rPr>
                <w:color w:val="000000"/>
                <w:spacing w:val="53"/>
                <w:shd w:val="solid" w:color="000000" w:fill="000000"/>
                <w:fitText w:val="330" w:id="-632121079"/>
                <w14:textFill>
                  <w14:solidFill>
                    <w14:srgbClr w14:val="000000">
                      <w14:alpha w14:val="100000"/>
                    </w14:srgbClr>
                  </w14:solidFill>
                </w14:textFill>
              </w:rPr>
              <w:t>|||</w:t>
            </w:r>
            <w:r w:rsidRPr="00CD4EA9">
              <w:rPr>
                <w:color w:val="000000"/>
                <w:spacing w:val="1"/>
                <w:shd w:val="solid" w:color="000000" w:fill="000000"/>
                <w:fitText w:val="330" w:id="-632121079"/>
                <w14:textFill>
                  <w14:solidFill>
                    <w14:srgbClr w14:val="000000">
                      <w14:alpha w14:val="100000"/>
                    </w14:srgbClr>
                  </w14:solidFill>
                </w14:textFill>
              </w:rPr>
              <w:t>|</w:t>
            </w:r>
            <w:r w:rsidR="0073085C">
              <w:rPr>
                <w:vertAlign w:val="superscript"/>
              </w:rPr>
              <w:t>2</w:t>
            </w:r>
          </w:p>
        </w:tc>
        <w:tc>
          <w:tcPr>
            <w:tcW w:w="670" w:type="pct"/>
          </w:tcPr>
          <w:p w14:paraId="1CD56966" w14:textId="51651C79" w:rsidR="009D5476" w:rsidRPr="00E80FD4" w:rsidRDefault="00CD4EA9">
            <w:pPr>
              <w:pStyle w:val="TableText"/>
              <w:jc w:val="center"/>
              <w:rPr>
                <w:highlight w:val="green"/>
                <w:vertAlign w:val="superscript"/>
              </w:rPr>
            </w:pPr>
            <w:r w:rsidRPr="00CD4EA9">
              <w:rPr>
                <w:color w:val="000000"/>
                <w:spacing w:val="53"/>
                <w:shd w:val="solid" w:color="000000" w:fill="000000"/>
                <w:fitText w:val="330" w:id="-632121078"/>
                <w14:textFill>
                  <w14:solidFill>
                    <w14:srgbClr w14:val="000000">
                      <w14:alpha w14:val="100000"/>
                    </w14:srgbClr>
                  </w14:solidFill>
                </w14:textFill>
              </w:rPr>
              <w:t>|||</w:t>
            </w:r>
            <w:r w:rsidRPr="00CD4EA9">
              <w:rPr>
                <w:color w:val="000000"/>
                <w:spacing w:val="1"/>
                <w:shd w:val="solid" w:color="000000" w:fill="000000"/>
                <w:fitText w:val="330" w:id="-632121078"/>
                <w14:textFill>
                  <w14:solidFill>
                    <w14:srgbClr w14:val="000000">
                      <w14:alpha w14:val="100000"/>
                    </w14:srgbClr>
                  </w14:solidFill>
                </w14:textFill>
              </w:rPr>
              <w:t>|</w:t>
            </w:r>
            <w:r w:rsidR="00854C1D">
              <w:rPr>
                <w:vertAlign w:val="superscript"/>
              </w:rPr>
              <w:t>3</w:t>
            </w:r>
          </w:p>
        </w:tc>
        <w:tc>
          <w:tcPr>
            <w:tcW w:w="670" w:type="pct"/>
          </w:tcPr>
          <w:p w14:paraId="42392DD2" w14:textId="2AC99A82" w:rsidR="009D5476" w:rsidRPr="00E80FD4" w:rsidRDefault="00CD4EA9">
            <w:pPr>
              <w:pStyle w:val="TableText"/>
              <w:jc w:val="center"/>
              <w:rPr>
                <w:highlight w:val="green"/>
                <w:vertAlign w:val="superscript"/>
              </w:rPr>
            </w:pPr>
            <w:r w:rsidRPr="00CD4EA9">
              <w:rPr>
                <w:color w:val="000000"/>
                <w:spacing w:val="53"/>
                <w:shd w:val="solid" w:color="000000" w:fill="000000"/>
                <w:fitText w:val="330" w:id="-632121077"/>
                <w14:textFill>
                  <w14:solidFill>
                    <w14:srgbClr w14:val="000000">
                      <w14:alpha w14:val="100000"/>
                    </w14:srgbClr>
                  </w14:solidFill>
                </w14:textFill>
              </w:rPr>
              <w:t>|||</w:t>
            </w:r>
            <w:r w:rsidRPr="00CD4EA9">
              <w:rPr>
                <w:color w:val="000000"/>
                <w:spacing w:val="1"/>
                <w:shd w:val="solid" w:color="000000" w:fill="000000"/>
                <w:fitText w:val="330" w:id="-632121077"/>
                <w14:textFill>
                  <w14:solidFill>
                    <w14:srgbClr w14:val="000000">
                      <w14:alpha w14:val="100000"/>
                    </w14:srgbClr>
                  </w14:solidFill>
                </w14:textFill>
              </w:rPr>
              <w:t>|</w:t>
            </w:r>
            <w:r w:rsidR="006B33EA">
              <w:rPr>
                <w:vertAlign w:val="superscript"/>
              </w:rPr>
              <w:t>4</w:t>
            </w:r>
          </w:p>
        </w:tc>
      </w:tr>
      <w:tr w:rsidR="00E3171D" w:rsidRPr="00EE0EEB" w14:paraId="4793720D" w14:textId="77777777" w:rsidTr="00080BC7">
        <w:tc>
          <w:tcPr>
            <w:tcW w:w="980" w:type="pct"/>
            <w:vAlign w:val="center"/>
          </w:tcPr>
          <w:p w14:paraId="54051EB9" w14:textId="77777777" w:rsidR="009D5476" w:rsidRPr="00EE0EEB" w:rsidRDefault="009D5476">
            <w:pPr>
              <w:pStyle w:val="TableText"/>
              <w:rPr>
                <w:rFonts w:ascii="Times" w:eastAsia="Times New Roman" w:hAnsi="Times" w:cs="Times New Roman"/>
              </w:rPr>
            </w:pPr>
            <w:r w:rsidRPr="00EE0EEB">
              <w:t xml:space="preserve">Number of scripts dispensed </w:t>
            </w:r>
            <w:r w:rsidRPr="00EE0EEB">
              <w:rPr>
                <w:vertAlign w:val="superscript"/>
              </w:rPr>
              <w:t>a</w:t>
            </w:r>
          </w:p>
        </w:tc>
        <w:tc>
          <w:tcPr>
            <w:tcW w:w="670" w:type="pct"/>
          </w:tcPr>
          <w:p w14:paraId="63788482" w14:textId="235BA49C" w:rsidR="009D5476" w:rsidRPr="00E80FD4" w:rsidRDefault="00CD4EA9">
            <w:pPr>
              <w:pStyle w:val="TableText"/>
              <w:jc w:val="center"/>
              <w:rPr>
                <w:highlight w:val="green"/>
                <w:vertAlign w:val="superscript"/>
              </w:rPr>
            </w:pPr>
            <w:r w:rsidRPr="00CD4EA9">
              <w:rPr>
                <w:color w:val="000000"/>
                <w:spacing w:val="53"/>
                <w:shd w:val="solid" w:color="000000" w:fill="000000"/>
                <w:fitText w:val="330" w:id="-632121076"/>
                <w14:textFill>
                  <w14:solidFill>
                    <w14:srgbClr w14:val="000000">
                      <w14:alpha w14:val="100000"/>
                    </w14:srgbClr>
                  </w14:solidFill>
                </w14:textFill>
              </w:rPr>
              <w:t>|||</w:t>
            </w:r>
            <w:r w:rsidRPr="00CD4EA9">
              <w:rPr>
                <w:color w:val="000000"/>
                <w:spacing w:val="1"/>
                <w:shd w:val="solid" w:color="000000" w:fill="000000"/>
                <w:fitText w:val="330" w:id="-632121076"/>
                <w14:textFill>
                  <w14:solidFill>
                    <w14:srgbClr w14:val="000000">
                      <w14:alpha w14:val="100000"/>
                    </w14:srgbClr>
                  </w14:solidFill>
                </w14:textFill>
              </w:rPr>
              <w:t>|</w:t>
            </w:r>
            <w:r w:rsidR="00FF74D7">
              <w:rPr>
                <w:vertAlign w:val="superscript"/>
              </w:rPr>
              <w:t>9</w:t>
            </w:r>
          </w:p>
        </w:tc>
        <w:tc>
          <w:tcPr>
            <w:tcW w:w="670" w:type="pct"/>
          </w:tcPr>
          <w:p w14:paraId="21805F3F" w14:textId="4567C762" w:rsidR="009D5476" w:rsidRPr="00E80FD4" w:rsidRDefault="00CD4EA9">
            <w:pPr>
              <w:pStyle w:val="TableText"/>
              <w:jc w:val="center"/>
              <w:rPr>
                <w:highlight w:val="green"/>
                <w:vertAlign w:val="superscript"/>
              </w:rPr>
            </w:pPr>
            <w:r w:rsidRPr="00CD4EA9">
              <w:rPr>
                <w:color w:val="000000"/>
                <w:spacing w:val="53"/>
                <w:shd w:val="solid" w:color="000000" w:fill="000000"/>
                <w:fitText w:val="330" w:id="-632121075"/>
                <w14:textFill>
                  <w14:solidFill>
                    <w14:srgbClr w14:val="000000">
                      <w14:alpha w14:val="100000"/>
                    </w14:srgbClr>
                  </w14:solidFill>
                </w14:textFill>
              </w:rPr>
              <w:t>|||</w:t>
            </w:r>
            <w:r w:rsidRPr="00CD4EA9">
              <w:rPr>
                <w:color w:val="000000"/>
                <w:spacing w:val="1"/>
                <w:shd w:val="solid" w:color="000000" w:fill="000000"/>
                <w:fitText w:val="330" w:id="-632121075"/>
                <w14:textFill>
                  <w14:solidFill>
                    <w14:srgbClr w14:val="000000">
                      <w14:alpha w14:val="100000"/>
                    </w14:srgbClr>
                  </w14:solidFill>
                </w14:textFill>
              </w:rPr>
              <w:t>|</w:t>
            </w:r>
            <w:r w:rsidR="003A2152">
              <w:rPr>
                <w:vertAlign w:val="superscript"/>
              </w:rPr>
              <w:t>10</w:t>
            </w:r>
          </w:p>
        </w:tc>
        <w:tc>
          <w:tcPr>
            <w:tcW w:w="670" w:type="pct"/>
          </w:tcPr>
          <w:p w14:paraId="54D2BC91" w14:textId="08E92C8C" w:rsidR="009D5476" w:rsidRPr="00E80FD4" w:rsidRDefault="00CD4EA9">
            <w:pPr>
              <w:pStyle w:val="TableText"/>
              <w:jc w:val="center"/>
            </w:pPr>
            <w:r w:rsidRPr="00CD4EA9">
              <w:rPr>
                <w:color w:val="000000"/>
                <w:spacing w:val="53"/>
                <w:shd w:val="solid" w:color="000000" w:fill="000000"/>
                <w:fitText w:val="330" w:id="-632121074"/>
                <w14:textFill>
                  <w14:solidFill>
                    <w14:srgbClr w14:val="000000">
                      <w14:alpha w14:val="100000"/>
                    </w14:srgbClr>
                  </w14:solidFill>
                </w14:textFill>
              </w:rPr>
              <w:t>|||</w:t>
            </w:r>
            <w:r w:rsidRPr="00CD4EA9">
              <w:rPr>
                <w:color w:val="000000"/>
                <w:spacing w:val="1"/>
                <w:shd w:val="solid" w:color="000000" w:fill="000000"/>
                <w:fitText w:val="330" w:id="-632121074"/>
                <w14:textFill>
                  <w14:solidFill>
                    <w14:srgbClr w14:val="000000">
                      <w14:alpha w14:val="100000"/>
                    </w14:srgbClr>
                  </w14:solidFill>
                </w14:textFill>
              </w:rPr>
              <w:t>|</w:t>
            </w:r>
            <w:r w:rsidR="003A2152">
              <w:rPr>
                <w:vertAlign w:val="superscript"/>
              </w:rPr>
              <w:t>11</w:t>
            </w:r>
          </w:p>
        </w:tc>
        <w:tc>
          <w:tcPr>
            <w:tcW w:w="670" w:type="pct"/>
          </w:tcPr>
          <w:p w14:paraId="3398E7DC" w14:textId="488268B0" w:rsidR="009D5476" w:rsidRPr="00E80FD4" w:rsidRDefault="00CD4EA9">
            <w:pPr>
              <w:pStyle w:val="TableText"/>
              <w:jc w:val="center"/>
            </w:pPr>
            <w:r w:rsidRPr="00CD4EA9">
              <w:rPr>
                <w:color w:val="000000"/>
                <w:spacing w:val="53"/>
                <w:shd w:val="solid" w:color="000000" w:fill="000000"/>
                <w:fitText w:val="330" w:id="-632121073"/>
                <w14:textFill>
                  <w14:solidFill>
                    <w14:srgbClr w14:val="000000">
                      <w14:alpha w14:val="100000"/>
                    </w14:srgbClr>
                  </w14:solidFill>
                </w14:textFill>
              </w:rPr>
              <w:t>|||</w:t>
            </w:r>
            <w:r w:rsidRPr="00CD4EA9">
              <w:rPr>
                <w:color w:val="000000"/>
                <w:spacing w:val="1"/>
                <w:shd w:val="solid" w:color="000000" w:fill="000000"/>
                <w:fitText w:val="330" w:id="-632121073"/>
                <w14:textFill>
                  <w14:solidFill>
                    <w14:srgbClr w14:val="000000">
                      <w14:alpha w14:val="100000"/>
                    </w14:srgbClr>
                  </w14:solidFill>
                </w14:textFill>
              </w:rPr>
              <w:t>|</w:t>
            </w:r>
            <w:r w:rsidR="00EB203D">
              <w:rPr>
                <w:vertAlign w:val="superscript"/>
              </w:rPr>
              <w:t>12</w:t>
            </w:r>
          </w:p>
        </w:tc>
        <w:tc>
          <w:tcPr>
            <w:tcW w:w="670" w:type="pct"/>
          </w:tcPr>
          <w:p w14:paraId="0C03ACF4" w14:textId="2318A774" w:rsidR="009D5476" w:rsidRPr="00E80FD4" w:rsidRDefault="00CD4EA9">
            <w:pPr>
              <w:pStyle w:val="TableText"/>
              <w:jc w:val="center"/>
              <w:rPr>
                <w:vertAlign w:val="superscript"/>
              </w:rPr>
            </w:pPr>
            <w:r w:rsidRPr="00CD4EA9">
              <w:rPr>
                <w:color w:val="000000"/>
                <w:spacing w:val="53"/>
                <w:shd w:val="solid" w:color="000000" w:fill="000000"/>
                <w:fitText w:val="330" w:id="-632121072"/>
                <w14:textFill>
                  <w14:solidFill>
                    <w14:srgbClr w14:val="000000">
                      <w14:alpha w14:val="100000"/>
                    </w14:srgbClr>
                  </w14:solidFill>
                </w14:textFill>
              </w:rPr>
              <w:t>|||</w:t>
            </w:r>
            <w:r w:rsidRPr="00CD4EA9">
              <w:rPr>
                <w:color w:val="000000"/>
                <w:spacing w:val="1"/>
                <w:shd w:val="solid" w:color="000000" w:fill="000000"/>
                <w:fitText w:val="330" w:id="-632121072"/>
                <w14:textFill>
                  <w14:solidFill>
                    <w14:srgbClr w14:val="000000">
                      <w14:alpha w14:val="100000"/>
                    </w14:srgbClr>
                  </w14:solidFill>
                </w14:textFill>
              </w:rPr>
              <w:t>|</w:t>
            </w:r>
            <w:r w:rsidR="00A169B9" w:rsidRPr="00A169B9">
              <w:rPr>
                <w:vertAlign w:val="superscript"/>
              </w:rPr>
              <w:t>1</w:t>
            </w:r>
            <w:r w:rsidR="00EB203D">
              <w:rPr>
                <w:vertAlign w:val="superscript"/>
              </w:rPr>
              <w:t>3</w:t>
            </w:r>
          </w:p>
        </w:tc>
        <w:tc>
          <w:tcPr>
            <w:tcW w:w="670" w:type="pct"/>
          </w:tcPr>
          <w:p w14:paraId="040ED1CE" w14:textId="7050F7BB" w:rsidR="009D5476" w:rsidRPr="00373D22" w:rsidRDefault="00CD4EA9">
            <w:pPr>
              <w:pStyle w:val="TableText"/>
              <w:jc w:val="center"/>
              <w:rPr>
                <w:vertAlign w:val="superscript"/>
              </w:rPr>
            </w:pPr>
            <w:r w:rsidRPr="00CD4EA9">
              <w:rPr>
                <w:color w:val="000000"/>
                <w:spacing w:val="53"/>
                <w:shd w:val="solid" w:color="000000" w:fill="000000"/>
                <w:fitText w:val="330" w:id="-632121088"/>
                <w14:textFill>
                  <w14:solidFill>
                    <w14:srgbClr w14:val="000000">
                      <w14:alpha w14:val="100000"/>
                    </w14:srgbClr>
                  </w14:solidFill>
                </w14:textFill>
              </w:rPr>
              <w:t>|||</w:t>
            </w:r>
            <w:r w:rsidRPr="00CD4EA9">
              <w:rPr>
                <w:color w:val="000000"/>
                <w:spacing w:val="1"/>
                <w:shd w:val="solid" w:color="000000" w:fill="000000"/>
                <w:fitText w:val="330" w:id="-632121088"/>
                <w14:textFill>
                  <w14:solidFill>
                    <w14:srgbClr w14:val="000000">
                      <w14:alpha w14:val="100000"/>
                    </w14:srgbClr>
                  </w14:solidFill>
                </w14:textFill>
              </w:rPr>
              <w:t>|</w:t>
            </w:r>
            <w:r w:rsidR="00A169B9" w:rsidRPr="006C78C8">
              <w:rPr>
                <w:vertAlign w:val="superscript"/>
              </w:rPr>
              <w:t>1</w:t>
            </w:r>
            <w:r w:rsidR="00F04035">
              <w:rPr>
                <w:vertAlign w:val="superscript"/>
              </w:rPr>
              <w:t>4</w:t>
            </w:r>
          </w:p>
        </w:tc>
      </w:tr>
      <w:tr w:rsidR="009D5476" w:rsidRPr="00EE0EEB" w14:paraId="3BA25C0A" w14:textId="77777777" w:rsidTr="00080BC7">
        <w:tc>
          <w:tcPr>
            <w:tcW w:w="5000" w:type="pct"/>
            <w:gridSpan w:val="7"/>
            <w:vAlign w:val="center"/>
          </w:tcPr>
          <w:p w14:paraId="7E8B289F" w14:textId="77777777" w:rsidR="009D5476" w:rsidRPr="00EE0EEB" w:rsidRDefault="009D5476">
            <w:pPr>
              <w:pStyle w:val="TableText"/>
              <w:rPr>
                <w:b/>
                <w:bCs/>
                <w:color w:val="000000"/>
              </w:rPr>
            </w:pPr>
            <w:r w:rsidRPr="00EE0EEB">
              <w:rPr>
                <w:b/>
              </w:rPr>
              <w:t xml:space="preserve">Estimated financial implications of the </w:t>
            </w:r>
            <w:r w:rsidRPr="00EE0EEB">
              <w:rPr>
                <w:b/>
                <w:i/>
                <w:iCs/>
              </w:rPr>
              <w:t>APOE4</w:t>
            </w:r>
            <w:r w:rsidRPr="00EE0EEB">
              <w:rPr>
                <w:b/>
              </w:rPr>
              <w:t xml:space="preserve"> genotyping to the MBS</w:t>
            </w:r>
          </w:p>
        </w:tc>
      </w:tr>
      <w:tr w:rsidR="00E3171D" w:rsidRPr="00EE0EEB" w14:paraId="66FAE8A3" w14:textId="77777777" w:rsidTr="00080BC7">
        <w:tc>
          <w:tcPr>
            <w:tcW w:w="980" w:type="pct"/>
            <w:vAlign w:val="center"/>
          </w:tcPr>
          <w:p w14:paraId="5EB1C445" w14:textId="77777777" w:rsidR="009D5476" w:rsidRPr="00EE0EEB" w:rsidRDefault="009D5476">
            <w:pPr>
              <w:pStyle w:val="TableText"/>
            </w:pPr>
            <w:r w:rsidRPr="00EE0EEB">
              <w:t>Cost to the MBS</w:t>
            </w:r>
          </w:p>
        </w:tc>
        <w:tc>
          <w:tcPr>
            <w:tcW w:w="670" w:type="pct"/>
          </w:tcPr>
          <w:p w14:paraId="64C386B2" w14:textId="10BB51DD" w:rsidR="009D5476" w:rsidRPr="00EE0EEB" w:rsidRDefault="009D5476">
            <w:pPr>
              <w:pStyle w:val="TableText"/>
              <w:jc w:val="center"/>
              <w:rPr>
                <w:szCs w:val="20"/>
              </w:rPr>
            </w:pPr>
            <w:r w:rsidRPr="00EE0EEB">
              <w:rPr>
                <w:szCs w:val="20"/>
              </w:rPr>
              <w:t>$</w:t>
            </w:r>
            <w:r w:rsidR="00CD4EA9" w:rsidRPr="00CD4EA9">
              <w:rPr>
                <w:color w:val="000000"/>
                <w:spacing w:val="51"/>
                <w:szCs w:val="20"/>
                <w:shd w:val="solid" w:color="000000" w:fill="000000"/>
                <w:fitText w:val="324" w:id="-632121087"/>
                <w14:textFill>
                  <w14:solidFill>
                    <w14:srgbClr w14:val="000000">
                      <w14:alpha w14:val="100000"/>
                    </w14:srgbClr>
                  </w14:solidFill>
                </w14:textFill>
              </w:rPr>
              <w:t>|||</w:t>
            </w:r>
            <w:r w:rsidR="00CD4EA9" w:rsidRPr="00CD4EA9">
              <w:rPr>
                <w:color w:val="000000"/>
                <w:spacing w:val="1"/>
                <w:szCs w:val="20"/>
                <w:shd w:val="solid" w:color="000000" w:fill="000000"/>
                <w:fitText w:val="324" w:id="-632121087"/>
                <w14:textFill>
                  <w14:solidFill>
                    <w14:srgbClr w14:val="000000">
                      <w14:alpha w14:val="100000"/>
                    </w14:srgbClr>
                  </w14:solidFill>
                </w14:textFill>
              </w:rPr>
              <w:t>|</w:t>
            </w:r>
            <w:r w:rsidR="002D7709">
              <w:rPr>
                <w:szCs w:val="20"/>
                <w:vertAlign w:val="superscript"/>
              </w:rPr>
              <w:t>15</w:t>
            </w:r>
          </w:p>
        </w:tc>
        <w:tc>
          <w:tcPr>
            <w:tcW w:w="670" w:type="pct"/>
          </w:tcPr>
          <w:p w14:paraId="3C134FA1" w14:textId="15BE5464"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6"/>
                <w14:textFill>
                  <w14:solidFill>
                    <w14:srgbClr w14:val="000000">
                      <w14:alpha w14:val="100000"/>
                    </w14:srgbClr>
                  </w14:solidFill>
                </w14:textFill>
              </w:rPr>
              <w:t>|||</w:t>
            </w:r>
            <w:r w:rsidR="00CD4EA9" w:rsidRPr="00CD4EA9">
              <w:rPr>
                <w:color w:val="000000"/>
                <w:spacing w:val="1"/>
                <w:szCs w:val="20"/>
                <w:shd w:val="solid" w:color="000000" w:fill="000000"/>
                <w:fitText w:val="324" w:id="-632121086"/>
                <w14:textFill>
                  <w14:solidFill>
                    <w14:srgbClr w14:val="000000">
                      <w14:alpha w14:val="100000"/>
                    </w14:srgbClr>
                  </w14:solidFill>
                </w14:textFill>
              </w:rPr>
              <w:t>|</w:t>
            </w:r>
            <w:r w:rsidR="0063066D">
              <w:rPr>
                <w:szCs w:val="20"/>
                <w:vertAlign w:val="superscript"/>
              </w:rPr>
              <w:t>15</w:t>
            </w:r>
          </w:p>
        </w:tc>
        <w:tc>
          <w:tcPr>
            <w:tcW w:w="670" w:type="pct"/>
          </w:tcPr>
          <w:p w14:paraId="4BE29BB8" w14:textId="2BB0783D"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5"/>
                <w14:textFill>
                  <w14:solidFill>
                    <w14:srgbClr w14:val="000000">
                      <w14:alpha w14:val="100000"/>
                    </w14:srgbClr>
                  </w14:solidFill>
                </w14:textFill>
              </w:rPr>
              <w:t>|||</w:t>
            </w:r>
            <w:r w:rsidR="00CD4EA9" w:rsidRPr="00CD4EA9">
              <w:rPr>
                <w:color w:val="000000"/>
                <w:spacing w:val="1"/>
                <w:szCs w:val="20"/>
                <w:shd w:val="solid" w:color="000000" w:fill="000000"/>
                <w:fitText w:val="324" w:id="-632121085"/>
                <w14:textFill>
                  <w14:solidFill>
                    <w14:srgbClr w14:val="000000">
                      <w14:alpha w14:val="100000"/>
                    </w14:srgbClr>
                  </w14:solidFill>
                </w14:textFill>
              </w:rPr>
              <w:t>|</w:t>
            </w:r>
            <w:r w:rsidR="0063066D">
              <w:rPr>
                <w:szCs w:val="20"/>
                <w:vertAlign w:val="superscript"/>
              </w:rPr>
              <w:t>15</w:t>
            </w:r>
          </w:p>
        </w:tc>
        <w:tc>
          <w:tcPr>
            <w:tcW w:w="670" w:type="pct"/>
          </w:tcPr>
          <w:p w14:paraId="4F7CBF94" w14:textId="72ADD378"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4"/>
                <w14:textFill>
                  <w14:solidFill>
                    <w14:srgbClr w14:val="000000">
                      <w14:alpha w14:val="100000"/>
                    </w14:srgbClr>
                  </w14:solidFill>
                </w14:textFill>
              </w:rPr>
              <w:t>|||</w:t>
            </w:r>
            <w:r w:rsidR="00CD4EA9" w:rsidRPr="00CD4EA9">
              <w:rPr>
                <w:color w:val="000000"/>
                <w:spacing w:val="1"/>
                <w:szCs w:val="20"/>
                <w:shd w:val="solid" w:color="000000" w:fill="000000"/>
                <w:fitText w:val="324" w:id="-632121084"/>
                <w14:textFill>
                  <w14:solidFill>
                    <w14:srgbClr w14:val="000000">
                      <w14:alpha w14:val="100000"/>
                    </w14:srgbClr>
                  </w14:solidFill>
                </w14:textFill>
              </w:rPr>
              <w:t>|</w:t>
            </w:r>
            <w:r w:rsidR="0063066D">
              <w:rPr>
                <w:szCs w:val="20"/>
                <w:vertAlign w:val="superscript"/>
              </w:rPr>
              <w:t>15</w:t>
            </w:r>
          </w:p>
        </w:tc>
        <w:tc>
          <w:tcPr>
            <w:tcW w:w="670" w:type="pct"/>
          </w:tcPr>
          <w:p w14:paraId="7FCE7384" w14:textId="5AC470E1"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3"/>
                <w14:textFill>
                  <w14:solidFill>
                    <w14:srgbClr w14:val="000000">
                      <w14:alpha w14:val="100000"/>
                    </w14:srgbClr>
                  </w14:solidFill>
                </w14:textFill>
              </w:rPr>
              <w:t>|||</w:t>
            </w:r>
            <w:r w:rsidR="00CD4EA9" w:rsidRPr="00CD4EA9">
              <w:rPr>
                <w:color w:val="000000"/>
                <w:spacing w:val="1"/>
                <w:szCs w:val="20"/>
                <w:shd w:val="solid" w:color="000000" w:fill="000000"/>
                <w:fitText w:val="324" w:id="-632121083"/>
                <w14:textFill>
                  <w14:solidFill>
                    <w14:srgbClr w14:val="000000">
                      <w14:alpha w14:val="100000"/>
                    </w14:srgbClr>
                  </w14:solidFill>
                </w14:textFill>
              </w:rPr>
              <w:t>|</w:t>
            </w:r>
            <w:r w:rsidR="0063066D">
              <w:rPr>
                <w:szCs w:val="20"/>
                <w:vertAlign w:val="superscript"/>
              </w:rPr>
              <w:t>15</w:t>
            </w:r>
          </w:p>
        </w:tc>
        <w:tc>
          <w:tcPr>
            <w:tcW w:w="670" w:type="pct"/>
          </w:tcPr>
          <w:p w14:paraId="2E329E98" w14:textId="4172E337"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2"/>
                <w14:textFill>
                  <w14:solidFill>
                    <w14:srgbClr w14:val="000000">
                      <w14:alpha w14:val="100000"/>
                    </w14:srgbClr>
                  </w14:solidFill>
                </w14:textFill>
              </w:rPr>
              <w:t>|||</w:t>
            </w:r>
            <w:r w:rsidR="00CD4EA9" w:rsidRPr="00CD4EA9">
              <w:rPr>
                <w:color w:val="000000"/>
                <w:spacing w:val="1"/>
                <w:szCs w:val="20"/>
                <w:shd w:val="solid" w:color="000000" w:fill="000000"/>
                <w:fitText w:val="324" w:id="-632121082"/>
                <w14:textFill>
                  <w14:solidFill>
                    <w14:srgbClr w14:val="000000">
                      <w14:alpha w14:val="100000"/>
                    </w14:srgbClr>
                  </w14:solidFill>
                </w14:textFill>
              </w:rPr>
              <w:t>|</w:t>
            </w:r>
            <w:r w:rsidR="00E825E7">
              <w:rPr>
                <w:szCs w:val="20"/>
                <w:vertAlign w:val="superscript"/>
              </w:rPr>
              <w:t>16</w:t>
            </w:r>
          </w:p>
        </w:tc>
      </w:tr>
      <w:tr w:rsidR="009D5476" w:rsidRPr="00EE0EEB" w14:paraId="30A83B0B" w14:textId="77777777" w:rsidTr="00080BC7">
        <w:tc>
          <w:tcPr>
            <w:tcW w:w="5000" w:type="pct"/>
            <w:gridSpan w:val="7"/>
            <w:vAlign w:val="center"/>
          </w:tcPr>
          <w:p w14:paraId="42BB90A1" w14:textId="77777777" w:rsidR="009D5476" w:rsidRPr="00EE0EEB" w:rsidRDefault="009D5476">
            <w:pPr>
              <w:pStyle w:val="TableText"/>
              <w:rPr>
                <w:b/>
                <w:bCs/>
                <w:color w:val="000000"/>
                <w:szCs w:val="20"/>
              </w:rPr>
            </w:pPr>
            <w:r w:rsidRPr="00EE0EEB">
              <w:rPr>
                <w:b/>
                <w:szCs w:val="20"/>
              </w:rPr>
              <w:t>Estimated financial implications of the Aß-PET scan to the MBS</w:t>
            </w:r>
          </w:p>
        </w:tc>
      </w:tr>
      <w:tr w:rsidR="00E3171D" w:rsidRPr="00EE0EEB" w14:paraId="18613385" w14:textId="77777777" w:rsidTr="00080BC7">
        <w:tc>
          <w:tcPr>
            <w:tcW w:w="980" w:type="pct"/>
            <w:vAlign w:val="center"/>
          </w:tcPr>
          <w:p w14:paraId="40EDE492" w14:textId="77777777" w:rsidR="009D5476" w:rsidRPr="00EE0EEB" w:rsidRDefault="009D5476">
            <w:pPr>
              <w:pStyle w:val="TableText"/>
            </w:pPr>
            <w:r w:rsidRPr="00EE0EEB">
              <w:t>Cost to the MBS</w:t>
            </w:r>
          </w:p>
        </w:tc>
        <w:tc>
          <w:tcPr>
            <w:tcW w:w="670" w:type="pct"/>
          </w:tcPr>
          <w:p w14:paraId="01668B23" w14:textId="56AB72B7"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1"/>
                <w14:textFill>
                  <w14:solidFill>
                    <w14:srgbClr w14:val="000000">
                      <w14:alpha w14:val="100000"/>
                    </w14:srgbClr>
                  </w14:solidFill>
                </w14:textFill>
              </w:rPr>
              <w:t>|||</w:t>
            </w:r>
            <w:r w:rsidR="00CD4EA9" w:rsidRPr="00CD4EA9">
              <w:rPr>
                <w:color w:val="000000"/>
                <w:spacing w:val="1"/>
                <w:szCs w:val="20"/>
                <w:shd w:val="solid" w:color="000000" w:fill="000000"/>
                <w:fitText w:val="324" w:id="-632121081"/>
                <w14:textFill>
                  <w14:solidFill>
                    <w14:srgbClr w14:val="000000">
                      <w14:alpha w14:val="100000"/>
                    </w14:srgbClr>
                  </w14:solidFill>
                </w14:textFill>
              </w:rPr>
              <w:t>|</w:t>
            </w:r>
            <w:r w:rsidR="00076B19">
              <w:rPr>
                <w:szCs w:val="20"/>
                <w:vertAlign w:val="superscript"/>
              </w:rPr>
              <w:t>17</w:t>
            </w:r>
          </w:p>
        </w:tc>
        <w:tc>
          <w:tcPr>
            <w:tcW w:w="670" w:type="pct"/>
          </w:tcPr>
          <w:p w14:paraId="55F465E0" w14:textId="79F9AEBF"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0"/>
                <w14:textFill>
                  <w14:solidFill>
                    <w14:srgbClr w14:val="000000">
                      <w14:alpha w14:val="100000"/>
                    </w14:srgbClr>
                  </w14:solidFill>
                </w14:textFill>
              </w:rPr>
              <w:t>|||</w:t>
            </w:r>
            <w:r w:rsidR="00CD4EA9" w:rsidRPr="00CD4EA9">
              <w:rPr>
                <w:color w:val="000000"/>
                <w:spacing w:val="1"/>
                <w:szCs w:val="20"/>
                <w:shd w:val="solid" w:color="000000" w:fill="000000"/>
                <w:fitText w:val="324" w:id="-632121080"/>
                <w14:textFill>
                  <w14:solidFill>
                    <w14:srgbClr w14:val="000000">
                      <w14:alpha w14:val="100000"/>
                    </w14:srgbClr>
                  </w14:solidFill>
                </w14:textFill>
              </w:rPr>
              <w:t>|</w:t>
            </w:r>
            <w:r w:rsidR="007E0808">
              <w:rPr>
                <w:szCs w:val="20"/>
                <w:vertAlign w:val="superscript"/>
              </w:rPr>
              <w:t>18</w:t>
            </w:r>
          </w:p>
        </w:tc>
        <w:tc>
          <w:tcPr>
            <w:tcW w:w="670" w:type="pct"/>
          </w:tcPr>
          <w:p w14:paraId="1BF52A01" w14:textId="1A5DA3EA"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9"/>
                <w14:textFill>
                  <w14:solidFill>
                    <w14:srgbClr w14:val="000000">
                      <w14:alpha w14:val="100000"/>
                    </w14:srgbClr>
                  </w14:solidFill>
                </w14:textFill>
              </w:rPr>
              <w:t>|||</w:t>
            </w:r>
            <w:r w:rsidR="00CD4EA9" w:rsidRPr="00CD4EA9">
              <w:rPr>
                <w:color w:val="000000"/>
                <w:spacing w:val="1"/>
                <w:szCs w:val="20"/>
                <w:shd w:val="solid" w:color="000000" w:fill="000000"/>
                <w:fitText w:val="324" w:id="-632121079"/>
                <w14:textFill>
                  <w14:solidFill>
                    <w14:srgbClr w14:val="000000">
                      <w14:alpha w14:val="100000"/>
                    </w14:srgbClr>
                  </w14:solidFill>
                </w14:textFill>
              </w:rPr>
              <w:t>|</w:t>
            </w:r>
            <w:r w:rsidR="001F37E5">
              <w:rPr>
                <w:szCs w:val="20"/>
                <w:vertAlign w:val="superscript"/>
              </w:rPr>
              <w:t>19</w:t>
            </w:r>
          </w:p>
        </w:tc>
        <w:tc>
          <w:tcPr>
            <w:tcW w:w="670" w:type="pct"/>
          </w:tcPr>
          <w:p w14:paraId="27592F52" w14:textId="76D06D8B" w:rsidR="009D5476" w:rsidRPr="009B7C86" w:rsidRDefault="009D5476">
            <w:pPr>
              <w:pStyle w:val="TableText"/>
              <w:jc w:val="center"/>
              <w:rPr>
                <w:szCs w:val="20"/>
                <w:vertAlign w:val="superscript"/>
              </w:rPr>
            </w:pPr>
            <w:r w:rsidRPr="00756307">
              <w:rPr>
                <w:szCs w:val="20"/>
              </w:rPr>
              <w:t>$</w:t>
            </w:r>
            <w:r w:rsidR="00CD4EA9" w:rsidRPr="00CD4EA9">
              <w:rPr>
                <w:color w:val="000000"/>
                <w:spacing w:val="51"/>
                <w:szCs w:val="20"/>
                <w:shd w:val="solid" w:color="000000" w:fill="000000"/>
                <w:fitText w:val="324" w:id="-632121078"/>
                <w14:textFill>
                  <w14:solidFill>
                    <w14:srgbClr w14:val="000000">
                      <w14:alpha w14:val="100000"/>
                    </w14:srgbClr>
                  </w14:solidFill>
                </w14:textFill>
              </w:rPr>
              <w:t>|||</w:t>
            </w:r>
            <w:r w:rsidR="00CD4EA9" w:rsidRPr="00CD4EA9">
              <w:rPr>
                <w:color w:val="000000"/>
                <w:spacing w:val="1"/>
                <w:szCs w:val="20"/>
                <w:shd w:val="solid" w:color="000000" w:fill="000000"/>
                <w:fitText w:val="324" w:id="-632121078"/>
                <w14:textFill>
                  <w14:solidFill>
                    <w14:srgbClr w14:val="000000">
                      <w14:alpha w14:val="100000"/>
                    </w14:srgbClr>
                  </w14:solidFill>
                </w14:textFill>
              </w:rPr>
              <w:t>|</w:t>
            </w:r>
            <w:r w:rsidR="009B7C86">
              <w:rPr>
                <w:szCs w:val="20"/>
                <w:vertAlign w:val="superscript"/>
              </w:rPr>
              <w:t>20</w:t>
            </w:r>
          </w:p>
        </w:tc>
        <w:tc>
          <w:tcPr>
            <w:tcW w:w="670" w:type="pct"/>
          </w:tcPr>
          <w:p w14:paraId="23793728" w14:textId="279B4F49" w:rsidR="009D5476" w:rsidRPr="00756307" w:rsidRDefault="009D5476">
            <w:pPr>
              <w:pStyle w:val="TableText"/>
              <w:jc w:val="center"/>
              <w:rPr>
                <w:szCs w:val="20"/>
                <w:vertAlign w:val="superscript"/>
              </w:rPr>
            </w:pPr>
            <w:r w:rsidRPr="00756307">
              <w:rPr>
                <w:szCs w:val="20"/>
              </w:rPr>
              <w:t>$</w:t>
            </w:r>
            <w:r w:rsidR="00CD4EA9" w:rsidRPr="00CD4EA9">
              <w:rPr>
                <w:color w:val="000000"/>
                <w:spacing w:val="51"/>
                <w:szCs w:val="20"/>
                <w:shd w:val="solid" w:color="000000" w:fill="000000"/>
                <w:fitText w:val="324" w:id="-632121077"/>
                <w14:textFill>
                  <w14:solidFill>
                    <w14:srgbClr w14:val="000000">
                      <w14:alpha w14:val="100000"/>
                    </w14:srgbClr>
                  </w14:solidFill>
                </w14:textFill>
              </w:rPr>
              <w:t>|||</w:t>
            </w:r>
            <w:r w:rsidR="00CD4EA9" w:rsidRPr="00CD4EA9">
              <w:rPr>
                <w:color w:val="000000"/>
                <w:spacing w:val="1"/>
                <w:szCs w:val="20"/>
                <w:shd w:val="solid" w:color="000000" w:fill="000000"/>
                <w:fitText w:val="324" w:id="-632121077"/>
                <w14:textFill>
                  <w14:solidFill>
                    <w14:srgbClr w14:val="000000">
                      <w14:alpha w14:val="100000"/>
                    </w14:srgbClr>
                  </w14:solidFill>
                </w14:textFill>
              </w:rPr>
              <w:t>|</w:t>
            </w:r>
            <w:r w:rsidR="00847078">
              <w:rPr>
                <w:szCs w:val="20"/>
                <w:vertAlign w:val="superscript"/>
              </w:rPr>
              <w:t>21</w:t>
            </w:r>
          </w:p>
        </w:tc>
        <w:tc>
          <w:tcPr>
            <w:tcW w:w="670" w:type="pct"/>
          </w:tcPr>
          <w:p w14:paraId="7C45AF40" w14:textId="1CFE624B" w:rsidR="009D5476" w:rsidRPr="00756307" w:rsidRDefault="009D5476">
            <w:pPr>
              <w:pStyle w:val="TableText"/>
              <w:jc w:val="center"/>
              <w:rPr>
                <w:szCs w:val="20"/>
                <w:vertAlign w:val="superscript"/>
              </w:rPr>
            </w:pPr>
            <w:r w:rsidRPr="00756307">
              <w:rPr>
                <w:szCs w:val="20"/>
              </w:rPr>
              <w:t>$</w:t>
            </w:r>
            <w:r w:rsidR="00CD4EA9" w:rsidRPr="00CD4EA9">
              <w:rPr>
                <w:color w:val="000000"/>
                <w:spacing w:val="51"/>
                <w:szCs w:val="20"/>
                <w:shd w:val="solid" w:color="000000" w:fill="000000"/>
                <w:fitText w:val="324" w:id="-632121076"/>
                <w14:textFill>
                  <w14:solidFill>
                    <w14:srgbClr w14:val="000000">
                      <w14:alpha w14:val="100000"/>
                    </w14:srgbClr>
                  </w14:solidFill>
                </w14:textFill>
              </w:rPr>
              <w:t>|||</w:t>
            </w:r>
            <w:r w:rsidR="00CD4EA9" w:rsidRPr="00CD4EA9">
              <w:rPr>
                <w:color w:val="000000"/>
                <w:spacing w:val="1"/>
                <w:szCs w:val="20"/>
                <w:shd w:val="solid" w:color="000000" w:fill="000000"/>
                <w:fitText w:val="324" w:id="-632121076"/>
                <w14:textFill>
                  <w14:solidFill>
                    <w14:srgbClr w14:val="000000">
                      <w14:alpha w14:val="100000"/>
                    </w14:srgbClr>
                  </w14:solidFill>
                </w14:textFill>
              </w:rPr>
              <w:t>|</w:t>
            </w:r>
            <w:r w:rsidR="00847078">
              <w:rPr>
                <w:color w:val="000000" w:themeColor="text1"/>
                <w:szCs w:val="20"/>
                <w:vertAlign w:val="superscript"/>
              </w:rPr>
              <w:t>21</w:t>
            </w:r>
          </w:p>
        </w:tc>
      </w:tr>
      <w:tr w:rsidR="009D5476" w:rsidRPr="00EE0EEB" w14:paraId="464A92B9" w14:textId="77777777" w:rsidTr="00080BC7">
        <w:tc>
          <w:tcPr>
            <w:tcW w:w="5000" w:type="pct"/>
            <w:gridSpan w:val="7"/>
            <w:vAlign w:val="center"/>
          </w:tcPr>
          <w:p w14:paraId="6402462A" w14:textId="77777777" w:rsidR="009D5476" w:rsidRPr="00EE0EEB" w:rsidRDefault="009D5476">
            <w:pPr>
              <w:pStyle w:val="TableText"/>
              <w:rPr>
                <w:b/>
                <w:bCs/>
                <w:color w:val="000000"/>
                <w:szCs w:val="20"/>
              </w:rPr>
            </w:pPr>
            <w:r w:rsidRPr="00EE0EEB">
              <w:rPr>
                <w:b/>
                <w:szCs w:val="20"/>
              </w:rPr>
              <w:t>Estimated financial implications of the CSF AD biomarker testing to the MBS</w:t>
            </w:r>
          </w:p>
        </w:tc>
      </w:tr>
      <w:tr w:rsidR="00E3171D" w:rsidRPr="00EE0EEB" w14:paraId="3FEEE228" w14:textId="77777777" w:rsidTr="00080BC7">
        <w:tc>
          <w:tcPr>
            <w:tcW w:w="980" w:type="pct"/>
            <w:vAlign w:val="center"/>
          </w:tcPr>
          <w:p w14:paraId="35EB9867" w14:textId="77777777" w:rsidR="009D5476" w:rsidRPr="00EE0EEB" w:rsidRDefault="009D5476">
            <w:pPr>
              <w:pStyle w:val="TableText"/>
            </w:pPr>
            <w:r w:rsidRPr="00EE0EEB">
              <w:t>Cost to the MBS</w:t>
            </w:r>
          </w:p>
        </w:tc>
        <w:tc>
          <w:tcPr>
            <w:tcW w:w="670" w:type="pct"/>
          </w:tcPr>
          <w:p w14:paraId="2A426F0D" w14:textId="50B8FA96"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5"/>
                <w14:textFill>
                  <w14:solidFill>
                    <w14:srgbClr w14:val="000000">
                      <w14:alpha w14:val="100000"/>
                    </w14:srgbClr>
                  </w14:solidFill>
                </w14:textFill>
              </w:rPr>
              <w:t>|||</w:t>
            </w:r>
            <w:r w:rsidR="00CD4EA9" w:rsidRPr="00CD4EA9">
              <w:rPr>
                <w:color w:val="000000"/>
                <w:spacing w:val="1"/>
                <w:szCs w:val="20"/>
                <w:shd w:val="solid" w:color="000000" w:fill="000000"/>
                <w:fitText w:val="324" w:id="-632121075"/>
                <w14:textFill>
                  <w14:solidFill>
                    <w14:srgbClr w14:val="000000">
                      <w14:alpha w14:val="100000"/>
                    </w14:srgbClr>
                  </w14:solidFill>
                </w14:textFill>
              </w:rPr>
              <w:t>|</w:t>
            </w:r>
            <w:r w:rsidR="000500EF">
              <w:rPr>
                <w:szCs w:val="20"/>
                <w:vertAlign w:val="superscript"/>
              </w:rPr>
              <w:t>15</w:t>
            </w:r>
          </w:p>
        </w:tc>
        <w:tc>
          <w:tcPr>
            <w:tcW w:w="670" w:type="pct"/>
          </w:tcPr>
          <w:p w14:paraId="51AB1213" w14:textId="5CA5C9E8"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4"/>
                <w14:textFill>
                  <w14:solidFill>
                    <w14:srgbClr w14:val="000000">
                      <w14:alpha w14:val="100000"/>
                    </w14:srgbClr>
                  </w14:solidFill>
                </w14:textFill>
              </w:rPr>
              <w:t>|||</w:t>
            </w:r>
            <w:r w:rsidR="00CD4EA9" w:rsidRPr="00CD4EA9">
              <w:rPr>
                <w:color w:val="000000"/>
                <w:spacing w:val="1"/>
                <w:szCs w:val="20"/>
                <w:shd w:val="solid" w:color="000000" w:fill="000000"/>
                <w:fitText w:val="324" w:id="-632121074"/>
                <w14:textFill>
                  <w14:solidFill>
                    <w14:srgbClr w14:val="000000">
                      <w14:alpha w14:val="100000"/>
                    </w14:srgbClr>
                  </w14:solidFill>
                </w14:textFill>
              </w:rPr>
              <w:t>|</w:t>
            </w:r>
            <w:r w:rsidR="000500EF">
              <w:rPr>
                <w:szCs w:val="20"/>
                <w:vertAlign w:val="superscript"/>
              </w:rPr>
              <w:t>15</w:t>
            </w:r>
          </w:p>
        </w:tc>
        <w:tc>
          <w:tcPr>
            <w:tcW w:w="670" w:type="pct"/>
          </w:tcPr>
          <w:p w14:paraId="2AE14044" w14:textId="11BEBBC6"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3"/>
                <w14:textFill>
                  <w14:solidFill>
                    <w14:srgbClr w14:val="000000">
                      <w14:alpha w14:val="100000"/>
                    </w14:srgbClr>
                  </w14:solidFill>
                </w14:textFill>
              </w:rPr>
              <w:t>|||</w:t>
            </w:r>
            <w:r w:rsidR="00CD4EA9" w:rsidRPr="00CD4EA9">
              <w:rPr>
                <w:color w:val="000000"/>
                <w:spacing w:val="1"/>
                <w:szCs w:val="20"/>
                <w:shd w:val="solid" w:color="000000" w:fill="000000"/>
                <w:fitText w:val="324" w:id="-632121073"/>
                <w14:textFill>
                  <w14:solidFill>
                    <w14:srgbClr w14:val="000000">
                      <w14:alpha w14:val="100000"/>
                    </w14:srgbClr>
                  </w14:solidFill>
                </w14:textFill>
              </w:rPr>
              <w:t>|</w:t>
            </w:r>
            <w:r w:rsidR="000500EF">
              <w:rPr>
                <w:szCs w:val="20"/>
                <w:vertAlign w:val="superscript"/>
              </w:rPr>
              <w:t>15</w:t>
            </w:r>
          </w:p>
        </w:tc>
        <w:tc>
          <w:tcPr>
            <w:tcW w:w="670" w:type="pct"/>
          </w:tcPr>
          <w:p w14:paraId="1E6B309F" w14:textId="09991953"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2"/>
                <w14:textFill>
                  <w14:solidFill>
                    <w14:srgbClr w14:val="000000">
                      <w14:alpha w14:val="100000"/>
                    </w14:srgbClr>
                  </w14:solidFill>
                </w14:textFill>
              </w:rPr>
              <w:t>|||</w:t>
            </w:r>
            <w:r w:rsidR="00CD4EA9" w:rsidRPr="00CD4EA9">
              <w:rPr>
                <w:color w:val="000000"/>
                <w:spacing w:val="1"/>
                <w:szCs w:val="20"/>
                <w:shd w:val="solid" w:color="000000" w:fill="000000"/>
                <w:fitText w:val="324" w:id="-632121072"/>
                <w14:textFill>
                  <w14:solidFill>
                    <w14:srgbClr w14:val="000000">
                      <w14:alpha w14:val="100000"/>
                    </w14:srgbClr>
                  </w14:solidFill>
                </w14:textFill>
              </w:rPr>
              <w:t>|</w:t>
            </w:r>
            <w:r w:rsidR="000500EF">
              <w:rPr>
                <w:szCs w:val="20"/>
                <w:vertAlign w:val="superscript"/>
              </w:rPr>
              <w:t>15</w:t>
            </w:r>
          </w:p>
        </w:tc>
        <w:tc>
          <w:tcPr>
            <w:tcW w:w="670" w:type="pct"/>
          </w:tcPr>
          <w:p w14:paraId="1134F4EB" w14:textId="35C21D0A"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8"/>
                <w14:textFill>
                  <w14:solidFill>
                    <w14:srgbClr w14:val="000000">
                      <w14:alpha w14:val="100000"/>
                    </w14:srgbClr>
                  </w14:solidFill>
                </w14:textFill>
              </w:rPr>
              <w:t>|||</w:t>
            </w:r>
            <w:r w:rsidR="00CD4EA9" w:rsidRPr="00CD4EA9">
              <w:rPr>
                <w:color w:val="000000"/>
                <w:spacing w:val="1"/>
                <w:szCs w:val="20"/>
                <w:shd w:val="solid" w:color="000000" w:fill="000000"/>
                <w:fitText w:val="324" w:id="-632121088"/>
                <w14:textFill>
                  <w14:solidFill>
                    <w14:srgbClr w14:val="000000">
                      <w14:alpha w14:val="100000"/>
                    </w14:srgbClr>
                  </w14:solidFill>
                </w14:textFill>
              </w:rPr>
              <w:t>|</w:t>
            </w:r>
            <w:r w:rsidR="009A40FA">
              <w:rPr>
                <w:szCs w:val="20"/>
                <w:vertAlign w:val="superscript"/>
              </w:rPr>
              <w:t>16</w:t>
            </w:r>
          </w:p>
        </w:tc>
        <w:tc>
          <w:tcPr>
            <w:tcW w:w="670" w:type="pct"/>
          </w:tcPr>
          <w:p w14:paraId="37A494D8" w14:textId="7EECBE6C"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7"/>
                <w14:textFill>
                  <w14:solidFill>
                    <w14:srgbClr w14:val="000000">
                      <w14:alpha w14:val="100000"/>
                    </w14:srgbClr>
                  </w14:solidFill>
                </w14:textFill>
              </w:rPr>
              <w:t>|||</w:t>
            </w:r>
            <w:r w:rsidR="00CD4EA9" w:rsidRPr="00CD4EA9">
              <w:rPr>
                <w:color w:val="000000"/>
                <w:spacing w:val="1"/>
                <w:szCs w:val="20"/>
                <w:shd w:val="solid" w:color="000000" w:fill="000000"/>
                <w:fitText w:val="324" w:id="-632121087"/>
                <w14:textFill>
                  <w14:solidFill>
                    <w14:srgbClr w14:val="000000">
                      <w14:alpha w14:val="100000"/>
                    </w14:srgbClr>
                  </w14:solidFill>
                </w14:textFill>
              </w:rPr>
              <w:t>|</w:t>
            </w:r>
            <w:r w:rsidR="009A40FA">
              <w:rPr>
                <w:szCs w:val="20"/>
                <w:vertAlign w:val="superscript"/>
              </w:rPr>
              <w:t>16</w:t>
            </w:r>
          </w:p>
        </w:tc>
      </w:tr>
      <w:tr w:rsidR="009D5476" w:rsidRPr="00EE0EEB" w14:paraId="6CB19E0F" w14:textId="77777777" w:rsidTr="00080BC7">
        <w:tc>
          <w:tcPr>
            <w:tcW w:w="5000" w:type="pct"/>
            <w:gridSpan w:val="7"/>
            <w:vAlign w:val="center"/>
          </w:tcPr>
          <w:p w14:paraId="4A670181" w14:textId="77777777" w:rsidR="009D5476" w:rsidRPr="00EE0EEB" w:rsidRDefault="009D5476">
            <w:pPr>
              <w:pStyle w:val="TableText"/>
              <w:rPr>
                <w:b/>
                <w:szCs w:val="20"/>
              </w:rPr>
            </w:pPr>
            <w:r w:rsidRPr="00EE0EEB">
              <w:rPr>
                <w:b/>
                <w:szCs w:val="20"/>
              </w:rPr>
              <w:t>Estimated financial implications of donanemab to the PBS/RPBS</w:t>
            </w:r>
          </w:p>
        </w:tc>
      </w:tr>
      <w:tr w:rsidR="00E3171D" w:rsidRPr="00EE0EEB" w14:paraId="098A7029" w14:textId="77777777" w:rsidTr="00080BC7">
        <w:tc>
          <w:tcPr>
            <w:tcW w:w="980" w:type="pct"/>
            <w:vAlign w:val="center"/>
          </w:tcPr>
          <w:p w14:paraId="75098A60" w14:textId="77777777" w:rsidR="009D5476" w:rsidRPr="00EE0EEB" w:rsidRDefault="009D5476">
            <w:pPr>
              <w:pStyle w:val="TableText"/>
            </w:pPr>
            <w:r w:rsidRPr="00EE0EEB">
              <w:t>Cost to PBS/RPBS less copayments</w:t>
            </w:r>
          </w:p>
        </w:tc>
        <w:tc>
          <w:tcPr>
            <w:tcW w:w="670" w:type="pct"/>
          </w:tcPr>
          <w:p w14:paraId="20118474" w14:textId="79F813C9" w:rsidR="007E4207" w:rsidRDefault="009D5476">
            <w:pPr>
              <w:pStyle w:val="TableText"/>
              <w:jc w:val="center"/>
              <w:rPr>
                <w:szCs w:val="20"/>
              </w:rPr>
            </w:pPr>
            <w:r w:rsidRPr="00EE0EEB">
              <w:rPr>
                <w:szCs w:val="20"/>
              </w:rPr>
              <w:t>$</w:t>
            </w:r>
            <w:r w:rsidR="00CD4EA9" w:rsidRPr="00CD4EA9">
              <w:rPr>
                <w:color w:val="000000"/>
                <w:spacing w:val="53"/>
                <w:szCs w:val="20"/>
                <w:shd w:val="solid" w:color="000000" w:fill="000000"/>
                <w:fitText w:val="330" w:id="-632121086"/>
                <w14:textFill>
                  <w14:solidFill>
                    <w14:srgbClr w14:val="000000">
                      <w14:alpha w14:val="100000"/>
                    </w14:srgbClr>
                  </w14:solidFill>
                </w14:textFill>
              </w:rPr>
              <w:t>|||</w:t>
            </w:r>
            <w:r w:rsidR="00CD4EA9" w:rsidRPr="00CD4EA9">
              <w:rPr>
                <w:color w:val="000000"/>
                <w:spacing w:val="1"/>
                <w:szCs w:val="20"/>
                <w:shd w:val="solid" w:color="000000" w:fill="000000"/>
                <w:fitText w:val="330" w:id="-632121086"/>
                <w14:textFill>
                  <w14:solidFill>
                    <w14:srgbClr w14:val="000000">
                      <w14:alpha w14:val="100000"/>
                    </w14:srgbClr>
                  </w14:solidFill>
                </w14:textFill>
              </w:rPr>
              <w:t>|</w:t>
            </w:r>
          </w:p>
          <w:p w14:paraId="0A0E787E" w14:textId="1D92B409" w:rsidR="009D5476" w:rsidRPr="002E4C03" w:rsidRDefault="00FF6C3E">
            <w:pPr>
              <w:pStyle w:val="TableText"/>
              <w:jc w:val="center"/>
              <w:rPr>
                <w:szCs w:val="20"/>
                <w:vertAlign w:val="superscript"/>
              </w:rPr>
            </w:pPr>
            <w:r>
              <w:rPr>
                <w:szCs w:val="20"/>
                <w:vertAlign w:val="superscript"/>
              </w:rPr>
              <w:t>22</w:t>
            </w:r>
          </w:p>
        </w:tc>
        <w:tc>
          <w:tcPr>
            <w:tcW w:w="670" w:type="pct"/>
          </w:tcPr>
          <w:p w14:paraId="357469EB" w14:textId="2C13598D" w:rsidR="007E4207" w:rsidRDefault="009D5476">
            <w:pPr>
              <w:pStyle w:val="TableText"/>
              <w:jc w:val="center"/>
              <w:rPr>
                <w:szCs w:val="20"/>
              </w:rPr>
            </w:pPr>
            <w:r w:rsidRPr="00EE0EEB">
              <w:rPr>
                <w:szCs w:val="20"/>
              </w:rPr>
              <w:t>$</w:t>
            </w:r>
            <w:r w:rsidR="00CD4EA9" w:rsidRPr="00CD4EA9">
              <w:rPr>
                <w:color w:val="000000"/>
                <w:spacing w:val="53"/>
                <w:szCs w:val="20"/>
                <w:shd w:val="solid" w:color="000000" w:fill="000000"/>
                <w:fitText w:val="330" w:id="-632121085"/>
                <w14:textFill>
                  <w14:solidFill>
                    <w14:srgbClr w14:val="000000">
                      <w14:alpha w14:val="100000"/>
                    </w14:srgbClr>
                  </w14:solidFill>
                </w14:textFill>
              </w:rPr>
              <w:t>|||</w:t>
            </w:r>
            <w:r w:rsidR="00CD4EA9" w:rsidRPr="00CD4EA9">
              <w:rPr>
                <w:color w:val="000000"/>
                <w:spacing w:val="1"/>
                <w:szCs w:val="20"/>
                <w:shd w:val="solid" w:color="000000" w:fill="000000"/>
                <w:fitText w:val="330" w:id="-632121085"/>
                <w14:textFill>
                  <w14:solidFill>
                    <w14:srgbClr w14:val="000000">
                      <w14:alpha w14:val="100000"/>
                    </w14:srgbClr>
                  </w14:solidFill>
                </w14:textFill>
              </w:rPr>
              <w:t>|</w:t>
            </w:r>
          </w:p>
          <w:p w14:paraId="683137BD" w14:textId="10AC1A2A" w:rsidR="009D5476" w:rsidRPr="007E4207" w:rsidRDefault="007E4207">
            <w:pPr>
              <w:pStyle w:val="TableText"/>
              <w:jc w:val="center"/>
              <w:rPr>
                <w:szCs w:val="20"/>
                <w:vertAlign w:val="superscript"/>
              </w:rPr>
            </w:pPr>
            <w:r w:rsidRPr="007E4207">
              <w:rPr>
                <w:szCs w:val="20"/>
                <w:vertAlign w:val="superscript"/>
              </w:rPr>
              <w:t>2</w:t>
            </w:r>
            <w:r w:rsidR="00FF6C3E" w:rsidRPr="007E4207">
              <w:rPr>
                <w:szCs w:val="20"/>
                <w:vertAlign w:val="superscript"/>
              </w:rPr>
              <w:t>2</w:t>
            </w:r>
          </w:p>
        </w:tc>
        <w:tc>
          <w:tcPr>
            <w:tcW w:w="670" w:type="pct"/>
          </w:tcPr>
          <w:p w14:paraId="07FBD4A7" w14:textId="429044FB" w:rsidR="007E4207" w:rsidRDefault="009D5476">
            <w:pPr>
              <w:pStyle w:val="TableText"/>
              <w:jc w:val="center"/>
              <w:rPr>
                <w:szCs w:val="20"/>
              </w:rPr>
            </w:pPr>
            <w:r w:rsidRPr="00EE0EEB">
              <w:rPr>
                <w:szCs w:val="20"/>
              </w:rPr>
              <w:t>$</w:t>
            </w:r>
            <w:r w:rsidR="00CD4EA9" w:rsidRPr="00CD4EA9">
              <w:rPr>
                <w:color w:val="000000"/>
                <w:spacing w:val="51"/>
                <w:szCs w:val="20"/>
                <w:shd w:val="solid" w:color="000000" w:fill="000000"/>
                <w:fitText w:val="324" w:id="-632121084"/>
                <w14:textFill>
                  <w14:solidFill>
                    <w14:srgbClr w14:val="000000">
                      <w14:alpha w14:val="100000"/>
                    </w14:srgbClr>
                  </w14:solidFill>
                </w14:textFill>
              </w:rPr>
              <w:t>|||</w:t>
            </w:r>
            <w:r w:rsidR="00CD4EA9" w:rsidRPr="00CD4EA9">
              <w:rPr>
                <w:color w:val="000000"/>
                <w:spacing w:val="1"/>
                <w:szCs w:val="20"/>
                <w:shd w:val="solid" w:color="000000" w:fill="000000"/>
                <w:fitText w:val="324" w:id="-632121084"/>
                <w14:textFill>
                  <w14:solidFill>
                    <w14:srgbClr w14:val="000000">
                      <w14:alpha w14:val="100000"/>
                    </w14:srgbClr>
                  </w14:solidFill>
                </w14:textFill>
              </w:rPr>
              <w:t>|</w:t>
            </w:r>
          </w:p>
          <w:p w14:paraId="43342FD1" w14:textId="69020DFE" w:rsidR="009D5476" w:rsidRPr="002E4C03" w:rsidRDefault="00FF6C3E">
            <w:pPr>
              <w:pStyle w:val="TableText"/>
              <w:jc w:val="center"/>
              <w:rPr>
                <w:szCs w:val="20"/>
                <w:vertAlign w:val="superscript"/>
              </w:rPr>
            </w:pPr>
            <w:r>
              <w:rPr>
                <w:szCs w:val="20"/>
                <w:vertAlign w:val="superscript"/>
              </w:rPr>
              <w:t>22</w:t>
            </w:r>
          </w:p>
        </w:tc>
        <w:tc>
          <w:tcPr>
            <w:tcW w:w="670" w:type="pct"/>
          </w:tcPr>
          <w:p w14:paraId="7116E984" w14:textId="2B46BDDD" w:rsidR="007E4207" w:rsidRDefault="009D5476">
            <w:pPr>
              <w:pStyle w:val="TableText"/>
              <w:jc w:val="center"/>
              <w:rPr>
                <w:szCs w:val="20"/>
              </w:rPr>
            </w:pPr>
            <w:r w:rsidRPr="00EE0EEB">
              <w:rPr>
                <w:szCs w:val="20"/>
              </w:rPr>
              <w:t>$</w:t>
            </w:r>
            <w:r w:rsidR="00CD4EA9" w:rsidRPr="00CD4EA9">
              <w:rPr>
                <w:color w:val="000000"/>
                <w:spacing w:val="51"/>
                <w:szCs w:val="20"/>
                <w:shd w:val="solid" w:color="000000" w:fill="000000"/>
                <w:fitText w:val="324" w:id="-632121083"/>
                <w14:textFill>
                  <w14:solidFill>
                    <w14:srgbClr w14:val="000000">
                      <w14:alpha w14:val="100000"/>
                    </w14:srgbClr>
                  </w14:solidFill>
                </w14:textFill>
              </w:rPr>
              <w:t>|||</w:t>
            </w:r>
            <w:r w:rsidR="00CD4EA9" w:rsidRPr="00CD4EA9">
              <w:rPr>
                <w:color w:val="000000"/>
                <w:spacing w:val="1"/>
                <w:szCs w:val="20"/>
                <w:shd w:val="solid" w:color="000000" w:fill="000000"/>
                <w:fitText w:val="324" w:id="-632121083"/>
                <w14:textFill>
                  <w14:solidFill>
                    <w14:srgbClr w14:val="000000">
                      <w14:alpha w14:val="100000"/>
                    </w14:srgbClr>
                  </w14:solidFill>
                </w14:textFill>
              </w:rPr>
              <w:t>|</w:t>
            </w:r>
          </w:p>
          <w:p w14:paraId="441B3CD1" w14:textId="18BBA0DC" w:rsidR="009D5476" w:rsidRPr="007E4207" w:rsidRDefault="007E4207">
            <w:pPr>
              <w:pStyle w:val="TableText"/>
              <w:jc w:val="center"/>
              <w:rPr>
                <w:szCs w:val="20"/>
                <w:vertAlign w:val="superscript"/>
              </w:rPr>
            </w:pPr>
            <w:r>
              <w:rPr>
                <w:szCs w:val="20"/>
                <w:vertAlign w:val="superscript"/>
              </w:rPr>
              <w:t>22</w:t>
            </w:r>
          </w:p>
        </w:tc>
        <w:tc>
          <w:tcPr>
            <w:tcW w:w="670" w:type="pct"/>
          </w:tcPr>
          <w:p w14:paraId="44B103E9" w14:textId="2CDE469E" w:rsidR="007E4207" w:rsidRDefault="009D5476">
            <w:pPr>
              <w:pStyle w:val="TableText"/>
              <w:jc w:val="center"/>
              <w:rPr>
                <w:szCs w:val="20"/>
              </w:rPr>
            </w:pPr>
            <w:r w:rsidRPr="00EE0EEB">
              <w:rPr>
                <w:szCs w:val="20"/>
              </w:rPr>
              <w:t>$</w:t>
            </w:r>
            <w:r w:rsidR="00CD4EA9" w:rsidRPr="00CD4EA9">
              <w:rPr>
                <w:color w:val="000000"/>
                <w:spacing w:val="51"/>
                <w:szCs w:val="20"/>
                <w:shd w:val="solid" w:color="000000" w:fill="000000"/>
                <w:fitText w:val="324" w:id="-632121082"/>
                <w14:textFill>
                  <w14:solidFill>
                    <w14:srgbClr w14:val="000000">
                      <w14:alpha w14:val="100000"/>
                    </w14:srgbClr>
                  </w14:solidFill>
                </w14:textFill>
              </w:rPr>
              <w:t>|||</w:t>
            </w:r>
            <w:r w:rsidR="00CD4EA9" w:rsidRPr="00CD4EA9">
              <w:rPr>
                <w:color w:val="000000"/>
                <w:spacing w:val="1"/>
                <w:szCs w:val="20"/>
                <w:shd w:val="solid" w:color="000000" w:fill="000000"/>
                <w:fitText w:val="324" w:id="-632121082"/>
                <w14:textFill>
                  <w14:solidFill>
                    <w14:srgbClr w14:val="000000">
                      <w14:alpha w14:val="100000"/>
                    </w14:srgbClr>
                  </w14:solidFill>
                </w14:textFill>
              </w:rPr>
              <w:t>|</w:t>
            </w:r>
          </w:p>
          <w:p w14:paraId="63F8FA3C" w14:textId="7D5D3C70" w:rsidR="009D5476" w:rsidRPr="002E4C03" w:rsidRDefault="007E4207">
            <w:pPr>
              <w:pStyle w:val="TableText"/>
              <w:jc w:val="center"/>
              <w:rPr>
                <w:szCs w:val="20"/>
                <w:vertAlign w:val="superscript"/>
              </w:rPr>
            </w:pPr>
            <w:r>
              <w:rPr>
                <w:szCs w:val="20"/>
                <w:vertAlign w:val="superscript"/>
              </w:rPr>
              <w:t>22</w:t>
            </w:r>
          </w:p>
        </w:tc>
        <w:tc>
          <w:tcPr>
            <w:tcW w:w="670" w:type="pct"/>
          </w:tcPr>
          <w:p w14:paraId="42D257E4" w14:textId="240C631B" w:rsidR="007E4207" w:rsidRDefault="009D5476">
            <w:pPr>
              <w:pStyle w:val="TableText"/>
              <w:jc w:val="center"/>
              <w:rPr>
                <w:szCs w:val="20"/>
              </w:rPr>
            </w:pPr>
            <w:r w:rsidRPr="00EE0EEB">
              <w:rPr>
                <w:szCs w:val="20"/>
              </w:rPr>
              <w:t>$</w:t>
            </w:r>
            <w:r w:rsidR="00CD4EA9" w:rsidRPr="00CD4EA9">
              <w:rPr>
                <w:color w:val="000000"/>
                <w:spacing w:val="51"/>
                <w:szCs w:val="20"/>
                <w:shd w:val="solid" w:color="000000" w:fill="000000"/>
                <w:fitText w:val="324" w:id="-632121081"/>
                <w14:textFill>
                  <w14:solidFill>
                    <w14:srgbClr w14:val="000000">
                      <w14:alpha w14:val="100000"/>
                    </w14:srgbClr>
                  </w14:solidFill>
                </w14:textFill>
              </w:rPr>
              <w:t>|||</w:t>
            </w:r>
            <w:r w:rsidR="00CD4EA9" w:rsidRPr="00CD4EA9">
              <w:rPr>
                <w:color w:val="000000"/>
                <w:spacing w:val="1"/>
                <w:szCs w:val="20"/>
                <w:shd w:val="solid" w:color="000000" w:fill="000000"/>
                <w:fitText w:val="324" w:id="-632121081"/>
                <w14:textFill>
                  <w14:solidFill>
                    <w14:srgbClr w14:val="000000">
                      <w14:alpha w14:val="100000"/>
                    </w14:srgbClr>
                  </w14:solidFill>
                </w14:textFill>
              </w:rPr>
              <w:t>|</w:t>
            </w:r>
          </w:p>
          <w:p w14:paraId="61A4C79B" w14:textId="5E07CC1E" w:rsidR="009D5476" w:rsidRPr="002E4C03" w:rsidRDefault="007E4207">
            <w:pPr>
              <w:pStyle w:val="TableText"/>
              <w:jc w:val="center"/>
              <w:rPr>
                <w:szCs w:val="20"/>
                <w:vertAlign w:val="superscript"/>
              </w:rPr>
            </w:pPr>
            <w:r>
              <w:rPr>
                <w:szCs w:val="20"/>
                <w:vertAlign w:val="superscript"/>
              </w:rPr>
              <w:t>22</w:t>
            </w:r>
          </w:p>
        </w:tc>
      </w:tr>
      <w:tr w:rsidR="009D5476" w:rsidRPr="00EE0EEB" w14:paraId="7F8234E3" w14:textId="77777777" w:rsidTr="00080BC7">
        <w:tc>
          <w:tcPr>
            <w:tcW w:w="5000" w:type="pct"/>
            <w:gridSpan w:val="7"/>
            <w:vAlign w:val="center"/>
          </w:tcPr>
          <w:p w14:paraId="1EFD891F" w14:textId="77777777" w:rsidR="009D5476" w:rsidRPr="00EE0EEB" w:rsidRDefault="009D5476">
            <w:pPr>
              <w:pStyle w:val="TableText"/>
              <w:rPr>
                <w:b/>
                <w:szCs w:val="20"/>
              </w:rPr>
            </w:pPr>
            <w:r w:rsidRPr="00EE0EEB">
              <w:rPr>
                <w:b/>
                <w:szCs w:val="20"/>
              </w:rPr>
              <w:t>Estimated financial implications for additional services to the MBS</w:t>
            </w:r>
          </w:p>
        </w:tc>
      </w:tr>
      <w:tr w:rsidR="00E3171D" w:rsidRPr="00EE0EEB" w14:paraId="1223BEB6" w14:textId="77777777" w:rsidTr="00080BC7">
        <w:tc>
          <w:tcPr>
            <w:tcW w:w="980" w:type="pct"/>
          </w:tcPr>
          <w:p w14:paraId="4133E55F" w14:textId="77777777" w:rsidR="009D5476" w:rsidRPr="00EE0EEB" w:rsidRDefault="009D5476">
            <w:pPr>
              <w:pStyle w:val="TableText"/>
            </w:pPr>
            <w:r w:rsidRPr="00EE0EEB">
              <w:t>MRI scans – ARIA</w:t>
            </w:r>
          </w:p>
        </w:tc>
        <w:tc>
          <w:tcPr>
            <w:tcW w:w="670" w:type="pct"/>
          </w:tcPr>
          <w:p w14:paraId="7EF33F8E" w14:textId="6C37031F"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0"/>
                <w14:textFill>
                  <w14:solidFill>
                    <w14:srgbClr w14:val="000000">
                      <w14:alpha w14:val="100000"/>
                    </w14:srgbClr>
                  </w14:solidFill>
                </w14:textFill>
              </w:rPr>
              <w:t>|||</w:t>
            </w:r>
            <w:r w:rsidR="00CD4EA9" w:rsidRPr="00CD4EA9">
              <w:rPr>
                <w:color w:val="000000"/>
                <w:spacing w:val="1"/>
                <w:szCs w:val="20"/>
                <w:shd w:val="solid" w:color="000000" w:fill="000000"/>
                <w:fitText w:val="324" w:id="-632121080"/>
                <w14:textFill>
                  <w14:solidFill>
                    <w14:srgbClr w14:val="000000">
                      <w14:alpha w14:val="100000"/>
                    </w14:srgbClr>
                  </w14:solidFill>
                </w14:textFill>
              </w:rPr>
              <w:t>|</w:t>
            </w:r>
            <w:r w:rsidR="00632F5B">
              <w:rPr>
                <w:szCs w:val="20"/>
                <w:vertAlign w:val="superscript"/>
              </w:rPr>
              <w:t>23</w:t>
            </w:r>
          </w:p>
        </w:tc>
        <w:tc>
          <w:tcPr>
            <w:tcW w:w="670" w:type="pct"/>
          </w:tcPr>
          <w:p w14:paraId="54DA26D1" w14:textId="7857FFFE"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9"/>
                <w14:textFill>
                  <w14:solidFill>
                    <w14:srgbClr w14:val="000000">
                      <w14:alpha w14:val="100000"/>
                    </w14:srgbClr>
                  </w14:solidFill>
                </w14:textFill>
              </w:rPr>
              <w:t>|||</w:t>
            </w:r>
            <w:r w:rsidR="00CD4EA9" w:rsidRPr="00CD4EA9">
              <w:rPr>
                <w:color w:val="000000"/>
                <w:spacing w:val="1"/>
                <w:szCs w:val="20"/>
                <w:shd w:val="solid" w:color="000000" w:fill="000000"/>
                <w:fitText w:val="324" w:id="-632121079"/>
                <w14:textFill>
                  <w14:solidFill>
                    <w14:srgbClr w14:val="000000">
                      <w14:alpha w14:val="100000"/>
                    </w14:srgbClr>
                  </w14:solidFill>
                </w14:textFill>
              </w:rPr>
              <w:t>|</w:t>
            </w:r>
            <w:r w:rsidR="00B467EF">
              <w:rPr>
                <w:szCs w:val="20"/>
                <w:vertAlign w:val="superscript"/>
              </w:rPr>
              <w:t>24</w:t>
            </w:r>
          </w:p>
        </w:tc>
        <w:tc>
          <w:tcPr>
            <w:tcW w:w="670" w:type="pct"/>
          </w:tcPr>
          <w:p w14:paraId="5010000F" w14:textId="370AD302"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8"/>
                <w14:textFill>
                  <w14:solidFill>
                    <w14:srgbClr w14:val="000000">
                      <w14:alpha w14:val="100000"/>
                    </w14:srgbClr>
                  </w14:solidFill>
                </w14:textFill>
              </w:rPr>
              <w:t>|||</w:t>
            </w:r>
            <w:r w:rsidR="00CD4EA9" w:rsidRPr="00CD4EA9">
              <w:rPr>
                <w:color w:val="000000"/>
                <w:spacing w:val="1"/>
                <w:szCs w:val="20"/>
                <w:shd w:val="solid" w:color="000000" w:fill="000000"/>
                <w:fitText w:val="324" w:id="-632121078"/>
                <w14:textFill>
                  <w14:solidFill>
                    <w14:srgbClr w14:val="000000">
                      <w14:alpha w14:val="100000"/>
                    </w14:srgbClr>
                  </w14:solidFill>
                </w14:textFill>
              </w:rPr>
              <w:t>|</w:t>
            </w:r>
            <w:r w:rsidR="00D1665A">
              <w:rPr>
                <w:szCs w:val="20"/>
                <w:vertAlign w:val="superscript"/>
              </w:rPr>
              <w:t>17</w:t>
            </w:r>
          </w:p>
        </w:tc>
        <w:tc>
          <w:tcPr>
            <w:tcW w:w="670" w:type="pct"/>
          </w:tcPr>
          <w:p w14:paraId="10DF1B04" w14:textId="3B411648"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7"/>
                <w14:textFill>
                  <w14:solidFill>
                    <w14:srgbClr w14:val="000000">
                      <w14:alpha w14:val="100000"/>
                    </w14:srgbClr>
                  </w14:solidFill>
                </w14:textFill>
              </w:rPr>
              <w:t>|||</w:t>
            </w:r>
            <w:r w:rsidR="00CD4EA9" w:rsidRPr="00CD4EA9">
              <w:rPr>
                <w:color w:val="000000"/>
                <w:spacing w:val="1"/>
                <w:szCs w:val="20"/>
                <w:shd w:val="solid" w:color="000000" w:fill="000000"/>
                <w:fitText w:val="324" w:id="-632121077"/>
                <w14:textFill>
                  <w14:solidFill>
                    <w14:srgbClr w14:val="000000">
                      <w14:alpha w14:val="100000"/>
                    </w14:srgbClr>
                  </w14:solidFill>
                </w14:textFill>
              </w:rPr>
              <w:t>|</w:t>
            </w:r>
            <w:r w:rsidR="00D1665A">
              <w:rPr>
                <w:szCs w:val="20"/>
                <w:vertAlign w:val="superscript"/>
              </w:rPr>
              <w:t>18</w:t>
            </w:r>
          </w:p>
        </w:tc>
        <w:tc>
          <w:tcPr>
            <w:tcW w:w="670" w:type="pct"/>
          </w:tcPr>
          <w:p w14:paraId="5A1C1A94" w14:textId="1933645E"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6"/>
                <w14:textFill>
                  <w14:solidFill>
                    <w14:srgbClr w14:val="000000">
                      <w14:alpha w14:val="100000"/>
                    </w14:srgbClr>
                  </w14:solidFill>
                </w14:textFill>
              </w:rPr>
              <w:t>|||</w:t>
            </w:r>
            <w:r w:rsidR="00CD4EA9" w:rsidRPr="00CD4EA9">
              <w:rPr>
                <w:color w:val="000000"/>
                <w:spacing w:val="1"/>
                <w:szCs w:val="20"/>
                <w:shd w:val="solid" w:color="000000" w:fill="000000"/>
                <w:fitText w:val="324" w:id="-632121076"/>
                <w14:textFill>
                  <w14:solidFill>
                    <w14:srgbClr w14:val="000000">
                      <w14:alpha w14:val="100000"/>
                    </w14:srgbClr>
                  </w14:solidFill>
                </w14:textFill>
              </w:rPr>
              <w:t>|</w:t>
            </w:r>
            <w:r w:rsidR="001F37E5">
              <w:rPr>
                <w:szCs w:val="20"/>
                <w:vertAlign w:val="superscript"/>
              </w:rPr>
              <w:t>19</w:t>
            </w:r>
          </w:p>
        </w:tc>
        <w:tc>
          <w:tcPr>
            <w:tcW w:w="670" w:type="pct"/>
          </w:tcPr>
          <w:p w14:paraId="03348D77" w14:textId="0ADF8DE8"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5"/>
                <w14:textFill>
                  <w14:solidFill>
                    <w14:srgbClr w14:val="000000">
                      <w14:alpha w14:val="100000"/>
                    </w14:srgbClr>
                  </w14:solidFill>
                </w14:textFill>
              </w:rPr>
              <w:t>|||</w:t>
            </w:r>
            <w:r w:rsidR="00CD4EA9" w:rsidRPr="00CD4EA9">
              <w:rPr>
                <w:color w:val="000000"/>
                <w:spacing w:val="1"/>
                <w:szCs w:val="20"/>
                <w:shd w:val="solid" w:color="000000" w:fill="000000"/>
                <w:fitText w:val="324" w:id="-632121075"/>
                <w14:textFill>
                  <w14:solidFill>
                    <w14:srgbClr w14:val="000000">
                      <w14:alpha w14:val="100000"/>
                    </w14:srgbClr>
                  </w14:solidFill>
                </w14:textFill>
              </w:rPr>
              <w:t>|</w:t>
            </w:r>
            <w:r w:rsidR="00D90E22">
              <w:rPr>
                <w:szCs w:val="20"/>
                <w:vertAlign w:val="superscript"/>
              </w:rPr>
              <w:t>20</w:t>
            </w:r>
          </w:p>
        </w:tc>
      </w:tr>
      <w:tr w:rsidR="00E3171D" w:rsidRPr="00EE0EEB" w14:paraId="08E55D9D" w14:textId="77777777" w:rsidTr="00080BC7">
        <w:tc>
          <w:tcPr>
            <w:tcW w:w="980" w:type="pct"/>
          </w:tcPr>
          <w:p w14:paraId="0058139B" w14:textId="77777777" w:rsidR="009D5476" w:rsidRPr="00EE0EEB" w:rsidRDefault="009D5476">
            <w:pPr>
              <w:pStyle w:val="TableText"/>
            </w:pPr>
            <w:r w:rsidRPr="00EE0EEB">
              <w:t>CT scan with PET scan</w:t>
            </w:r>
          </w:p>
        </w:tc>
        <w:tc>
          <w:tcPr>
            <w:tcW w:w="670" w:type="pct"/>
          </w:tcPr>
          <w:p w14:paraId="4DF4D05D" w14:textId="18CA084C"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4"/>
                <w14:textFill>
                  <w14:solidFill>
                    <w14:srgbClr w14:val="000000">
                      <w14:alpha w14:val="100000"/>
                    </w14:srgbClr>
                  </w14:solidFill>
                </w14:textFill>
              </w:rPr>
              <w:t>|||</w:t>
            </w:r>
            <w:r w:rsidR="00CD4EA9" w:rsidRPr="00CD4EA9">
              <w:rPr>
                <w:color w:val="000000"/>
                <w:spacing w:val="1"/>
                <w:szCs w:val="20"/>
                <w:shd w:val="solid" w:color="000000" w:fill="000000"/>
                <w:fitText w:val="324" w:id="-632121074"/>
                <w14:textFill>
                  <w14:solidFill>
                    <w14:srgbClr w14:val="000000">
                      <w14:alpha w14:val="100000"/>
                    </w14:srgbClr>
                  </w14:solidFill>
                </w14:textFill>
              </w:rPr>
              <w:t>|</w:t>
            </w:r>
            <w:r w:rsidR="000500EF">
              <w:rPr>
                <w:szCs w:val="20"/>
                <w:vertAlign w:val="superscript"/>
              </w:rPr>
              <w:t>15</w:t>
            </w:r>
          </w:p>
        </w:tc>
        <w:tc>
          <w:tcPr>
            <w:tcW w:w="670" w:type="pct"/>
          </w:tcPr>
          <w:p w14:paraId="43EA5C53" w14:textId="5F0DC97C"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3"/>
                <w14:textFill>
                  <w14:solidFill>
                    <w14:srgbClr w14:val="000000">
                      <w14:alpha w14:val="100000"/>
                    </w14:srgbClr>
                  </w14:solidFill>
                </w14:textFill>
              </w:rPr>
              <w:t>|||</w:t>
            </w:r>
            <w:r w:rsidR="00CD4EA9" w:rsidRPr="00CD4EA9">
              <w:rPr>
                <w:color w:val="000000"/>
                <w:spacing w:val="1"/>
                <w:szCs w:val="20"/>
                <w:shd w:val="solid" w:color="000000" w:fill="000000"/>
                <w:fitText w:val="324" w:id="-632121073"/>
                <w14:textFill>
                  <w14:solidFill>
                    <w14:srgbClr w14:val="000000">
                      <w14:alpha w14:val="100000"/>
                    </w14:srgbClr>
                  </w14:solidFill>
                </w14:textFill>
              </w:rPr>
              <w:t>|</w:t>
            </w:r>
            <w:r w:rsidR="000500EF">
              <w:rPr>
                <w:szCs w:val="20"/>
                <w:vertAlign w:val="superscript"/>
              </w:rPr>
              <w:t>15</w:t>
            </w:r>
          </w:p>
        </w:tc>
        <w:tc>
          <w:tcPr>
            <w:tcW w:w="670" w:type="pct"/>
          </w:tcPr>
          <w:p w14:paraId="10E4AA88" w14:textId="5BFDF1EC"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2"/>
                <w14:textFill>
                  <w14:solidFill>
                    <w14:srgbClr w14:val="000000">
                      <w14:alpha w14:val="100000"/>
                    </w14:srgbClr>
                  </w14:solidFill>
                </w14:textFill>
              </w:rPr>
              <w:t>|||</w:t>
            </w:r>
            <w:r w:rsidR="00CD4EA9" w:rsidRPr="00CD4EA9">
              <w:rPr>
                <w:color w:val="000000"/>
                <w:spacing w:val="1"/>
                <w:szCs w:val="20"/>
                <w:shd w:val="solid" w:color="000000" w:fill="000000"/>
                <w:fitText w:val="324" w:id="-632121072"/>
                <w14:textFill>
                  <w14:solidFill>
                    <w14:srgbClr w14:val="000000">
                      <w14:alpha w14:val="100000"/>
                    </w14:srgbClr>
                  </w14:solidFill>
                </w14:textFill>
              </w:rPr>
              <w:t>|</w:t>
            </w:r>
            <w:r w:rsidR="000500EF">
              <w:rPr>
                <w:szCs w:val="20"/>
                <w:vertAlign w:val="superscript"/>
              </w:rPr>
              <w:t>15</w:t>
            </w:r>
          </w:p>
        </w:tc>
        <w:tc>
          <w:tcPr>
            <w:tcW w:w="670" w:type="pct"/>
          </w:tcPr>
          <w:p w14:paraId="2F6ED6BC" w14:textId="219A3015"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8"/>
                <w14:textFill>
                  <w14:solidFill>
                    <w14:srgbClr w14:val="000000">
                      <w14:alpha w14:val="100000"/>
                    </w14:srgbClr>
                  </w14:solidFill>
                </w14:textFill>
              </w:rPr>
              <w:t>|||</w:t>
            </w:r>
            <w:r w:rsidR="00CD4EA9" w:rsidRPr="00CD4EA9">
              <w:rPr>
                <w:color w:val="000000"/>
                <w:spacing w:val="1"/>
                <w:szCs w:val="20"/>
                <w:shd w:val="solid" w:color="000000" w:fill="000000"/>
                <w:fitText w:val="324" w:id="-632121088"/>
                <w14:textFill>
                  <w14:solidFill>
                    <w14:srgbClr w14:val="000000">
                      <w14:alpha w14:val="100000"/>
                    </w14:srgbClr>
                  </w14:solidFill>
                </w14:textFill>
              </w:rPr>
              <w:t>|</w:t>
            </w:r>
            <w:r w:rsidR="000500EF">
              <w:rPr>
                <w:szCs w:val="20"/>
                <w:vertAlign w:val="superscript"/>
              </w:rPr>
              <w:t>15</w:t>
            </w:r>
          </w:p>
        </w:tc>
        <w:tc>
          <w:tcPr>
            <w:tcW w:w="670" w:type="pct"/>
          </w:tcPr>
          <w:p w14:paraId="4A30AE08" w14:textId="40D299A5"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7"/>
                <w14:textFill>
                  <w14:solidFill>
                    <w14:srgbClr w14:val="000000">
                      <w14:alpha w14:val="100000"/>
                    </w14:srgbClr>
                  </w14:solidFill>
                </w14:textFill>
              </w:rPr>
              <w:t>|||</w:t>
            </w:r>
            <w:r w:rsidR="00CD4EA9" w:rsidRPr="00CD4EA9">
              <w:rPr>
                <w:color w:val="000000"/>
                <w:spacing w:val="1"/>
                <w:szCs w:val="20"/>
                <w:shd w:val="solid" w:color="000000" w:fill="000000"/>
                <w:fitText w:val="324" w:id="-632121087"/>
                <w14:textFill>
                  <w14:solidFill>
                    <w14:srgbClr w14:val="000000">
                      <w14:alpha w14:val="100000"/>
                    </w14:srgbClr>
                  </w14:solidFill>
                </w14:textFill>
              </w:rPr>
              <w:t>|</w:t>
            </w:r>
            <w:r w:rsidR="000500EF">
              <w:rPr>
                <w:szCs w:val="20"/>
                <w:vertAlign w:val="superscript"/>
              </w:rPr>
              <w:t>15</w:t>
            </w:r>
          </w:p>
        </w:tc>
        <w:tc>
          <w:tcPr>
            <w:tcW w:w="670" w:type="pct"/>
          </w:tcPr>
          <w:p w14:paraId="48914A8A" w14:textId="5D1278FA"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6"/>
                <w14:textFill>
                  <w14:solidFill>
                    <w14:srgbClr w14:val="000000">
                      <w14:alpha w14:val="100000"/>
                    </w14:srgbClr>
                  </w14:solidFill>
                </w14:textFill>
              </w:rPr>
              <w:t>|||</w:t>
            </w:r>
            <w:r w:rsidR="00CD4EA9" w:rsidRPr="00CD4EA9">
              <w:rPr>
                <w:color w:val="000000"/>
                <w:spacing w:val="1"/>
                <w:szCs w:val="20"/>
                <w:shd w:val="solid" w:color="000000" w:fill="000000"/>
                <w:fitText w:val="324" w:id="-632121086"/>
                <w14:textFill>
                  <w14:solidFill>
                    <w14:srgbClr w14:val="000000">
                      <w14:alpha w14:val="100000"/>
                    </w14:srgbClr>
                  </w14:solidFill>
                </w14:textFill>
              </w:rPr>
              <w:t>|</w:t>
            </w:r>
            <w:r w:rsidR="000500EF">
              <w:rPr>
                <w:szCs w:val="20"/>
                <w:vertAlign w:val="superscript"/>
              </w:rPr>
              <w:t>15</w:t>
            </w:r>
          </w:p>
        </w:tc>
      </w:tr>
      <w:tr w:rsidR="00E3171D" w:rsidRPr="00EE0EEB" w14:paraId="50B3CF45" w14:textId="77777777" w:rsidTr="00080BC7">
        <w:tc>
          <w:tcPr>
            <w:tcW w:w="980" w:type="pct"/>
          </w:tcPr>
          <w:p w14:paraId="6244FC77" w14:textId="77777777" w:rsidR="009D5476" w:rsidRPr="00EE0EEB" w:rsidRDefault="009D5476">
            <w:pPr>
              <w:pStyle w:val="TableText"/>
            </w:pPr>
            <w:r w:rsidRPr="00EE0EEB">
              <w:t>Lumbar puncture</w:t>
            </w:r>
          </w:p>
        </w:tc>
        <w:tc>
          <w:tcPr>
            <w:tcW w:w="670" w:type="pct"/>
          </w:tcPr>
          <w:p w14:paraId="0B96566C" w14:textId="56E95D0B"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5"/>
                <w14:textFill>
                  <w14:solidFill>
                    <w14:srgbClr w14:val="000000">
                      <w14:alpha w14:val="100000"/>
                    </w14:srgbClr>
                  </w14:solidFill>
                </w14:textFill>
              </w:rPr>
              <w:t>|||</w:t>
            </w:r>
            <w:r w:rsidR="00CD4EA9" w:rsidRPr="00CD4EA9">
              <w:rPr>
                <w:color w:val="000000"/>
                <w:spacing w:val="1"/>
                <w:szCs w:val="20"/>
                <w:shd w:val="solid" w:color="000000" w:fill="000000"/>
                <w:fitText w:val="324" w:id="-632121085"/>
                <w14:textFill>
                  <w14:solidFill>
                    <w14:srgbClr w14:val="000000">
                      <w14:alpha w14:val="100000"/>
                    </w14:srgbClr>
                  </w14:solidFill>
                </w14:textFill>
              </w:rPr>
              <w:t>|</w:t>
            </w:r>
            <w:r w:rsidR="000500EF">
              <w:rPr>
                <w:szCs w:val="20"/>
                <w:vertAlign w:val="superscript"/>
              </w:rPr>
              <w:t>15</w:t>
            </w:r>
          </w:p>
        </w:tc>
        <w:tc>
          <w:tcPr>
            <w:tcW w:w="670" w:type="pct"/>
          </w:tcPr>
          <w:p w14:paraId="217E2402" w14:textId="5EA32022"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4"/>
                <w14:textFill>
                  <w14:solidFill>
                    <w14:srgbClr w14:val="000000">
                      <w14:alpha w14:val="100000"/>
                    </w14:srgbClr>
                  </w14:solidFill>
                </w14:textFill>
              </w:rPr>
              <w:t>|||</w:t>
            </w:r>
            <w:r w:rsidR="00CD4EA9" w:rsidRPr="00CD4EA9">
              <w:rPr>
                <w:color w:val="000000"/>
                <w:spacing w:val="1"/>
                <w:szCs w:val="20"/>
                <w:shd w:val="solid" w:color="000000" w:fill="000000"/>
                <w:fitText w:val="324" w:id="-632121084"/>
                <w14:textFill>
                  <w14:solidFill>
                    <w14:srgbClr w14:val="000000">
                      <w14:alpha w14:val="100000"/>
                    </w14:srgbClr>
                  </w14:solidFill>
                </w14:textFill>
              </w:rPr>
              <w:t>|</w:t>
            </w:r>
            <w:r w:rsidR="000500EF">
              <w:rPr>
                <w:szCs w:val="20"/>
                <w:vertAlign w:val="superscript"/>
              </w:rPr>
              <w:t>15</w:t>
            </w:r>
          </w:p>
        </w:tc>
        <w:tc>
          <w:tcPr>
            <w:tcW w:w="670" w:type="pct"/>
          </w:tcPr>
          <w:p w14:paraId="7F383218" w14:textId="256DD6BA"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3"/>
                <w14:textFill>
                  <w14:solidFill>
                    <w14:srgbClr w14:val="000000">
                      <w14:alpha w14:val="100000"/>
                    </w14:srgbClr>
                  </w14:solidFill>
                </w14:textFill>
              </w:rPr>
              <w:t>|||</w:t>
            </w:r>
            <w:r w:rsidR="00CD4EA9" w:rsidRPr="00CD4EA9">
              <w:rPr>
                <w:color w:val="000000"/>
                <w:spacing w:val="1"/>
                <w:szCs w:val="20"/>
                <w:shd w:val="solid" w:color="000000" w:fill="000000"/>
                <w:fitText w:val="324" w:id="-632121083"/>
                <w14:textFill>
                  <w14:solidFill>
                    <w14:srgbClr w14:val="000000">
                      <w14:alpha w14:val="100000"/>
                    </w14:srgbClr>
                  </w14:solidFill>
                </w14:textFill>
              </w:rPr>
              <w:t>|</w:t>
            </w:r>
            <w:r w:rsidR="000500EF">
              <w:rPr>
                <w:szCs w:val="20"/>
                <w:vertAlign w:val="superscript"/>
              </w:rPr>
              <w:t>15</w:t>
            </w:r>
          </w:p>
        </w:tc>
        <w:tc>
          <w:tcPr>
            <w:tcW w:w="670" w:type="pct"/>
          </w:tcPr>
          <w:p w14:paraId="29E6CCF7" w14:textId="4B20D164"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2"/>
                <w14:textFill>
                  <w14:solidFill>
                    <w14:srgbClr w14:val="000000">
                      <w14:alpha w14:val="100000"/>
                    </w14:srgbClr>
                  </w14:solidFill>
                </w14:textFill>
              </w:rPr>
              <w:t>|||</w:t>
            </w:r>
            <w:r w:rsidR="00CD4EA9" w:rsidRPr="00CD4EA9">
              <w:rPr>
                <w:color w:val="000000"/>
                <w:spacing w:val="1"/>
                <w:szCs w:val="20"/>
                <w:shd w:val="solid" w:color="000000" w:fill="000000"/>
                <w:fitText w:val="324" w:id="-632121082"/>
                <w14:textFill>
                  <w14:solidFill>
                    <w14:srgbClr w14:val="000000">
                      <w14:alpha w14:val="100000"/>
                    </w14:srgbClr>
                  </w14:solidFill>
                </w14:textFill>
              </w:rPr>
              <w:t>|</w:t>
            </w:r>
            <w:r w:rsidR="000500EF">
              <w:rPr>
                <w:szCs w:val="20"/>
                <w:vertAlign w:val="superscript"/>
              </w:rPr>
              <w:t>15</w:t>
            </w:r>
          </w:p>
        </w:tc>
        <w:tc>
          <w:tcPr>
            <w:tcW w:w="670" w:type="pct"/>
          </w:tcPr>
          <w:p w14:paraId="1651D828" w14:textId="62EE48AB"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1"/>
                <w14:textFill>
                  <w14:solidFill>
                    <w14:srgbClr w14:val="000000">
                      <w14:alpha w14:val="100000"/>
                    </w14:srgbClr>
                  </w14:solidFill>
                </w14:textFill>
              </w:rPr>
              <w:t>|||</w:t>
            </w:r>
            <w:r w:rsidR="00CD4EA9" w:rsidRPr="00CD4EA9">
              <w:rPr>
                <w:color w:val="000000"/>
                <w:spacing w:val="1"/>
                <w:szCs w:val="20"/>
                <w:shd w:val="solid" w:color="000000" w:fill="000000"/>
                <w:fitText w:val="324" w:id="-632121081"/>
                <w14:textFill>
                  <w14:solidFill>
                    <w14:srgbClr w14:val="000000">
                      <w14:alpha w14:val="100000"/>
                    </w14:srgbClr>
                  </w14:solidFill>
                </w14:textFill>
              </w:rPr>
              <w:t>|</w:t>
            </w:r>
            <w:r w:rsidR="000500EF">
              <w:rPr>
                <w:szCs w:val="20"/>
                <w:vertAlign w:val="superscript"/>
              </w:rPr>
              <w:t>15</w:t>
            </w:r>
          </w:p>
        </w:tc>
        <w:tc>
          <w:tcPr>
            <w:tcW w:w="670" w:type="pct"/>
          </w:tcPr>
          <w:p w14:paraId="5CDE2164" w14:textId="63883D28"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0"/>
                <w14:textFill>
                  <w14:solidFill>
                    <w14:srgbClr w14:val="000000">
                      <w14:alpha w14:val="100000"/>
                    </w14:srgbClr>
                  </w14:solidFill>
                </w14:textFill>
              </w:rPr>
              <w:t>|||</w:t>
            </w:r>
            <w:r w:rsidR="00CD4EA9" w:rsidRPr="00CD4EA9">
              <w:rPr>
                <w:color w:val="000000"/>
                <w:spacing w:val="1"/>
                <w:szCs w:val="20"/>
                <w:shd w:val="solid" w:color="000000" w:fill="000000"/>
                <w:fitText w:val="324" w:id="-632121080"/>
                <w14:textFill>
                  <w14:solidFill>
                    <w14:srgbClr w14:val="000000">
                      <w14:alpha w14:val="100000"/>
                    </w14:srgbClr>
                  </w14:solidFill>
                </w14:textFill>
              </w:rPr>
              <w:t>|</w:t>
            </w:r>
            <w:r w:rsidR="000500EF">
              <w:rPr>
                <w:szCs w:val="20"/>
                <w:vertAlign w:val="superscript"/>
              </w:rPr>
              <w:t>15</w:t>
            </w:r>
          </w:p>
        </w:tc>
      </w:tr>
      <w:tr w:rsidR="00E3171D" w:rsidRPr="00EE0EEB" w14:paraId="15632CFC" w14:textId="77777777" w:rsidTr="00080BC7">
        <w:tc>
          <w:tcPr>
            <w:tcW w:w="980" w:type="pct"/>
          </w:tcPr>
          <w:p w14:paraId="1D237105" w14:textId="77777777" w:rsidR="009D5476" w:rsidRPr="00EE0EEB" w:rsidRDefault="009D5476">
            <w:pPr>
              <w:pStyle w:val="TableText"/>
            </w:pPr>
            <w:r w:rsidRPr="00EE0EEB">
              <w:t>CT scan with LP</w:t>
            </w:r>
          </w:p>
        </w:tc>
        <w:tc>
          <w:tcPr>
            <w:tcW w:w="670" w:type="pct"/>
          </w:tcPr>
          <w:p w14:paraId="73B39651" w14:textId="2BD3E497"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9"/>
                <w14:textFill>
                  <w14:solidFill>
                    <w14:srgbClr w14:val="000000">
                      <w14:alpha w14:val="100000"/>
                    </w14:srgbClr>
                  </w14:solidFill>
                </w14:textFill>
              </w:rPr>
              <w:t>|||</w:t>
            </w:r>
            <w:r w:rsidR="00CD4EA9" w:rsidRPr="00CD4EA9">
              <w:rPr>
                <w:color w:val="000000"/>
                <w:spacing w:val="1"/>
                <w:szCs w:val="20"/>
                <w:shd w:val="solid" w:color="000000" w:fill="000000"/>
                <w:fitText w:val="324" w:id="-632121079"/>
                <w14:textFill>
                  <w14:solidFill>
                    <w14:srgbClr w14:val="000000">
                      <w14:alpha w14:val="100000"/>
                    </w14:srgbClr>
                  </w14:solidFill>
                </w14:textFill>
              </w:rPr>
              <w:t>|</w:t>
            </w:r>
            <w:r w:rsidR="000500EF">
              <w:rPr>
                <w:szCs w:val="20"/>
                <w:vertAlign w:val="superscript"/>
              </w:rPr>
              <w:t>15</w:t>
            </w:r>
          </w:p>
        </w:tc>
        <w:tc>
          <w:tcPr>
            <w:tcW w:w="670" w:type="pct"/>
          </w:tcPr>
          <w:p w14:paraId="4B9AA8E5" w14:textId="5D577249"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8"/>
                <w14:textFill>
                  <w14:solidFill>
                    <w14:srgbClr w14:val="000000">
                      <w14:alpha w14:val="100000"/>
                    </w14:srgbClr>
                  </w14:solidFill>
                </w14:textFill>
              </w:rPr>
              <w:t>|||</w:t>
            </w:r>
            <w:r w:rsidR="00CD4EA9" w:rsidRPr="00CD4EA9">
              <w:rPr>
                <w:color w:val="000000"/>
                <w:spacing w:val="1"/>
                <w:szCs w:val="20"/>
                <w:shd w:val="solid" w:color="000000" w:fill="000000"/>
                <w:fitText w:val="324" w:id="-632121078"/>
                <w14:textFill>
                  <w14:solidFill>
                    <w14:srgbClr w14:val="000000">
                      <w14:alpha w14:val="100000"/>
                    </w14:srgbClr>
                  </w14:solidFill>
                </w14:textFill>
              </w:rPr>
              <w:t>|</w:t>
            </w:r>
            <w:r w:rsidR="000500EF">
              <w:rPr>
                <w:szCs w:val="20"/>
                <w:vertAlign w:val="superscript"/>
              </w:rPr>
              <w:t>15</w:t>
            </w:r>
          </w:p>
        </w:tc>
        <w:tc>
          <w:tcPr>
            <w:tcW w:w="670" w:type="pct"/>
          </w:tcPr>
          <w:p w14:paraId="074E429F" w14:textId="339BC4C9"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7"/>
                <w14:textFill>
                  <w14:solidFill>
                    <w14:srgbClr w14:val="000000">
                      <w14:alpha w14:val="100000"/>
                    </w14:srgbClr>
                  </w14:solidFill>
                </w14:textFill>
              </w:rPr>
              <w:t>|||</w:t>
            </w:r>
            <w:r w:rsidR="00CD4EA9" w:rsidRPr="00CD4EA9">
              <w:rPr>
                <w:color w:val="000000"/>
                <w:spacing w:val="1"/>
                <w:szCs w:val="20"/>
                <w:shd w:val="solid" w:color="000000" w:fill="000000"/>
                <w:fitText w:val="324" w:id="-632121077"/>
                <w14:textFill>
                  <w14:solidFill>
                    <w14:srgbClr w14:val="000000">
                      <w14:alpha w14:val="100000"/>
                    </w14:srgbClr>
                  </w14:solidFill>
                </w14:textFill>
              </w:rPr>
              <w:t>|</w:t>
            </w:r>
            <w:r w:rsidR="000500EF">
              <w:rPr>
                <w:szCs w:val="20"/>
                <w:vertAlign w:val="superscript"/>
              </w:rPr>
              <w:t>15</w:t>
            </w:r>
          </w:p>
        </w:tc>
        <w:tc>
          <w:tcPr>
            <w:tcW w:w="670" w:type="pct"/>
          </w:tcPr>
          <w:p w14:paraId="605E70AD" w14:textId="15450A17"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6"/>
                <w14:textFill>
                  <w14:solidFill>
                    <w14:srgbClr w14:val="000000">
                      <w14:alpha w14:val="100000"/>
                    </w14:srgbClr>
                  </w14:solidFill>
                </w14:textFill>
              </w:rPr>
              <w:t>|||</w:t>
            </w:r>
            <w:r w:rsidR="00CD4EA9" w:rsidRPr="00CD4EA9">
              <w:rPr>
                <w:color w:val="000000"/>
                <w:spacing w:val="1"/>
                <w:szCs w:val="20"/>
                <w:shd w:val="solid" w:color="000000" w:fill="000000"/>
                <w:fitText w:val="324" w:id="-632121076"/>
                <w14:textFill>
                  <w14:solidFill>
                    <w14:srgbClr w14:val="000000">
                      <w14:alpha w14:val="100000"/>
                    </w14:srgbClr>
                  </w14:solidFill>
                </w14:textFill>
              </w:rPr>
              <w:t>|</w:t>
            </w:r>
            <w:r w:rsidR="000500EF">
              <w:rPr>
                <w:szCs w:val="20"/>
                <w:vertAlign w:val="superscript"/>
              </w:rPr>
              <w:t>15</w:t>
            </w:r>
          </w:p>
        </w:tc>
        <w:tc>
          <w:tcPr>
            <w:tcW w:w="670" w:type="pct"/>
          </w:tcPr>
          <w:p w14:paraId="22158F6A" w14:textId="520D1024"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5"/>
                <w14:textFill>
                  <w14:solidFill>
                    <w14:srgbClr w14:val="000000">
                      <w14:alpha w14:val="100000"/>
                    </w14:srgbClr>
                  </w14:solidFill>
                </w14:textFill>
              </w:rPr>
              <w:t>|||</w:t>
            </w:r>
            <w:r w:rsidR="00CD4EA9" w:rsidRPr="00CD4EA9">
              <w:rPr>
                <w:color w:val="000000"/>
                <w:spacing w:val="1"/>
                <w:szCs w:val="20"/>
                <w:shd w:val="solid" w:color="000000" w:fill="000000"/>
                <w:fitText w:val="324" w:id="-632121075"/>
                <w14:textFill>
                  <w14:solidFill>
                    <w14:srgbClr w14:val="000000">
                      <w14:alpha w14:val="100000"/>
                    </w14:srgbClr>
                  </w14:solidFill>
                </w14:textFill>
              </w:rPr>
              <w:t>|</w:t>
            </w:r>
            <w:r w:rsidR="000500EF">
              <w:rPr>
                <w:szCs w:val="20"/>
                <w:vertAlign w:val="superscript"/>
              </w:rPr>
              <w:t>15</w:t>
            </w:r>
          </w:p>
        </w:tc>
        <w:tc>
          <w:tcPr>
            <w:tcW w:w="670" w:type="pct"/>
          </w:tcPr>
          <w:p w14:paraId="302BA4EF" w14:textId="072FD84B"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4"/>
                <w14:textFill>
                  <w14:solidFill>
                    <w14:srgbClr w14:val="000000">
                      <w14:alpha w14:val="100000"/>
                    </w14:srgbClr>
                  </w14:solidFill>
                </w14:textFill>
              </w:rPr>
              <w:t>|||</w:t>
            </w:r>
            <w:r w:rsidR="00CD4EA9" w:rsidRPr="00CD4EA9">
              <w:rPr>
                <w:color w:val="000000"/>
                <w:spacing w:val="1"/>
                <w:szCs w:val="20"/>
                <w:shd w:val="solid" w:color="000000" w:fill="000000"/>
                <w:fitText w:val="324" w:id="-632121074"/>
                <w14:textFill>
                  <w14:solidFill>
                    <w14:srgbClr w14:val="000000">
                      <w14:alpha w14:val="100000"/>
                    </w14:srgbClr>
                  </w14:solidFill>
                </w14:textFill>
              </w:rPr>
              <w:t>|</w:t>
            </w:r>
            <w:r w:rsidR="000500EF">
              <w:rPr>
                <w:szCs w:val="20"/>
                <w:vertAlign w:val="superscript"/>
              </w:rPr>
              <w:t>15</w:t>
            </w:r>
          </w:p>
        </w:tc>
      </w:tr>
      <w:tr w:rsidR="00E3171D" w:rsidRPr="00EE0EEB" w14:paraId="0B3D3D6D" w14:textId="77777777" w:rsidTr="00080BC7">
        <w:tc>
          <w:tcPr>
            <w:tcW w:w="980" w:type="pct"/>
          </w:tcPr>
          <w:p w14:paraId="18C16FF4" w14:textId="77777777" w:rsidR="009D5476" w:rsidRPr="00EE0EEB" w:rsidRDefault="009D5476">
            <w:pPr>
              <w:pStyle w:val="TableText"/>
            </w:pPr>
            <w:r w:rsidRPr="00EE0EEB">
              <w:t>Attendance</w:t>
            </w:r>
          </w:p>
        </w:tc>
        <w:tc>
          <w:tcPr>
            <w:tcW w:w="670" w:type="pct"/>
          </w:tcPr>
          <w:p w14:paraId="4FF0A427" w14:textId="7A786A59"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3"/>
                <w14:textFill>
                  <w14:solidFill>
                    <w14:srgbClr w14:val="000000">
                      <w14:alpha w14:val="100000"/>
                    </w14:srgbClr>
                  </w14:solidFill>
                </w14:textFill>
              </w:rPr>
              <w:t>|||</w:t>
            </w:r>
            <w:r w:rsidR="00CD4EA9" w:rsidRPr="00CD4EA9">
              <w:rPr>
                <w:color w:val="000000"/>
                <w:spacing w:val="1"/>
                <w:szCs w:val="20"/>
                <w:shd w:val="solid" w:color="000000" w:fill="000000"/>
                <w:fitText w:val="324" w:id="-632121073"/>
                <w14:textFill>
                  <w14:solidFill>
                    <w14:srgbClr w14:val="000000">
                      <w14:alpha w14:val="100000"/>
                    </w14:srgbClr>
                  </w14:solidFill>
                </w14:textFill>
              </w:rPr>
              <w:t>|</w:t>
            </w:r>
            <w:r w:rsidR="00245036">
              <w:rPr>
                <w:szCs w:val="20"/>
                <w:vertAlign w:val="superscript"/>
              </w:rPr>
              <w:t>25</w:t>
            </w:r>
          </w:p>
        </w:tc>
        <w:tc>
          <w:tcPr>
            <w:tcW w:w="670" w:type="pct"/>
          </w:tcPr>
          <w:p w14:paraId="5DD65511" w14:textId="2CD1CB69"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2"/>
                <w14:textFill>
                  <w14:solidFill>
                    <w14:srgbClr w14:val="000000">
                      <w14:alpha w14:val="100000"/>
                    </w14:srgbClr>
                  </w14:solidFill>
                </w14:textFill>
              </w:rPr>
              <w:t>|||</w:t>
            </w:r>
            <w:r w:rsidR="00CD4EA9" w:rsidRPr="00CD4EA9">
              <w:rPr>
                <w:color w:val="000000"/>
                <w:spacing w:val="1"/>
                <w:szCs w:val="20"/>
                <w:shd w:val="solid" w:color="000000" w:fill="000000"/>
                <w:fitText w:val="324" w:id="-632121072"/>
                <w14:textFill>
                  <w14:solidFill>
                    <w14:srgbClr w14:val="000000">
                      <w14:alpha w14:val="100000"/>
                    </w14:srgbClr>
                  </w14:solidFill>
                </w14:textFill>
              </w:rPr>
              <w:t>|</w:t>
            </w:r>
            <w:r w:rsidR="00362147">
              <w:rPr>
                <w:szCs w:val="20"/>
                <w:vertAlign w:val="superscript"/>
              </w:rPr>
              <w:t>25</w:t>
            </w:r>
          </w:p>
        </w:tc>
        <w:tc>
          <w:tcPr>
            <w:tcW w:w="670" w:type="pct"/>
          </w:tcPr>
          <w:p w14:paraId="028A5268" w14:textId="6412C7A3"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8"/>
                <w14:textFill>
                  <w14:solidFill>
                    <w14:srgbClr w14:val="000000">
                      <w14:alpha w14:val="100000"/>
                    </w14:srgbClr>
                  </w14:solidFill>
                </w14:textFill>
              </w:rPr>
              <w:t>|||</w:t>
            </w:r>
            <w:r w:rsidR="00CD4EA9" w:rsidRPr="00CD4EA9">
              <w:rPr>
                <w:color w:val="000000"/>
                <w:spacing w:val="1"/>
                <w:szCs w:val="20"/>
                <w:shd w:val="solid" w:color="000000" w:fill="000000"/>
                <w:fitText w:val="324" w:id="-632121088"/>
                <w14:textFill>
                  <w14:solidFill>
                    <w14:srgbClr w14:val="000000">
                      <w14:alpha w14:val="100000"/>
                    </w14:srgbClr>
                  </w14:solidFill>
                </w14:textFill>
              </w:rPr>
              <w:t>|</w:t>
            </w:r>
            <w:r w:rsidR="00784F29">
              <w:rPr>
                <w:szCs w:val="20"/>
                <w:vertAlign w:val="superscript"/>
              </w:rPr>
              <w:t>23</w:t>
            </w:r>
          </w:p>
        </w:tc>
        <w:tc>
          <w:tcPr>
            <w:tcW w:w="670" w:type="pct"/>
          </w:tcPr>
          <w:p w14:paraId="0F882279" w14:textId="5103BC56"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7"/>
                <w14:textFill>
                  <w14:solidFill>
                    <w14:srgbClr w14:val="000000">
                      <w14:alpha w14:val="100000"/>
                    </w14:srgbClr>
                  </w14:solidFill>
                </w14:textFill>
              </w:rPr>
              <w:t>|||</w:t>
            </w:r>
            <w:r w:rsidR="00CD4EA9" w:rsidRPr="00CD4EA9">
              <w:rPr>
                <w:color w:val="000000"/>
                <w:spacing w:val="1"/>
                <w:szCs w:val="20"/>
                <w:shd w:val="solid" w:color="000000" w:fill="000000"/>
                <w:fitText w:val="324" w:id="-632121087"/>
                <w14:textFill>
                  <w14:solidFill>
                    <w14:srgbClr w14:val="000000">
                      <w14:alpha w14:val="100000"/>
                    </w14:srgbClr>
                  </w14:solidFill>
                </w14:textFill>
              </w:rPr>
              <w:t>|</w:t>
            </w:r>
            <w:r w:rsidR="00F54814" w:rsidRPr="00F54814">
              <w:rPr>
                <w:szCs w:val="20"/>
                <w:vertAlign w:val="superscript"/>
              </w:rPr>
              <w:t>24</w:t>
            </w:r>
          </w:p>
        </w:tc>
        <w:tc>
          <w:tcPr>
            <w:tcW w:w="670" w:type="pct"/>
          </w:tcPr>
          <w:p w14:paraId="749F2265" w14:textId="4C7EBB34"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6"/>
                <w14:textFill>
                  <w14:solidFill>
                    <w14:srgbClr w14:val="000000">
                      <w14:alpha w14:val="100000"/>
                    </w14:srgbClr>
                  </w14:solidFill>
                </w14:textFill>
              </w:rPr>
              <w:t>|||</w:t>
            </w:r>
            <w:r w:rsidR="00CD4EA9" w:rsidRPr="00CD4EA9">
              <w:rPr>
                <w:color w:val="000000"/>
                <w:spacing w:val="1"/>
                <w:szCs w:val="20"/>
                <w:shd w:val="solid" w:color="000000" w:fill="000000"/>
                <w:fitText w:val="324" w:id="-632121086"/>
                <w14:textFill>
                  <w14:solidFill>
                    <w14:srgbClr w14:val="000000">
                      <w14:alpha w14:val="100000"/>
                    </w14:srgbClr>
                  </w14:solidFill>
                </w14:textFill>
              </w:rPr>
              <w:t>|</w:t>
            </w:r>
            <w:r w:rsidR="00076B19">
              <w:rPr>
                <w:szCs w:val="20"/>
                <w:vertAlign w:val="superscript"/>
              </w:rPr>
              <w:t>17</w:t>
            </w:r>
          </w:p>
        </w:tc>
        <w:tc>
          <w:tcPr>
            <w:tcW w:w="670" w:type="pct"/>
          </w:tcPr>
          <w:p w14:paraId="17F77481" w14:textId="6E1A1AE6"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85"/>
                <w14:textFill>
                  <w14:solidFill>
                    <w14:srgbClr w14:val="000000">
                      <w14:alpha w14:val="100000"/>
                    </w14:srgbClr>
                  </w14:solidFill>
                </w14:textFill>
              </w:rPr>
              <w:t>|||</w:t>
            </w:r>
            <w:r w:rsidR="00CD4EA9" w:rsidRPr="00CD4EA9">
              <w:rPr>
                <w:color w:val="000000"/>
                <w:spacing w:val="1"/>
                <w:szCs w:val="20"/>
                <w:shd w:val="solid" w:color="000000" w:fill="000000"/>
                <w:fitText w:val="324" w:id="-632121085"/>
                <w14:textFill>
                  <w14:solidFill>
                    <w14:srgbClr w14:val="000000">
                      <w14:alpha w14:val="100000"/>
                    </w14:srgbClr>
                  </w14:solidFill>
                </w14:textFill>
              </w:rPr>
              <w:t>|</w:t>
            </w:r>
            <w:r w:rsidR="00076B19" w:rsidRPr="00076B19">
              <w:rPr>
                <w:szCs w:val="20"/>
                <w:vertAlign w:val="superscript"/>
              </w:rPr>
              <w:t>1</w:t>
            </w:r>
            <w:r w:rsidR="00076B19">
              <w:rPr>
                <w:szCs w:val="20"/>
                <w:vertAlign w:val="superscript"/>
              </w:rPr>
              <w:t>7</w:t>
            </w:r>
          </w:p>
        </w:tc>
      </w:tr>
      <w:tr w:rsidR="009D5476" w:rsidRPr="00EE0EEB" w14:paraId="5137E741" w14:textId="77777777" w:rsidTr="00080BC7">
        <w:tc>
          <w:tcPr>
            <w:tcW w:w="5000" w:type="pct"/>
            <w:gridSpan w:val="7"/>
            <w:vAlign w:val="center"/>
          </w:tcPr>
          <w:p w14:paraId="476A39CA" w14:textId="77777777" w:rsidR="009D5476" w:rsidRPr="00EE0EEB" w:rsidRDefault="009D5476">
            <w:pPr>
              <w:pStyle w:val="TableText"/>
              <w:rPr>
                <w:b/>
                <w:szCs w:val="20"/>
              </w:rPr>
            </w:pPr>
            <w:r w:rsidRPr="00EE0EEB">
              <w:rPr>
                <w:b/>
                <w:szCs w:val="20"/>
              </w:rPr>
              <w:t>Net financial implications</w:t>
            </w:r>
          </w:p>
        </w:tc>
      </w:tr>
      <w:tr w:rsidR="00E3171D" w:rsidRPr="00EE0EEB" w14:paraId="783454EB" w14:textId="77777777" w:rsidTr="00080BC7">
        <w:tc>
          <w:tcPr>
            <w:tcW w:w="980" w:type="pct"/>
            <w:vAlign w:val="center"/>
          </w:tcPr>
          <w:p w14:paraId="68AF7F87" w14:textId="77777777" w:rsidR="009D5476" w:rsidRPr="00EE0EEB" w:rsidRDefault="009D5476">
            <w:pPr>
              <w:pStyle w:val="TableText"/>
              <w:rPr>
                <w:b/>
              </w:rPr>
            </w:pPr>
            <w:r w:rsidRPr="00EE0EEB">
              <w:rPr>
                <w:b/>
              </w:rPr>
              <w:lastRenderedPageBreak/>
              <w:t>Net cost to PBS/RPBS</w:t>
            </w:r>
          </w:p>
        </w:tc>
        <w:tc>
          <w:tcPr>
            <w:tcW w:w="670" w:type="pct"/>
          </w:tcPr>
          <w:p w14:paraId="0C7087E5" w14:textId="12D9DDE9" w:rsidR="007E4207" w:rsidRDefault="009D5476">
            <w:pPr>
              <w:pStyle w:val="TableText"/>
              <w:jc w:val="center"/>
              <w:rPr>
                <w:b/>
                <w:szCs w:val="20"/>
                <w:vertAlign w:val="superscript"/>
              </w:rPr>
            </w:pPr>
            <w:r w:rsidRPr="00EE0EEB">
              <w:rPr>
                <w:b/>
                <w:szCs w:val="20"/>
              </w:rPr>
              <w:t>$</w:t>
            </w:r>
            <w:r w:rsidR="00CD4EA9" w:rsidRPr="00CD4EA9">
              <w:rPr>
                <w:b/>
                <w:color w:val="000000"/>
                <w:spacing w:val="56"/>
                <w:szCs w:val="20"/>
                <w:shd w:val="solid" w:color="000000" w:fill="000000"/>
                <w:fitText w:val="354" w:id="-632121084"/>
                <w14:textFill>
                  <w14:solidFill>
                    <w14:srgbClr w14:val="000000">
                      <w14:alpha w14:val="100000"/>
                    </w14:srgbClr>
                  </w14:solidFill>
                </w14:textFill>
              </w:rPr>
              <w:t>|||</w:t>
            </w:r>
            <w:r w:rsidR="00CD4EA9" w:rsidRPr="00CD4EA9">
              <w:rPr>
                <w:b/>
                <w:color w:val="000000"/>
                <w:spacing w:val="3"/>
                <w:szCs w:val="20"/>
                <w:shd w:val="solid" w:color="000000" w:fill="000000"/>
                <w:fitText w:val="354" w:id="-632121084"/>
                <w14:textFill>
                  <w14:solidFill>
                    <w14:srgbClr w14:val="000000">
                      <w14:alpha w14:val="100000"/>
                    </w14:srgbClr>
                  </w14:solidFill>
                </w14:textFill>
              </w:rPr>
              <w:t>|</w:t>
            </w:r>
          </w:p>
          <w:p w14:paraId="2FBC52DC" w14:textId="525DBDD2" w:rsidR="009D5476" w:rsidRPr="002E4C03" w:rsidRDefault="007E4207">
            <w:pPr>
              <w:pStyle w:val="TableText"/>
              <w:jc w:val="center"/>
              <w:rPr>
                <w:b/>
                <w:szCs w:val="20"/>
                <w:vertAlign w:val="superscript"/>
              </w:rPr>
            </w:pPr>
            <w:r>
              <w:rPr>
                <w:b/>
                <w:szCs w:val="20"/>
                <w:vertAlign w:val="superscript"/>
              </w:rPr>
              <w:t>22</w:t>
            </w:r>
          </w:p>
        </w:tc>
        <w:tc>
          <w:tcPr>
            <w:tcW w:w="670" w:type="pct"/>
          </w:tcPr>
          <w:p w14:paraId="4701BF79" w14:textId="714C2531" w:rsidR="007E4207" w:rsidRDefault="009D5476">
            <w:pPr>
              <w:pStyle w:val="TableText"/>
              <w:jc w:val="center"/>
              <w:rPr>
                <w:b/>
                <w:szCs w:val="20"/>
                <w:vertAlign w:val="superscript"/>
              </w:rPr>
            </w:pPr>
            <w:r w:rsidRPr="00EE0EEB">
              <w:rPr>
                <w:b/>
                <w:szCs w:val="20"/>
              </w:rPr>
              <w:t>$</w:t>
            </w:r>
            <w:r w:rsidR="00CD4EA9" w:rsidRPr="00CD4EA9">
              <w:rPr>
                <w:b/>
                <w:color w:val="000000"/>
                <w:spacing w:val="56"/>
                <w:szCs w:val="20"/>
                <w:shd w:val="solid" w:color="000000" w:fill="000000"/>
                <w:fitText w:val="354" w:id="-632121083"/>
                <w14:textFill>
                  <w14:solidFill>
                    <w14:srgbClr w14:val="000000">
                      <w14:alpha w14:val="100000"/>
                    </w14:srgbClr>
                  </w14:solidFill>
                </w14:textFill>
              </w:rPr>
              <w:t>|||</w:t>
            </w:r>
            <w:r w:rsidR="00CD4EA9" w:rsidRPr="00CD4EA9">
              <w:rPr>
                <w:b/>
                <w:color w:val="000000"/>
                <w:spacing w:val="3"/>
                <w:szCs w:val="20"/>
                <w:shd w:val="solid" w:color="000000" w:fill="000000"/>
                <w:fitText w:val="354" w:id="-632121083"/>
                <w14:textFill>
                  <w14:solidFill>
                    <w14:srgbClr w14:val="000000">
                      <w14:alpha w14:val="100000"/>
                    </w14:srgbClr>
                  </w14:solidFill>
                </w14:textFill>
              </w:rPr>
              <w:t>|</w:t>
            </w:r>
          </w:p>
          <w:p w14:paraId="66C37C37" w14:textId="14783B17" w:rsidR="009D5476" w:rsidRPr="002E4C03" w:rsidRDefault="007E4207">
            <w:pPr>
              <w:pStyle w:val="TableText"/>
              <w:jc w:val="center"/>
              <w:rPr>
                <w:b/>
                <w:szCs w:val="20"/>
                <w:vertAlign w:val="superscript"/>
              </w:rPr>
            </w:pPr>
            <w:r>
              <w:rPr>
                <w:b/>
                <w:szCs w:val="20"/>
                <w:vertAlign w:val="superscript"/>
              </w:rPr>
              <w:t>22</w:t>
            </w:r>
          </w:p>
        </w:tc>
        <w:tc>
          <w:tcPr>
            <w:tcW w:w="670" w:type="pct"/>
          </w:tcPr>
          <w:p w14:paraId="02DC9172" w14:textId="6EDF301E" w:rsidR="007E4207"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2"/>
                <w14:textFill>
                  <w14:solidFill>
                    <w14:srgbClr w14:val="000000">
                      <w14:alpha w14:val="100000"/>
                    </w14:srgbClr>
                  </w14:solidFill>
                </w14:textFill>
              </w:rPr>
              <w:t>|||</w:t>
            </w:r>
            <w:r w:rsidR="00CD4EA9" w:rsidRPr="00CD4EA9">
              <w:rPr>
                <w:b/>
                <w:color w:val="000000"/>
                <w:spacing w:val="3"/>
                <w:szCs w:val="20"/>
                <w:shd w:val="solid" w:color="000000" w:fill="000000"/>
                <w:fitText w:val="354" w:id="-632121082"/>
                <w14:textFill>
                  <w14:solidFill>
                    <w14:srgbClr w14:val="000000">
                      <w14:alpha w14:val="100000"/>
                    </w14:srgbClr>
                  </w14:solidFill>
                </w14:textFill>
              </w:rPr>
              <w:t>|</w:t>
            </w:r>
          </w:p>
          <w:p w14:paraId="74812FF4" w14:textId="7FCDBE8E" w:rsidR="009D5476" w:rsidRPr="002E4C03" w:rsidRDefault="007E4207">
            <w:pPr>
              <w:pStyle w:val="TableText"/>
              <w:jc w:val="center"/>
              <w:rPr>
                <w:b/>
                <w:szCs w:val="20"/>
                <w:vertAlign w:val="superscript"/>
              </w:rPr>
            </w:pPr>
            <w:r>
              <w:rPr>
                <w:b/>
                <w:szCs w:val="20"/>
                <w:vertAlign w:val="superscript"/>
              </w:rPr>
              <w:t>22</w:t>
            </w:r>
          </w:p>
        </w:tc>
        <w:tc>
          <w:tcPr>
            <w:tcW w:w="670" w:type="pct"/>
          </w:tcPr>
          <w:p w14:paraId="662C37BA" w14:textId="0342DBF8" w:rsidR="007E4207"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1"/>
                <w14:textFill>
                  <w14:solidFill>
                    <w14:srgbClr w14:val="000000">
                      <w14:alpha w14:val="100000"/>
                    </w14:srgbClr>
                  </w14:solidFill>
                </w14:textFill>
              </w:rPr>
              <w:t>|||</w:t>
            </w:r>
            <w:r w:rsidR="00CD4EA9" w:rsidRPr="00CD4EA9">
              <w:rPr>
                <w:b/>
                <w:color w:val="000000"/>
                <w:spacing w:val="3"/>
                <w:szCs w:val="20"/>
                <w:shd w:val="solid" w:color="000000" w:fill="000000"/>
                <w:fitText w:val="354" w:id="-632121081"/>
                <w14:textFill>
                  <w14:solidFill>
                    <w14:srgbClr w14:val="000000">
                      <w14:alpha w14:val="100000"/>
                    </w14:srgbClr>
                  </w14:solidFill>
                </w14:textFill>
              </w:rPr>
              <w:t>|</w:t>
            </w:r>
          </w:p>
          <w:p w14:paraId="1B19AC03" w14:textId="7F8E1B6D" w:rsidR="009D5476" w:rsidRPr="002E4C03" w:rsidRDefault="007E4207">
            <w:pPr>
              <w:pStyle w:val="TableText"/>
              <w:jc w:val="center"/>
              <w:rPr>
                <w:b/>
                <w:szCs w:val="20"/>
                <w:vertAlign w:val="superscript"/>
              </w:rPr>
            </w:pPr>
            <w:r>
              <w:rPr>
                <w:b/>
                <w:szCs w:val="20"/>
                <w:vertAlign w:val="superscript"/>
              </w:rPr>
              <w:t>22</w:t>
            </w:r>
          </w:p>
        </w:tc>
        <w:tc>
          <w:tcPr>
            <w:tcW w:w="670" w:type="pct"/>
          </w:tcPr>
          <w:p w14:paraId="255FE940" w14:textId="082F5E39" w:rsidR="007E4207"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0"/>
                <w14:textFill>
                  <w14:solidFill>
                    <w14:srgbClr w14:val="000000">
                      <w14:alpha w14:val="100000"/>
                    </w14:srgbClr>
                  </w14:solidFill>
                </w14:textFill>
              </w:rPr>
              <w:t>|||</w:t>
            </w:r>
            <w:r w:rsidR="00CD4EA9" w:rsidRPr="00CD4EA9">
              <w:rPr>
                <w:b/>
                <w:color w:val="000000"/>
                <w:spacing w:val="3"/>
                <w:szCs w:val="20"/>
                <w:shd w:val="solid" w:color="000000" w:fill="000000"/>
                <w:fitText w:val="354" w:id="-632121080"/>
                <w14:textFill>
                  <w14:solidFill>
                    <w14:srgbClr w14:val="000000">
                      <w14:alpha w14:val="100000"/>
                    </w14:srgbClr>
                  </w14:solidFill>
                </w14:textFill>
              </w:rPr>
              <w:t>|</w:t>
            </w:r>
          </w:p>
          <w:p w14:paraId="42E8B90B" w14:textId="6A648B9E" w:rsidR="009D5476" w:rsidRPr="002E4C03" w:rsidRDefault="007E4207">
            <w:pPr>
              <w:pStyle w:val="TableText"/>
              <w:jc w:val="center"/>
              <w:rPr>
                <w:b/>
                <w:szCs w:val="20"/>
                <w:vertAlign w:val="superscript"/>
              </w:rPr>
            </w:pPr>
            <w:r>
              <w:rPr>
                <w:b/>
                <w:szCs w:val="20"/>
                <w:vertAlign w:val="superscript"/>
              </w:rPr>
              <w:t>22</w:t>
            </w:r>
          </w:p>
        </w:tc>
        <w:tc>
          <w:tcPr>
            <w:tcW w:w="670" w:type="pct"/>
          </w:tcPr>
          <w:p w14:paraId="55627455" w14:textId="6CE6BE76" w:rsidR="007E4207"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79"/>
                <w14:textFill>
                  <w14:solidFill>
                    <w14:srgbClr w14:val="000000">
                      <w14:alpha w14:val="100000"/>
                    </w14:srgbClr>
                  </w14:solidFill>
                </w14:textFill>
              </w:rPr>
              <w:t>|||</w:t>
            </w:r>
            <w:r w:rsidR="00CD4EA9" w:rsidRPr="00CD4EA9">
              <w:rPr>
                <w:b/>
                <w:color w:val="000000"/>
                <w:spacing w:val="3"/>
                <w:szCs w:val="20"/>
                <w:shd w:val="solid" w:color="000000" w:fill="000000"/>
                <w:fitText w:val="354" w:id="-632121079"/>
                <w14:textFill>
                  <w14:solidFill>
                    <w14:srgbClr w14:val="000000">
                      <w14:alpha w14:val="100000"/>
                    </w14:srgbClr>
                  </w14:solidFill>
                </w14:textFill>
              </w:rPr>
              <w:t>|</w:t>
            </w:r>
          </w:p>
          <w:p w14:paraId="750FBF8C" w14:textId="71414CC8" w:rsidR="009D5476" w:rsidRPr="002E4C03" w:rsidRDefault="007E4207">
            <w:pPr>
              <w:pStyle w:val="TableText"/>
              <w:jc w:val="center"/>
              <w:rPr>
                <w:b/>
                <w:szCs w:val="20"/>
                <w:vertAlign w:val="superscript"/>
              </w:rPr>
            </w:pPr>
            <w:r>
              <w:rPr>
                <w:b/>
                <w:szCs w:val="20"/>
                <w:vertAlign w:val="superscript"/>
              </w:rPr>
              <w:t>22</w:t>
            </w:r>
          </w:p>
        </w:tc>
      </w:tr>
      <w:tr w:rsidR="00E3171D" w:rsidRPr="00EE0EEB" w14:paraId="03C6563C" w14:textId="77777777" w:rsidTr="00080BC7">
        <w:tc>
          <w:tcPr>
            <w:tcW w:w="980" w:type="pct"/>
            <w:vAlign w:val="center"/>
          </w:tcPr>
          <w:p w14:paraId="0AAAAD57" w14:textId="77777777" w:rsidR="009D5476" w:rsidRPr="00EE0EEB" w:rsidRDefault="009D5476">
            <w:pPr>
              <w:pStyle w:val="TableText"/>
              <w:rPr>
                <w:rFonts w:ascii="Times" w:eastAsia="Times New Roman" w:hAnsi="Times" w:cs="Times New Roman"/>
              </w:rPr>
            </w:pPr>
            <w:r w:rsidRPr="00EE0EEB">
              <w:t>Net cost to MBS</w:t>
            </w:r>
          </w:p>
        </w:tc>
        <w:tc>
          <w:tcPr>
            <w:tcW w:w="670" w:type="pct"/>
          </w:tcPr>
          <w:p w14:paraId="50C8A0B8" w14:textId="57629FDD"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8"/>
                <w14:textFill>
                  <w14:solidFill>
                    <w14:srgbClr w14:val="000000">
                      <w14:alpha w14:val="100000"/>
                    </w14:srgbClr>
                  </w14:solidFill>
                </w14:textFill>
              </w:rPr>
              <w:t>|||</w:t>
            </w:r>
            <w:r w:rsidR="00CD4EA9" w:rsidRPr="00CD4EA9">
              <w:rPr>
                <w:color w:val="000000"/>
                <w:spacing w:val="1"/>
                <w:szCs w:val="20"/>
                <w:shd w:val="solid" w:color="000000" w:fill="000000"/>
                <w:fitText w:val="324" w:id="-632121078"/>
                <w14:textFill>
                  <w14:solidFill>
                    <w14:srgbClr w14:val="000000">
                      <w14:alpha w14:val="100000"/>
                    </w14:srgbClr>
                  </w14:solidFill>
                </w14:textFill>
              </w:rPr>
              <w:t>|</w:t>
            </w:r>
            <w:r w:rsidR="00F54814">
              <w:rPr>
                <w:szCs w:val="20"/>
                <w:vertAlign w:val="superscript"/>
              </w:rPr>
              <w:t>21</w:t>
            </w:r>
          </w:p>
        </w:tc>
        <w:tc>
          <w:tcPr>
            <w:tcW w:w="670" w:type="pct"/>
          </w:tcPr>
          <w:p w14:paraId="3BCAA2F0" w14:textId="2E167D33"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7"/>
                <w14:textFill>
                  <w14:solidFill>
                    <w14:srgbClr w14:val="000000">
                      <w14:alpha w14:val="100000"/>
                    </w14:srgbClr>
                  </w14:solidFill>
                </w14:textFill>
              </w:rPr>
              <w:t>|||</w:t>
            </w:r>
            <w:r w:rsidR="00CD4EA9" w:rsidRPr="00CD4EA9">
              <w:rPr>
                <w:color w:val="000000"/>
                <w:spacing w:val="1"/>
                <w:szCs w:val="20"/>
                <w:shd w:val="solid" w:color="000000" w:fill="000000"/>
                <w:fitText w:val="324" w:id="-632121077"/>
                <w14:textFill>
                  <w14:solidFill>
                    <w14:srgbClr w14:val="000000">
                      <w14:alpha w14:val="100000"/>
                    </w14:srgbClr>
                  </w14:solidFill>
                </w14:textFill>
              </w:rPr>
              <w:t>|</w:t>
            </w:r>
            <w:r w:rsidR="00F54814">
              <w:rPr>
                <w:szCs w:val="20"/>
                <w:vertAlign w:val="superscript"/>
              </w:rPr>
              <w:t>21</w:t>
            </w:r>
          </w:p>
        </w:tc>
        <w:tc>
          <w:tcPr>
            <w:tcW w:w="670" w:type="pct"/>
          </w:tcPr>
          <w:p w14:paraId="67D9A0D6" w14:textId="44EF013A"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6"/>
                <w14:textFill>
                  <w14:solidFill>
                    <w14:srgbClr w14:val="000000">
                      <w14:alpha w14:val="100000"/>
                    </w14:srgbClr>
                  </w14:solidFill>
                </w14:textFill>
              </w:rPr>
              <w:t>|||</w:t>
            </w:r>
            <w:r w:rsidR="00CD4EA9" w:rsidRPr="00CD4EA9">
              <w:rPr>
                <w:color w:val="000000"/>
                <w:spacing w:val="1"/>
                <w:szCs w:val="20"/>
                <w:shd w:val="solid" w:color="000000" w:fill="000000"/>
                <w:fitText w:val="324" w:id="-632121076"/>
                <w14:textFill>
                  <w14:solidFill>
                    <w14:srgbClr w14:val="000000">
                      <w14:alpha w14:val="100000"/>
                    </w14:srgbClr>
                  </w14:solidFill>
                </w14:textFill>
              </w:rPr>
              <w:t>|</w:t>
            </w:r>
            <w:r w:rsidR="00F54814">
              <w:rPr>
                <w:szCs w:val="20"/>
                <w:vertAlign w:val="superscript"/>
              </w:rPr>
              <w:t>21</w:t>
            </w:r>
          </w:p>
        </w:tc>
        <w:tc>
          <w:tcPr>
            <w:tcW w:w="670" w:type="pct"/>
          </w:tcPr>
          <w:p w14:paraId="22FC0ECE" w14:textId="013ED725"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5"/>
                <w14:textFill>
                  <w14:solidFill>
                    <w14:srgbClr w14:val="000000">
                      <w14:alpha w14:val="100000"/>
                    </w14:srgbClr>
                  </w14:solidFill>
                </w14:textFill>
              </w:rPr>
              <w:t>|||</w:t>
            </w:r>
            <w:r w:rsidR="00CD4EA9" w:rsidRPr="00CD4EA9">
              <w:rPr>
                <w:color w:val="000000"/>
                <w:spacing w:val="1"/>
                <w:szCs w:val="20"/>
                <w:shd w:val="solid" w:color="000000" w:fill="000000"/>
                <w:fitText w:val="324" w:id="-632121075"/>
                <w14:textFill>
                  <w14:solidFill>
                    <w14:srgbClr w14:val="000000">
                      <w14:alpha w14:val="100000"/>
                    </w14:srgbClr>
                  </w14:solidFill>
                </w14:textFill>
              </w:rPr>
              <w:t>|</w:t>
            </w:r>
            <w:r w:rsidR="00D31D8A">
              <w:rPr>
                <w:szCs w:val="20"/>
                <w:vertAlign w:val="superscript"/>
              </w:rPr>
              <w:t>26</w:t>
            </w:r>
          </w:p>
        </w:tc>
        <w:tc>
          <w:tcPr>
            <w:tcW w:w="670" w:type="pct"/>
          </w:tcPr>
          <w:p w14:paraId="3AD0BF3E" w14:textId="2964E8BB"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4"/>
                <w14:textFill>
                  <w14:solidFill>
                    <w14:srgbClr w14:val="000000">
                      <w14:alpha w14:val="100000"/>
                    </w14:srgbClr>
                  </w14:solidFill>
                </w14:textFill>
              </w:rPr>
              <w:t>|||</w:t>
            </w:r>
            <w:r w:rsidR="00CD4EA9" w:rsidRPr="00CD4EA9">
              <w:rPr>
                <w:color w:val="000000"/>
                <w:spacing w:val="1"/>
                <w:szCs w:val="20"/>
                <w:shd w:val="solid" w:color="000000" w:fill="000000"/>
                <w:fitText w:val="324" w:id="-632121074"/>
                <w14:textFill>
                  <w14:solidFill>
                    <w14:srgbClr w14:val="000000">
                      <w14:alpha w14:val="100000"/>
                    </w14:srgbClr>
                  </w14:solidFill>
                </w14:textFill>
              </w:rPr>
              <w:t>|</w:t>
            </w:r>
            <w:r w:rsidR="00D31D8A">
              <w:rPr>
                <w:szCs w:val="20"/>
                <w:vertAlign w:val="superscript"/>
              </w:rPr>
              <w:t>26</w:t>
            </w:r>
          </w:p>
        </w:tc>
        <w:tc>
          <w:tcPr>
            <w:tcW w:w="670" w:type="pct"/>
          </w:tcPr>
          <w:p w14:paraId="75456F28" w14:textId="55B52983" w:rsidR="009D5476" w:rsidRPr="002E4C03" w:rsidRDefault="009D5476">
            <w:pPr>
              <w:pStyle w:val="TableText"/>
              <w:jc w:val="center"/>
              <w:rPr>
                <w:szCs w:val="20"/>
                <w:vertAlign w:val="superscript"/>
              </w:rPr>
            </w:pPr>
            <w:r w:rsidRPr="00EE0EEB">
              <w:rPr>
                <w:szCs w:val="20"/>
              </w:rPr>
              <w:t>$</w:t>
            </w:r>
            <w:r w:rsidR="00CD4EA9" w:rsidRPr="00CD4EA9">
              <w:rPr>
                <w:color w:val="000000"/>
                <w:spacing w:val="51"/>
                <w:szCs w:val="20"/>
                <w:shd w:val="solid" w:color="000000" w:fill="000000"/>
                <w:fitText w:val="324" w:id="-632121073"/>
                <w14:textFill>
                  <w14:solidFill>
                    <w14:srgbClr w14:val="000000">
                      <w14:alpha w14:val="100000"/>
                    </w14:srgbClr>
                  </w14:solidFill>
                </w14:textFill>
              </w:rPr>
              <w:t>|||</w:t>
            </w:r>
            <w:r w:rsidR="00CD4EA9" w:rsidRPr="00CD4EA9">
              <w:rPr>
                <w:color w:val="000000"/>
                <w:spacing w:val="1"/>
                <w:szCs w:val="20"/>
                <w:shd w:val="solid" w:color="000000" w:fill="000000"/>
                <w:fitText w:val="324" w:id="-632121073"/>
                <w14:textFill>
                  <w14:solidFill>
                    <w14:srgbClr w14:val="000000">
                      <w14:alpha w14:val="100000"/>
                    </w14:srgbClr>
                  </w14:solidFill>
                </w14:textFill>
              </w:rPr>
              <w:t>|</w:t>
            </w:r>
            <w:r w:rsidR="00E3171D">
              <w:rPr>
                <w:szCs w:val="20"/>
                <w:vertAlign w:val="superscript"/>
              </w:rPr>
              <w:t>27</w:t>
            </w:r>
          </w:p>
        </w:tc>
      </w:tr>
      <w:tr w:rsidR="00E3171D" w:rsidRPr="00EE0EEB" w14:paraId="62B8DA43" w14:textId="77777777" w:rsidTr="00080BC7">
        <w:tc>
          <w:tcPr>
            <w:tcW w:w="980" w:type="pct"/>
            <w:vAlign w:val="center"/>
          </w:tcPr>
          <w:p w14:paraId="6AE6E348" w14:textId="77777777" w:rsidR="009D5476" w:rsidRPr="00EE0EEB" w:rsidRDefault="009D5476">
            <w:pPr>
              <w:pStyle w:val="TableText"/>
              <w:rPr>
                <w:b/>
              </w:rPr>
            </w:pPr>
            <w:r w:rsidRPr="00EE0EEB">
              <w:rPr>
                <w:b/>
              </w:rPr>
              <w:t>Net cost to PBS/RPBS/MBS</w:t>
            </w:r>
          </w:p>
        </w:tc>
        <w:tc>
          <w:tcPr>
            <w:tcW w:w="670" w:type="pct"/>
          </w:tcPr>
          <w:p w14:paraId="7FD4FE33" w14:textId="5F0C8091" w:rsidR="007347EF"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72"/>
                <w14:textFill>
                  <w14:solidFill>
                    <w14:srgbClr w14:val="000000">
                      <w14:alpha w14:val="100000"/>
                    </w14:srgbClr>
                  </w14:solidFill>
                </w14:textFill>
              </w:rPr>
              <w:t>|||</w:t>
            </w:r>
            <w:r w:rsidR="00CD4EA9" w:rsidRPr="00CD4EA9">
              <w:rPr>
                <w:b/>
                <w:color w:val="000000"/>
                <w:spacing w:val="3"/>
                <w:szCs w:val="20"/>
                <w:shd w:val="solid" w:color="000000" w:fill="000000"/>
                <w:fitText w:val="354" w:id="-632121072"/>
                <w14:textFill>
                  <w14:solidFill>
                    <w14:srgbClr w14:val="000000">
                      <w14:alpha w14:val="100000"/>
                    </w14:srgbClr>
                  </w14:solidFill>
                </w14:textFill>
              </w:rPr>
              <w:t>|</w:t>
            </w:r>
          </w:p>
          <w:p w14:paraId="36AA36CB" w14:textId="2AC90E71" w:rsidR="009D5476" w:rsidRPr="002E4C03" w:rsidRDefault="007347EF">
            <w:pPr>
              <w:pStyle w:val="TableText"/>
              <w:jc w:val="center"/>
              <w:rPr>
                <w:b/>
                <w:szCs w:val="20"/>
                <w:vertAlign w:val="superscript"/>
              </w:rPr>
            </w:pPr>
            <w:r>
              <w:rPr>
                <w:b/>
                <w:szCs w:val="20"/>
                <w:vertAlign w:val="superscript"/>
              </w:rPr>
              <w:t>22</w:t>
            </w:r>
          </w:p>
        </w:tc>
        <w:tc>
          <w:tcPr>
            <w:tcW w:w="670" w:type="pct"/>
          </w:tcPr>
          <w:p w14:paraId="05314B3F" w14:textId="30F2358B" w:rsidR="007347EF"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8"/>
                <w14:textFill>
                  <w14:solidFill>
                    <w14:srgbClr w14:val="000000">
                      <w14:alpha w14:val="100000"/>
                    </w14:srgbClr>
                  </w14:solidFill>
                </w14:textFill>
              </w:rPr>
              <w:t>|||</w:t>
            </w:r>
            <w:r w:rsidR="00CD4EA9" w:rsidRPr="00CD4EA9">
              <w:rPr>
                <w:b/>
                <w:color w:val="000000"/>
                <w:spacing w:val="3"/>
                <w:szCs w:val="20"/>
                <w:shd w:val="solid" w:color="000000" w:fill="000000"/>
                <w:fitText w:val="354" w:id="-632121088"/>
                <w14:textFill>
                  <w14:solidFill>
                    <w14:srgbClr w14:val="000000">
                      <w14:alpha w14:val="100000"/>
                    </w14:srgbClr>
                  </w14:solidFill>
                </w14:textFill>
              </w:rPr>
              <w:t>|</w:t>
            </w:r>
          </w:p>
          <w:p w14:paraId="3B04EA7B" w14:textId="2708F6F0" w:rsidR="009D5476" w:rsidRPr="002E4C03" w:rsidRDefault="007347EF">
            <w:pPr>
              <w:pStyle w:val="TableText"/>
              <w:jc w:val="center"/>
              <w:rPr>
                <w:b/>
                <w:szCs w:val="20"/>
                <w:vertAlign w:val="superscript"/>
              </w:rPr>
            </w:pPr>
            <w:r>
              <w:rPr>
                <w:bCs/>
                <w:szCs w:val="20"/>
                <w:vertAlign w:val="superscript"/>
              </w:rPr>
              <w:t>22</w:t>
            </w:r>
          </w:p>
        </w:tc>
        <w:tc>
          <w:tcPr>
            <w:tcW w:w="670" w:type="pct"/>
          </w:tcPr>
          <w:p w14:paraId="372CD8CD" w14:textId="1F24D95D" w:rsidR="007347EF"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7"/>
                <w14:textFill>
                  <w14:solidFill>
                    <w14:srgbClr w14:val="000000">
                      <w14:alpha w14:val="100000"/>
                    </w14:srgbClr>
                  </w14:solidFill>
                </w14:textFill>
              </w:rPr>
              <w:t>|||</w:t>
            </w:r>
            <w:r w:rsidR="00CD4EA9" w:rsidRPr="00CD4EA9">
              <w:rPr>
                <w:b/>
                <w:color w:val="000000"/>
                <w:spacing w:val="3"/>
                <w:szCs w:val="20"/>
                <w:shd w:val="solid" w:color="000000" w:fill="000000"/>
                <w:fitText w:val="354" w:id="-632121087"/>
                <w14:textFill>
                  <w14:solidFill>
                    <w14:srgbClr w14:val="000000">
                      <w14:alpha w14:val="100000"/>
                    </w14:srgbClr>
                  </w14:solidFill>
                </w14:textFill>
              </w:rPr>
              <w:t>|</w:t>
            </w:r>
          </w:p>
          <w:p w14:paraId="46A43744" w14:textId="752609C5" w:rsidR="009D5476" w:rsidRPr="002E4C03" w:rsidRDefault="007347EF">
            <w:pPr>
              <w:pStyle w:val="TableText"/>
              <w:jc w:val="center"/>
              <w:rPr>
                <w:b/>
                <w:szCs w:val="20"/>
                <w:vertAlign w:val="superscript"/>
              </w:rPr>
            </w:pPr>
            <w:r>
              <w:rPr>
                <w:b/>
                <w:szCs w:val="20"/>
                <w:vertAlign w:val="superscript"/>
              </w:rPr>
              <w:t>22</w:t>
            </w:r>
          </w:p>
        </w:tc>
        <w:tc>
          <w:tcPr>
            <w:tcW w:w="670" w:type="pct"/>
          </w:tcPr>
          <w:p w14:paraId="3000A530" w14:textId="124AFF7A" w:rsidR="007347EF"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6"/>
                <w14:textFill>
                  <w14:solidFill>
                    <w14:srgbClr w14:val="000000">
                      <w14:alpha w14:val="100000"/>
                    </w14:srgbClr>
                  </w14:solidFill>
                </w14:textFill>
              </w:rPr>
              <w:t>|||</w:t>
            </w:r>
            <w:r w:rsidR="00CD4EA9" w:rsidRPr="00CD4EA9">
              <w:rPr>
                <w:b/>
                <w:color w:val="000000"/>
                <w:spacing w:val="3"/>
                <w:szCs w:val="20"/>
                <w:shd w:val="solid" w:color="000000" w:fill="000000"/>
                <w:fitText w:val="354" w:id="-632121086"/>
                <w14:textFill>
                  <w14:solidFill>
                    <w14:srgbClr w14:val="000000">
                      <w14:alpha w14:val="100000"/>
                    </w14:srgbClr>
                  </w14:solidFill>
                </w14:textFill>
              </w:rPr>
              <w:t>|</w:t>
            </w:r>
          </w:p>
          <w:p w14:paraId="24E90997" w14:textId="09887042" w:rsidR="009D5476" w:rsidRPr="002E4C03" w:rsidRDefault="007347EF">
            <w:pPr>
              <w:pStyle w:val="TableText"/>
              <w:jc w:val="center"/>
              <w:rPr>
                <w:b/>
                <w:szCs w:val="20"/>
                <w:vertAlign w:val="superscript"/>
              </w:rPr>
            </w:pPr>
            <w:r>
              <w:rPr>
                <w:b/>
                <w:szCs w:val="20"/>
                <w:vertAlign w:val="superscript"/>
              </w:rPr>
              <w:t>22</w:t>
            </w:r>
          </w:p>
        </w:tc>
        <w:tc>
          <w:tcPr>
            <w:tcW w:w="670" w:type="pct"/>
          </w:tcPr>
          <w:p w14:paraId="6E2B0DC8" w14:textId="17314A22" w:rsidR="007347EF"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5"/>
                <w14:textFill>
                  <w14:solidFill>
                    <w14:srgbClr w14:val="000000">
                      <w14:alpha w14:val="100000"/>
                    </w14:srgbClr>
                  </w14:solidFill>
                </w14:textFill>
              </w:rPr>
              <w:t>|||</w:t>
            </w:r>
            <w:r w:rsidR="00CD4EA9" w:rsidRPr="00CD4EA9">
              <w:rPr>
                <w:b/>
                <w:color w:val="000000"/>
                <w:spacing w:val="3"/>
                <w:szCs w:val="20"/>
                <w:shd w:val="solid" w:color="000000" w:fill="000000"/>
                <w:fitText w:val="354" w:id="-632121085"/>
                <w14:textFill>
                  <w14:solidFill>
                    <w14:srgbClr w14:val="000000">
                      <w14:alpha w14:val="100000"/>
                    </w14:srgbClr>
                  </w14:solidFill>
                </w14:textFill>
              </w:rPr>
              <w:t>|</w:t>
            </w:r>
          </w:p>
          <w:p w14:paraId="1B21B030" w14:textId="2985192E" w:rsidR="009D5476" w:rsidRPr="002E4C03" w:rsidRDefault="007347EF">
            <w:pPr>
              <w:pStyle w:val="TableText"/>
              <w:jc w:val="center"/>
              <w:rPr>
                <w:b/>
                <w:szCs w:val="20"/>
                <w:vertAlign w:val="superscript"/>
              </w:rPr>
            </w:pPr>
            <w:r>
              <w:rPr>
                <w:b/>
                <w:szCs w:val="20"/>
                <w:vertAlign w:val="superscript"/>
              </w:rPr>
              <w:t>22</w:t>
            </w:r>
          </w:p>
        </w:tc>
        <w:tc>
          <w:tcPr>
            <w:tcW w:w="670" w:type="pct"/>
          </w:tcPr>
          <w:p w14:paraId="2A9B0DFC" w14:textId="308A1AEF" w:rsidR="007347EF" w:rsidRDefault="009D5476">
            <w:pPr>
              <w:pStyle w:val="TableText"/>
              <w:jc w:val="center"/>
              <w:rPr>
                <w:b/>
                <w:szCs w:val="20"/>
              </w:rPr>
            </w:pPr>
            <w:r w:rsidRPr="00EE0EEB">
              <w:rPr>
                <w:b/>
                <w:szCs w:val="20"/>
              </w:rPr>
              <w:t>$</w:t>
            </w:r>
            <w:r w:rsidR="00CD4EA9" w:rsidRPr="00CD4EA9">
              <w:rPr>
                <w:b/>
                <w:color w:val="000000"/>
                <w:spacing w:val="56"/>
                <w:szCs w:val="20"/>
                <w:shd w:val="solid" w:color="000000" w:fill="000000"/>
                <w:fitText w:val="354" w:id="-632121084"/>
                <w14:textFill>
                  <w14:solidFill>
                    <w14:srgbClr w14:val="000000">
                      <w14:alpha w14:val="100000"/>
                    </w14:srgbClr>
                  </w14:solidFill>
                </w14:textFill>
              </w:rPr>
              <w:t>|||</w:t>
            </w:r>
            <w:r w:rsidR="00CD4EA9" w:rsidRPr="00CD4EA9">
              <w:rPr>
                <w:b/>
                <w:color w:val="000000"/>
                <w:spacing w:val="3"/>
                <w:szCs w:val="20"/>
                <w:shd w:val="solid" w:color="000000" w:fill="000000"/>
                <w:fitText w:val="354" w:id="-632121084"/>
                <w14:textFill>
                  <w14:solidFill>
                    <w14:srgbClr w14:val="000000">
                      <w14:alpha w14:val="100000"/>
                    </w14:srgbClr>
                  </w14:solidFill>
                </w14:textFill>
              </w:rPr>
              <w:t>|</w:t>
            </w:r>
          </w:p>
          <w:p w14:paraId="7670DC1A" w14:textId="2D00A93C" w:rsidR="009D5476" w:rsidRPr="002E4C03" w:rsidRDefault="007347EF">
            <w:pPr>
              <w:pStyle w:val="TableText"/>
              <w:jc w:val="center"/>
              <w:rPr>
                <w:b/>
                <w:szCs w:val="20"/>
                <w:vertAlign w:val="superscript"/>
              </w:rPr>
            </w:pPr>
            <w:r>
              <w:rPr>
                <w:b/>
                <w:szCs w:val="20"/>
                <w:vertAlign w:val="superscript"/>
              </w:rPr>
              <w:t>22</w:t>
            </w:r>
          </w:p>
        </w:tc>
      </w:tr>
    </w:tbl>
    <w:p w14:paraId="689A3040" w14:textId="77777777" w:rsidR="009D5476" w:rsidRPr="00EE0EEB" w:rsidRDefault="009D5476" w:rsidP="009D5476">
      <w:pPr>
        <w:pStyle w:val="TableFooter"/>
      </w:pPr>
      <w:r w:rsidRPr="00EE0EEB">
        <w:rPr>
          <w:vertAlign w:val="superscript"/>
        </w:rPr>
        <w:t>a</w:t>
      </w:r>
      <w:r w:rsidRPr="00EE0EEB">
        <w:t xml:space="preserve"> Assuming 12.1 scripts per course of treatment (treat to clearance) or 15.4 scripts per course of treatment (full duration treatment) as estimated by the submission.</w:t>
      </w:r>
    </w:p>
    <w:p w14:paraId="217C4FAD" w14:textId="2D1A9AAB" w:rsidR="009D5476" w:rsidRDefault="009D5476" w:rsidP="00AE3FC7">
      <w:pPr>
        <w:pStyle w:val="TableFooter"/>
      </w:pPr>
      <w:r w:rsidRPr="00EE0EEB">
        <w:t>Source: Table 4.22 – Table 4.29, pp317-320 of the resubmission</w:t>
      </w:r>
    </w:p>
    <w:p w14:paraId="2737C391" w14:textId="77777777" w:rsidR="00976E91" w:rsidRPr="0041394B" w:rsidRDefault="00976E91" w:rsidP="00976E91">
      <w:pPr>
        <w:pStyle w:val="TableFooter"/>
        <w:rPr>
          <w:i/>
          <w:iCs/>
        </w:rPr>
      </w:pPr>
      <w:r w:rsidRPr="0041394B">
        <w:rPr>
          <w:i/>
          <w:iCs/>
        </w:rPr>
        <w:t>The redacted values correspond to the following ranges per year:</w:t>
      </w:r>
    </w:p>
    <w:p w14:paraId="21565484" w14:textId="23F60E51" w:rsidR="00976E91" w:rsidRPr="0041394B" w:rsidRDefault="00664C92" w:rsidP="00976E91">
      <w:pPr>
        <w:pStyle w:val="TableFooter"/>
        <w:rPr>
          <w:i/>
          <w:iCs/>
        </w:rPr>
      </w:pPr>
      <w:r w:rsidRPr="0041394B">
        <w:rPr>
          <w:i/>
          <w:iCs/>
          <w:vertAlign w:val="superscript"/>
        </w:rPr>
        <w:t>1</w:t>
      </w:r>
      <w:r w:rsidR="00976E91" w:rsidRPr="0041394B">
        <w:rPr>
          <w:i/>
          <w:iCs/>
        </w:rPr>
        <w:t xml:space="preserve"> </w:t>
      </w:r>
      <w:r w:rsidR="00BF5D57" w:rsidRPr="00BF5D57">
        <w:rPr>
          <w:i/>
          <w:iCs/>
        </w:rPr>
        <w:t>30,000 to &lt; 40,000</w:t>
      </w:r>
    </w:p>
    <w:p w14:paraId="07F50055" w14:textId="32EF6907" w:rsidR="00976E91" w:rsidRPr="0041394B" w:rsidRDefault="00664C92" w:rsidP="00976E91">
      <w:pPr>
        <w:pStyle w:val="TableFooter"/>
        <w:rPr>
          <w:i/>
          <w:iCs/>
        </w:rPr>
      </w:pPr>
      <w:r w:rsidRPr="0041394B">
        <w:rPr>
          <w:i/>
          <w:iCs/>
          <w:vertAlign w:val="superscript"/>
        </w:rPr>
        <w:t>2</w:t>
      </w:r>
      <w:r w:rsidR="00BF5D57">
        <w:rPr>
          <w:i/>
          <w:iCs/>
          <w:vertAlign w:val="superscript"/>
        </w:rPr>
        <w:t xml:space="preserve"> </w:t>
      </w:r>
      <w:r w:rsidR="0073085C" w:rsidRPr="0073085C">
        <w:rPr>
          <w:i/>
          <w:iCs/>
        </w:rPr>
        <w:t>40,000 to &lt; 50,000</w:t>
      </w:r>
    </w:p>
    <w:p w14:paraId="5A2446ED" w14:textId="078646B2" w:rsidR="00976E91" w:rsidRPr="0041394B" w:rsidRDefault="0073085C" w:rsidP="00976E91">
      <w:pPr>
        <w:pStyle w:val="TableFooter"/>
        <w:rPr>
          <w:i/>
          <w:iCs/>
        </w:rPr>
      </w:pPr>
      <w:r>
        <w:rPr>
          <w:i/>
          <w:iCs/>
          <w:vertAlign w:val="superscript"/>
        </w:rPr>
        <w:t>3</w:t>
      </w:r>
      <w:r w:rsidR="00664C92" w:rsidRPr="0041394B">
        <w:rPr>
          <w:i/>
          <w:iCs/>
          <w:vertAlign w:val="superscript"/>
        </w:rPr>
        <w:t xml:space="preserve"> </w:t>
      </w:r>
      <w:r w:rsidR="00854C1D" w:rsidRPr="00854C1D">
        <w:rPr>
          <w:i/>
          <w:iCs/>
        </w:rPr>
        <w:t>50,000 to &lt; 60,000</w:t>
      </w:r>
      <w:r w:rsidR="0065767B">
        <w:rPr>
          <w:i/>
          <w:iCs/>
          <w:vertAlign w:val="superscript"/>
        </w:rPr>
        <w:t>4</w:t>
      </w:r>
      <w:r w:rsidR="00976E91" w:rsidRPr="0041394B">
        <w:rPr>
          <w:i/>
          <w:iCs/>
          <w:vertAlign w:val="superscript"/>
        </w:rPr>
        <w:t xml:space="preserve"> </w:t>
      </w:r>
      <w:r w:rsidR="00E63543" w:rsidRPr="00E63543">
        <w:rPr>
          <w:i/>
          <w:iCs/>
        </w:rPr>
        <w:t>60,000 to &lt; 70,000</w:t>
      </w:r>
    </w:p>
    <w:p w14:paraId="165058B9" w14:textId="294BBC73" w:rsidR="00976E91" w:rsidRPr="0041394B" w:rsidRDefault="00D70FF0" w:rsidP="00976E91">
      <w:pPr>
        <w:pStyle w:val="TableFooter"/>
        <w:rPr>
          <w:i/>
          <w:iCs/>
        </w:rPr>
      </w:pPr>
      <w:r>
        <w:rPr>
          <w:i/>
          <w:iCs/>
          <w:vertAlign w:val="superscript"/>
        </w:rPr>
        <w:t>5</w:t>
      </w:r>
      <w:r w:rsidR="00976E91" w:rsidRPr="0041394B">
        <w:rPr>
          <w:i/>
          <w:iCs/>
        </w:rPr>
        <w:t xml:space="preserve"> </w:t>
      </w:r>
      <w:r w:rsidRPr="00D70FF0">
        <w:rPr>
          <w:i/>
          <w:iCs/>
        </w:rPr>
        <w:t>70,000 to &lt; 80,000</w:t>
      </w:r>
      <w:r w:rsidR="00E218E2">
        <w:rPr>
          <w:i/>
          <w:iCs/>
          <w:vertAlign w:val="superscript"/>
        </w:rPr>
        <w:t>6</w:t>
      </w:r>
      <w:r w:rsidR="00976E91" w:rsidRPr="0041394B">
        <w:rPr>
          <w:i/>
          <w:iCs/>
          <w:vertAlign w:val="superscript"/>
        </w:rPr>
        <w:t xml:space="preserve"> </w:t>
      </w:r>
      <w:r w:rsidR="00E218E2" w:rsidRPr="00E218E2">
        <w:rPr>
          <w:i/>
          <w:iCs/>
        </w:rPr>
        <w:t>80,000 to &lt; 90,000</w:t>
      </w:r>
      <w:r w:rsidR="00CD651B">
        <w:rPr>
          <w:i/>
          <w:iCs/>
          <w:vertAlign w:val="superscript"/>
        </w:rPr>
        <w:t>7</w:t>
      </w:r>
      <w:r w:rsidR="00976E91" w:rsidRPr="0041394B">
        <w:rPr>
          <w:i/>
          <w:iCs/>
        </w:rPr>
        <w:t xml:space="preserve"> </w:t>
      </w:r>
      <w:r w:rsidR="00CD651B" w:rsidRPr="00CD651B">
        <w:rPr>
          <w:i/>
          <w:iCs/>
        </w:rPr>
        <w:t>20,000 to &lt; 30,000</w:t>
      </w:r>
    </w:p>
    <w:p w14:paraId="23685BFE" w14:textId="44A47A6A" w:rsidR="00976E91" w:rsidRPr="0041394B" w:rsidRDefault="00A3095E" w:rsidP="00976E91">
      <w:pPr>
        <w:pStyle w:val="TableFooter"/>
        <w:rPr>
          <w:i/>
          <w:iCs/>
        </w:rPr>
      </w:pPr>
      <w:r>
        <w:rPr>
          <w:i/>
          <w:iCs/>
          <w:vertAlign w:val="superscript"/>
        </w:rPr>
        <w:t>8</w:t>
      </w:r>
      <w:r w:rsidR="00F44E72" w:rsidRPr="0041394B">
        <w:rPr>
          <w:i/>
          <w:iCs/>
          <w:vertAlign w:val="superscript"/>
        </w:rPr>
        <w:t xml:space="preserve"> </w:t>
      </w:r>
      <w:r w:rsidR="006B33EA" w:rsidRPr="006B33EA">
        <w:rPr>
          <w:i/>
          <w:iCs/>
        </w:rPr>
        <w:t>10,000 to &lt; 20,000</w:t>
      </w:r>
    </w:p>
    <w:p w14:paraId="759DEE3F" w14:textId="3F4EAA97" w:rsidR="00976E91" w:rsidRDefault="00FF74D7" w:rsidP="00976E91">
      <w:pPr>
        <w:pStyle w:val="TableFooter"/>
        <w:rPr>
          <w:i/>
          <w:iCs/>
        </w:rPr>
      </w:pPr>
      <w:r>
        <w:rPr>
          <w:i/>
          <w:iCs/>
          <w:vertAlign w:val="superscript"/>
        </w:rPr>
        <w:t>9</w:t>
      </w:r>
      <w:r w:rsidR="00976E91" w:rsidRPr="0041394B">
        <w:rPr>
          <w:i/>
          <w:iCs/>
          <w:vertAlign w:val="superscript"/>
        </w:rPr>
        <w:t xml:space="preserve"> </w:t>
      </w:r>
      <w:r w:rsidRPr="00FF74D7">
        <w:rPr>
          <w:i/>
          <w:iCs/>
        </w:rPr>
        <w:t>200,000 to &lt; 300,000</w:t>
      </w:r>
    </w:p>
    <w:p w14:paraId="0B65920A" w14:textId="04F470AB" w:rsidR="00FF74D7" w:rsidRDefault="00FF74D7" w:rsidP="00976E91">
      <w:pPr>
        <w:pStyle w:val="TableFooter"/>
        <w:rPr>
          <w:i/>
          <w:iCs/>
        </w:rPr>
      </w:pPr>
      <w:r>
        <w:rPr>
          <w:i/>
          <w:iCs/>
          <w:vertAlign w:val="superscript"/>
        </w:rPr>
        <w:t>10</w:t>
      </w:r>
      <w:r>
        <w:rPr>
          <w:i/>
          <w:iCs/>
        </w:rPr>
        <w:t xml:space="preserve"> </w:t>
      </w:r>
      <w:r w:rsidR="003A2152" w:rsidRPr="003A2152">
        <w:rPr>
          <w:i/>
          <w:iCs/>
        </w:rPr>
        <w:t>300,000 to &lt; 400,000</w:t>
      </w:r>
    </w:p>
    <w:p w14:paraId="5BD7317B" w14:textId="16C7F1B8" w:rsidR="003A2152" w:rsidRDefault="003A2152" w:rsidP="00976E91">
      <w:pPr>
        <w:pStyle w:val="TableFooter"/>
        <w:rPr>
          <w:i/>
          <w:iCs/>
        </w:rPr>
      </w:pPr>
      <w:r>
        <w:rPr>
          <w:i/>
          <w:iCs/>
          <w:vertAlign w:val="superscript"/>
        </w:rPr>
        <w:t xml:space="preserve">11 </w:t>
      </w:r>
      <w:r w:rsidR="00EB203D" w:rsidRPr="00EB203D">
        <w:rPr>
          <w:i/>
          <w:iCs/>
        </w:rPr>
        <w:t>400,000 to &lt; 500,000</w:t>
      </w:r>
    </w:p>
    <w:p w14:paraId="2A30D806" w14:textId="49D3BB67" w:rsidR="00EB203D" w:rsidRDefault="00EB203D" w:rsidP="00976E91">
      <w:pPr>
        <w:pStyle w:val="TableFooter"/>
        <w:rPr>
          <w:i/>
          <w:iCs/>
        </w:rPr>
      </w:pPr>
      <w:r>
        <w:rPr>
          <w:i/>
          <w:iCs/>
          <w:vertAlign w:val="superscript"/>
        </w:rPr>
        <w:t>12</w:t>
      </w:r>
      <w:r>
        <w:rPr>
          <w:i/>
          <w:iCs/>
        </w:rPr>
        <w:t xml:space="preserve"> </w:t>
      </w:r>
      <w:r w:rsidR="00F82830" w:rsidRPr="00F82830">
        <w:rPr>
          <w:i/>
          <w:iCs/>
        </w:rPr>
        <w:t>500,000 to &lt; 600,000</w:t>
      </w:r>
    </w:p>
    <w:p w14:paraId="5C3A05E0" w14:textId="2187B09C" w:rsidR="00F82830" w:rsidRDefault="00F82830" w:rsidP="00976E91">
      <w:pPr>
        <w:pStyle w:val="TableFooter"/>
        <w:rPr>
          <w:i/>
          <w:iCs/>
        </w:rPr>
      </w:pPr>
      <w:r>
        <w:rPr>
          <w:i/>
          <w:iCs/>
          <w:vertAlign w:val="superscript"/>
        </w:rPr>
        <w:t>13</w:t>
      </w:r>
      <w:r>
        <w:rPr>
          <w:i/>
          <w:iCs/>
        </w:rPr>
        <w:t xml:space="preserve"> </w:t>
      </w:r>
      <w:r w:rsidR="00F04035" w:rsidRPr="00F04035">
        <w:rPr>
          <w:i/>
          <w:iCs/>
        </w:rPr>
        <w:t>600,000 to &lt; 700,000</w:t>
      </w:r>
    </w:p>
    <w:p w14:paraId="25674F57" w14:textId="4EBDD6F3" w:rsidR="006F5E55" w:rsidRDefault="006F5E55" w:rsidP="00976E91">
      <w:pPr>
        <w:pStyle w:val="TableFooter"/>
        <w:rPr>
          <w:i/>
          <w:iCs/>
        </w:rPr>
      </w:pPr>
      <w:r>
        <w:rPr>
          <w:i/>
          <w:iCs/>
          <w:vertAlign w:val="superscript"/>
        </w:rPr>
        <w:t xml:space="preserve">14 </w:t>
      </w:r>
      <w:r w:rsidRPr="006F5E55">
        <w:rPr>
          <w:i/>
          <w:iCs/>
        </w:rPr>
        <w:t>700,000 to &lt; 800,000</w:t>
      </w:r>
    </w:p>
    <w:p w14:paraId="3E83541D" w14:textId="08A92717" w:rsidR="0063066D" w:rsidRDefault="0063066D" w:rsidP="00976E91">
      <w:pPr>
        <w:pStyle w:val="TableFooter"/>
        <w:rPr>
          <w:i/>
          <w:iCs/>
        </w:rPr>
      </w:pPr>
      <w:r>
        <w:rPr>
          <w:i/>
          <w:iCs/>
          <w:vertAlign w:val="superscript"/>
        </w:rPr>
        <w:t xml:space="preserve">15 </w:t>
      </w:r>
      <w:r w:rsidRPr="0063066D">
        <w:rPr>
          <w:i/>
          <w:iCs/>
        </w:rPr>
        <w:t>$0 to &lt; $10 million</w:t>
      </w:r>
    </w:p>
    <w:p w14:paraId="6284C0BF" w14:textId="531323D8" w:rsidR="00E825E7" w:rsidRDefault="00E825E7" w:rsidP="00976E91">
      <w:pPr>
        <w:pStyle w:val="TableFooter"/>
        <w:rPr>
          <w:i/>
          <w:iCs/>
        </w:rPr>
      </w:pPr>
      <w:r>
        <w:rPr>
          <w:i/>
          <w:iCs/>
          <w:vertAlign w:val="superscript"/>
        </w:rPr>
        <w:t>16</w:t>
      </w:r>
      <w:r>
        <w:rPr>
          <w:i/>
          <w:iCs/>
        </w:rPr>
        <w:t xml:space="preserve"> </w:t>
      </w:r>
      <w:r w:rsidRPr="00E825E7">
        <w:rPr>
          <w:i/>
          <w:iCs/>
        </w:rPr>
        <w:t>$10 million to &lt; $20 million</w:t>
      </w:r>
    </w:p>
    <w:p w14:paraId="5ECDCC07" w14:textId="77777777" w:rsidR="00076B19" w:rsidRDefault="00076B19" w:rsidP="00076B19">
      <w:pPr>
        <w:pStyle w:val="TableFooter"/>
        <w:rPr>
          <w:i/>
          <w:iCs/>
        </w:rPr>
      </w:pPr>
      <w:r>
        <w:rPr>
          <w:i/>
          <w:iCs/>
          <w:vertAlign w:val="superscript"/>
        </w:rPr>
        <w:t>17</w:t>
      </w:r>
      <w:r>
        <w:rPr>
          <w:i/>
          <w:iCs/>
        </w:rPr>
        <w:t xml:space="preserve"> </w:t>
      </w:r>
      <w:r w:rsidRPr="00076B19">
        <w:rPr>
          <w:i/>
          <w:iCs/>
        </w:rPr>
        <w:t>$50 million to &lt; $60 million</w:t>
      </w:r>
    </w:p>
    <w:p w14:paraId="11ABFEB2" w14:textId="77777777" w:rsidR="007E0808" w:rsidRDefault="007E0808" w:rsidP="007E0808">
      <w:pPr>
        <w:pStyle w:val="TableFooter"/>
        <w:rPr>
          <w:i/>
          <w:iCs/>
        </w:rPr>
      </w:pPr>
      <w:r>
        <w:rPr>
          <w:i/>
          <w:iCs/>
          <w:vertAlign w:val="superscript"/>
        </w:rPr>
        <w:t>18</w:t>
      </w:r>
      <w:r>
        <w:rPr>
          <w:i/>
          <w:iCs/>
        </w:rPr>
        <w:t xml:space="preserve"> </w:t>
      </w:r>
      <w:r w:rsidRPr="007E0808">
        <w:rPr>
          <w:i/>
          <w:iCs/>
        </w:rPr>
        <w:t>$60 million to &lt; $70 million</w:t>
      </w:r>
    </w:p>
    <w:p w14:paraId="336E8298" w14:textId="77777777" w:rsidR="001F37E5" w:rsidRDefault="001F37E5" w:rsidP="001F37E5">
      <w:pPr>
        <w:pStyle w:val="TableFooter"/>
        <w:rPr>
          <w:i/>
          <w:iCs/>
        </w:rPr>
      </w:pPr>
      <w:r>
        <w:rPr>
          <w:i/>
          <w:iCs/>
          <w:vertAlign w:val="superscript"/>
        </w:rPr>
        <w:t xml:space="preserve">19 </w:t>
      </w:r>
      <w:r w:rsidRPr="001F37E5">
        <w:rPr>
          <w:i/>
          <w:iCs/>
        </w:rPr>
        <w:t>$70 million to &lt; $80 million</w:t>
      </w:r>
    </w:p>
    <w:p w14:paraId="30E37C3B" w14:textId="77777777" w:rsidR="009B7C86" w:rsidRDefault="009B7C86" w:rsidP="009B7C86">
      <w:pPr>
        <w:pStyle w:val="TableFooter"/>
        <w:rPr>
          <w:i/>
          <w:iCs/>
        </w:rPr>
      </w:pPr>
      <w:r>
        <w:rPr>
          <w:i/>
          <w:iCs/>
          <w:vertAlign w:val="superscript"/>
        </w:rPr>
        <w:t xml:space="preserve">20 </w:t>
      </w:r>
      <w:r w:rsidRPr="009B7C86">
        <w:rPr>
          <w:i/>
          <w:iCs/>
        </w:rPr>
        <w:t>$90 million to &lt; $100 million</w:t>
      </w:r>
    </w:p>
    <w:p w14:paraId="486D29C8" w14:textId="77777777" w:rsidR="00847078" w:rsidRDefault="00847078" w:rsidP="00847078">
      <w:pPr>
        <w:pStyle w:val="TableFooter"/>
        <w:rPr>
          <w:i/>
          <w:iCs/>
        </w:rPr>
      </w:pPr>
      <w:r>
        <w:rPr>
          <w:i/>
          <w:iCs/>
          <w:vertAlign w:val="superscript"/>
        </w:rPr>
        <w:t xml:space="preserve">21 </w:t>
      </w:r>
      <w:r w:rsidRPr="00847078">
        <w:rPr>
          <w:i/>
          <w:iCs/>
        </w:rPr>
        <w:t>$100 million to &lt; $200 million</w:t>
      </w:r>
    </w:p>
    <w:p w14:paraId="7DF87327" w14:textId="1A1FCEC4" w:rsidR="004D3738" w:rsidRDefault="004D3738" w:rsidP="00847078">
      <w:pPr>
        <w:pStyle w:val="TableFooter"/>
        <w:rPr>
          <w:i/>
          <w:iCs/>
        </w:rPr>
      </w:pPr>
      <w:r>
        <w:rPr>
          <w:i/>
          <w:iCs/>
          <w:vertAlign w:val="superscript"/>
        </w:rPr>
        <w:t>22</w:t>
      </w:r>
      <w:r>
        <w:rPr>
          <w:i/>
          <w:iCs/>
        </w:rPr>
        <w:t xml:space="preserve"> </w:t>
      </w:r>
      <w:r w:rsidR="00EC2CBE" w:rsidRPr="00EC2CBE">
        <w:rPr>
          <w:i/>
          <w:iCs/>
        </w:rPr>
        <w:t>&gt; $1 billion</w:t>
      </w:r>
    </w:p>
    <w:p w14:paraId="559A2325" w14:textId="2E8A2A53" w:rsidR="00EC2CBE" w:rsidRDefault="00EC2CBE" w:rsidP="00847078">
      <w:pPr>
        <w:pStyle w:val="TableFooter"/>
        <w:rPr>
          <w:i/>
          <w:iCs/>
        </w:rPr>
      </w:pPr>
      <w:r>
        <w:rPr>
          <w:i/>
          <w:iCs/>
          <w:vertAlign w:val="superscript"/>
        </w:rPr>
        <w:t>23</w:t>
      </w:r>
      <w:r>
        <w:rPr>
          <w:i/>
          <w:iCs/>
        </w:rPr>
        <w:t xml:space="preserve"> </w:t>
      </w:r>
      <w:r w:rsidR="00632F5B" w:rsidRPr="00632F5B">
        <w:rPr>
          <w:i/>
          <w:iCs/>
        </w:rPr>
        <w:t>$30 million to &lt; $40 million</w:t>
      </w:r>
    </w:p>
    <w:p w14:paraId="6024E7E9" w14:textId="77777777" w:rsidR="00B467EF" w:rsidRDefault="00B467EF" w:rsidP="00B467EF">
      <w:pPr>
        <w:pStyle w:val="TableFooter"/>
        <w:rPr>
          <w:i/>
          <w:iCs/>
        </w:rPr>
      </w:pPr>
      <w:r>
        <w:rPr>
          <w:i/>
          <w:iCs/>
          <w:vertAlign w:val="superscript"/>
        </w:rPr>
        <w:t xml:space="preserve">24 </w:t>
      </w:r>
      <w:r w:rsidRPr="00B467EF">
        <w:rPr>
          <w:i/>
          <w:iCs/>
        </w:rPr>
        <w:t>$40 million to &lt; $50 million</w:t>
      </w:r>
    </w:p>
    <w:p w14:paraId="486A89D5" w14:textId="77777777" w:rsidR="00362147" w:rsidRDefault="00362147" w:rsidP="00362147">
      <w:pPr>
        <w:pStyle w:val="TableFooter"/>
        <w:rPr>
          <w:i/>
          <w:iCs/>
        </w:rPr>
      </w:pPr>
      <w:r>
        <w:rPr>
          <w:i/>
          <w:iCs/>
          <w:vertAlign w:val="superscript"/>
        </w:rPr>
        <w:t xml:space="preserve">25 </w:t>
      </w:r>
      <w:r w:rsidRPr="00362147">
        <w:rPr>
          <w:i/>
          <w:iCs/>
        </w:rPr>
        <w:t>$20 million to &lt; $30 million</w:t>
      </w:r>
    </w:p>
    <w:p w14:paraId="6715AFA2" w14:textId="77777777" w:rsidR="00D31D8A" w:rsidRDefault="00D31D8A" w:rsidP="00D31D8A">
      <w:pPr>
        <w:pStyle w:val="TableFooter"/>
        <w:rPr>
          <w:i/>
          <w:iCs/>
        </w:rPr>
      </w:pPr>
      <w:r>
        <w:rPr>
          <w:i/>
          <w:iCs/>
          <w:vertAlign w:val="superscript"/>
        </w:rPr>
        <w:t xml:space="preserve">26 </w:t>
      </w:r>
      <w:r w:rsidRPr="00D31D8A">
        <w:rPr>
          <w:i/>
          <w:iCs/>
        </w:rPr>
        <w:t>$200 million to &lt; $300 million</w:t>
      </w:r>
    </w:p>
    <w:p w14:paraId="091BB5FC" w14:textId="27E4164C" w:rsidR="00076B19" w:rsidRPr="00076B19" w:rsidRDefault="00D31D8A" w:rsidP="00976E91">
      <w:pPr>
        <w:pStyle w:val="TableFooter"/>
        <w:rPr>
          <w:i/>
          <w:iCs/>
        </w:rPr>
      </w:pPr>
      <w:r>
        <w:rPr>
          <w:i/>
          <w:iCs/>
          <w:vertAlign w:val="superscript"/>
        </w:rPr>
        <w:t>27</w:t>
      </w:r>
      <w:r>
        <w:rPr>
          <w:i/>
          <w:iCs/>
        </w:rPr>
        <w:t xml:space="preserve"> </w:t>
      </w:r>
      <w:r w:rsidR="00E3171D" w:rsidRPr="00E3171D">
        <w:rPr>
          <w:i/>
          <w:iCs/>
        </w:rPr>
        <w:t>$300 million to &lt; $400 million</w:t>
      </w:r>
    </w:p>
    <w:p w14:paraId="1D1C0311" w14:textId="77777777" w:rsidR="00AE3FC7" w:rsidRDefault="00AE3FC7" w:rsidP="00AE3FC7">
      <w:pPr>
        <w:pStyle w:val="TableFooter"/>
      </w:pPr>
    </w:p>
    <w:p w14:paraId="2D555E6E" w14:textId="3B9949F6" w:rsidR="009D5476" w:rsidRPr="00AE3FC7" w:rsidRDefault="009D5476" w:rsidP="00DD02B1">
      <w:pPr>
        <w:pStyle w:val="3-BodyText"/>
        <w:keepNext/>
        <w:numPr>
          <w:ilvl w:val="1"/>
          <w:numId w:val="23"/>
        </w:numPr>
        <w:spacing w:before="60" w:after="60"/>
        <w:ind w:left="709" w:hanging="709"/>
      </w:pPr>
      <w:r w:rsidRPr="009D5476">
        <w:t xml:space="preserve">The total </w:t>
      </w:r>
      <w:r w:rsidRPr="00AE3FC7">
        <w:t xml:space="preserve">cost to the PBS/RPBS of listing donanemab was estimated to be </w:t>
      </w:r>
      <w:r w:rsidR="00896A2A">
        <w:t>&gt;</w:t>
      </w:r>
      <w:r w:rsidR="00EE6D7B">
        <w:t xml:space="preserve"> $1 bi</w:t>
      </w:r>
      <w:r w:rsidR="00225347">
        <w:t>l</w:t>
      </w:r>
      <w:r w:rsidR="00EE6D7B">
        <w:t xml:space="preserve">lion </w:t>
      </w:r>
      <w:r w:rsidRPr="00AE3FC7">
        <w:t xml:space="preserve">in Year 6, and a total </w:t>
      </w:r>
      <w:r w:rsidRPr="00225347">
        <w:t xml:space="preserve">of  </w:t>
      </w:r>
      <w:r w:rsidR="00EE6D7B" w:rsidRPr="00225347">
        <w:t>&gt; $</w:t>
      </w:r>
      <w:r w:rsidR="00EE6D7B">
        <w:t xml:space="preserve">1 billion </w:t>
      </w:r>
      <w:r w:rsidRPr="00AE3FC7">
        <w:t xml:space="preserve">in the first 6 years of listing. </w:t>
      </w:r>
    </w:p>
    <w:p w14:paraId="4D8ABA7E" w14:textId="1A4A1204" w:rsidR="009D5476" w:rsidRPr="00AE3FC7" w:rsidRDefault="009D5476" w:rsidP="00DD02B1">
      <w:pPr>
        <w:pStyle w:val="3-BodyText"/>
        <w:keepNext/>
        <w:numPr>
          <w:ilvl w:val="1"/>
          <w:numId w:val="23"/>
        </w:numPr>
        <w:spacing w:before="60" w:after="60"/>
        <w:ind w:left="709" w:hanging="709"/>
      </w:pPr>
      <w:r w:rsidRPr="00AE3FC7">
        <w:t xml:space="preserve">The </w:t>
      </w:r>
      <w:r w:rsidR="007C528F" w:rsidRPr="00AE3FC7">
        <w:t xml:space="preserve">DUSC noted that the </w:t>
      </w:r>
      <w:r w:rsidRPr="00AE3FC7">
        <w:t xml:space="preserve">calculation of PBS/RPBS impact </w:t>
      </w:r>
      <w:r w:rsidR="00926596" w:rsidRPr="00AE3FC7">
        <w:t>was uncertain as it was</w:t>
      </w:r>
      <w:r w:rsidRPr="00AE3FC7">
        <w:t xml:space="preserve"> distorted by three key factors: overestimation of the patient population, overestimation of the medicine cost in the initial phase of treatment, underestimation of the number </w:t>
      </w:r>
      <w:r w:rsidR="00B91868">
        <w:t xml:space="preserve">of </w:t>
      </w:r>
      <w:r w:rsidRPr="00AE3FC7">
        <w:t>scripts required for treatment.</w:t>
      </w:r>
    </w:p>
    <w:p w14:paraId="2B40E00D" w14:textId="77777777" w:rsidR="009D5476" w:rsidRPr="00AE3FC7" w:rsidRDefault="009D5476" w:rsidP="00DD02B1">
      <w:pPr>
        <w:pStyle w:val="3-BodyText"/>
        <w:keepNext/>
        <w:numPr>
          <w:ilvl w:val="1"/>
          <w:numId w:val="23"/>
        </w:numPr>
        <w:spacing w:before="60" w:after="60"/>
        <w:ind w:left="709" w:hanging="709"/>
      </w:pPr>
      <w:r w:rsidRPr="00AE3FC7">
        <w:t>The submission used an epidemiological approach to calculate script and service volumes. The patient population was derived from the estimated system capacity to assess potential patients. The foundation of this derivation was the number of treating facilities, the number of clinics held and the number of patients a clinic can treat in a working week. A growth rate in the number of facilities and patient treatment days was then applied across the six years of the model. The submission assumed that private facilities were able to see twice as many patients each day as public facilities, based on the reported waiting times in each type of clinic.</w:t>
      </w:r>
    </w:p>
    <w:p w14:paraId="4B37DEDE" w14:textId="754CCEE8" w:rsidR="009D5476" w:rsidRPr="00AE3FC7" w:rsidRDefault="009D5476" w:rsidP="00DD02B1">
      <w:pPr>
        <w:pStyle w:val="3-BodyText"/>
        <w:keepNext/>
        <w:numPr>
          <w:ilvl w:val="1"/>
          <w:numId w:val="23"/>
        </w:numPr>
        <w:spacing w:before="60" w:after="60"/>
        <w:ind w:left="709" w:hanging="709"/>
      </w:pPr>
      <w:r w:rsidRPr="00AE3FC7">
        <w:t xml:space="preserve">In a resource constrained system, it is reasonable to apply the constraint as a rate limiting step in system throughput. However, the </w:t>
      </w:r>
      <w:r w:rsidR="00B75C5E" w:rsidRPr="00AE3FC7">
        <w:t xml:space="preserve">DUSC noted that the </w:t>
      </w:r>
      <w:r w:rsidRPr="00AE3FC7">
        <w:t>results do not appear to be plausible for the number of facilities or the treatment days provided by private facilities.</w:t>
      </w:r>
    </w:p>
    <w:p w14:paraId="6B7BAAB0" w14:textId="77777777" w:rsidR="009E3CDB" w:rsidRPr="00AE3FC7" w:rsidRDefault="009D5476" w:rsidP="00DD02B1">
      <w:pPr>
        <w:pStyle w:val="3-BodyText"/>
        <w:keepNext/>
        <w:numPr>
          <w:ilvl w:val="1"/>
          <w:numId w:val="23"/>
        </w:numPr>
        <w:spacing w:before="60" w:after="60"/>
        <w:ind w:left="709" w:hanging="709"/>
        <w:rPr>
          <w:i/>
          <w:iCs/>
        </w:rPr>
      </w:pPr>
      <w:r w:rsidRPr="00AE3FC7">
        <w:t xml:space="preserve">The growth rate in the number of facilities is assumed to be the same as the growth rate in the number of neurologists and geriatricians. This is only valid if practitioners </w:t>
      </w:r>
      <w:r w:rsidRPr="00AE3FC7">
        <w:lastRenderedPageBreak/>
        <w:t>are sole practitioners in individual facilities or the “clinics” referred to in the submission are individual practitioners. The submission did not provide any evidence to support this assumption</w:t>
      </w:r>
      <w:r w:rsidR="00A735C0" w:rsidRPr="00AE3FC7">
        <w:t xml:space="preserve">. </w:t>
      </w:r>
    </w:p>
    <w:p w14:paraId="6125F6F1" w14:textId="3EC71597" w:rsidR="00A735C0" w:rsidRPr="00AE3FC7" w:rsidRDefault="009D5476" w:rsidP="00DD02B1">
      <w:pPr>
        <w:pStyle w:val="3-BodyText"/>
        <w:keepNext/>
        <w:numPr>
          <w:ilvl w:val="1"/>
          <w:numId w:val="23"/>
        </w:numPr>
        <w:spacing w:before="60" w:after="60"/>
        <w:ind w:left="709" w:hanging="709"/>
      </w:pPr>
      <w:r w:rsidRPr="00AE3FC7">
        <w:t>The assumption that private facilities can see twice as many patients as public facilities coupled with an assumed 8% annual growth rate in daily patient consultations results in private facilities devoting more than 92% of their available time to assessing these patients by the model’s sixth year. This would effectively leave no time for the on-going management of existing patients and the impossibility of treating any patient with an alternative condition.</w:t>
      </w:r>
      <w:r w:rsidR="00A735C0" w:rsidRPr="00AE3FC7">
        <w:t xml:space="preserve"> </w:t>
      </w:r>
      <w:r w:rsidR="009E3CDB" w:rsidRPr="00AE3FC7">
        <w:t xml:space="preserve">The </w:t>
      </w:r>
      <w:r w:rsidR="00A735C0" w:rsidRPr="00AE3FC7">
        <w:t>DUSC considered that the assumption</w:t>
      </w:r>
      <w:r w:rsidR="009E3CDB" w:rsidRPr="00AE3FC7">
        <w:t xml:space="preserve">s surrounding the </w:t>
      </w:r>
      <w:r w:rsidR="00A735C0" w:rsidRPr="00AE3FC7">
        <w:t xml:space="preserve">capacity of private clinics </w:t>
      </w:r>
      <w:r w:rsidR="009E3CDB" w:rsidRPr="00AE3FC7">
        <w:t>was</w:t>
      </w:r>
      <w:r w:rsidR="00A735C0" w:rsidRPr="00AE3FC7">
        <w:t xml:space="preserve"> likely overestimated</w:t>
      </w:r>
      <w:r w:rsidR="009E3CDB" w:rsidRPr="00AE3FC7">
        <w:t xml:space="preserve"> and </w:t>
      </w:r>
      <w:r w:rsidR="00A735C0" w:rsidRPr="00AE3FC7">
        <w:t xml:space="preserve">the estimates of growth in memory clinic capacity over time likely underestimated. </w:t>
      </w:r>
      <w:r w:rsidR="009E3CDB" w:rsidRPr="00AE3FC7">
        <w:t>The</w:t>
      </w:r>
      <w:r w:rsidR="00A735C0" w:rsidRPr="00AE3FC7">
        <w:t xml:space="preserve"> DUSC also noted that while system capacity restraints were used to inform capacity for MMSE testing, system capacity constraints were not considered for eligibility testing or for monitoring tests.</w:t>
      </w:r>
    </w:p>
    <w:p w14:paraId="685C013C" w14:textId="77777777" w:rsidR="009D5476" w:rsidRPr="00AE3FC7" w:rsidRDefault="009D5476" w:rsidP="00DD02B1">
      <w:pPr>
        <w:pStyle w:val="3-BodyText"/>
        <w:keepNext/>
        <w:numPr>
          <w:ilvl w:val="1"/>
          <w:numId w:val="23"/>
        </w:numPr>
        <w:spacing w:before="60" w:after="60"/>
        <w:ind w:left="709" w:hanging="709"/>
      </w:pPr>
      <w:r w:rsidRPr="00AE3FC7">
        <w:t>The script volume provided by the submission assumes three treatment phases: initial, continuing 1 and continuing 2. The submission proposed these phases to align with the potential treatment cessation points in the treat to clear treatment algorithm. Using these parameters, in the first three dispensing of the initial phase of treatment, twice as much medication is dispensed as is required. This significantly overestimates the cost to the PBS/RPBS.</w:t>
      </w:r>
    </w:p>
    <w:p w14:paraId="7CFBEA8C" w14:textId="77777777" w:rsidR="0008002E" w:rsidRPr="00EE0EEB" w:rsidRDefault="0008002E" w:rsidP="0008002E">
      <w:pPr>
        <w:pStyle w:val="4-SubsectionHeading"/>
      </w:pPr>
      <w:r w:rsidRPr="00EE0EEB">
        <w:t>Quality use of medicines</w:t>
      </w:r>
    </w:p>
    <w:p w14:paraId="67BF6D8E" w14:textId="1780BFA8" w:rsidR="00DB67A7" w:rsidRPr="00AE3FC7" w:rsidRDefault="0008002E" w:rsidP="00DD02B1">
      <w:pPr>
        <w:pStyle w:val="3-BodyText"/>
        <w:numPr>
          <w:ilvl w:val="1"/>
          <w:numId w:val="23"/>
        </w:numPr>
        <w:spacing w:before="60" w:after="60"/>
        <w:ind w:left="709" w:hanging="709"/>
        <w:rPr>
          <w:i/>
          <w:iCs/>
        </w:rPr>
      </w:pPr>
      <w:r w:rsidRPr="00AE3FC7">
        <w:t xml:space="preserve">The submission indicated that the sponsor would implement a range of activities supporting the quality use of medicines with the listing of donanemab. These include online medical education modules, scientific meetings, health education symposia held in conjunction with relevant national conferences. </w:t>
      </w:r>
    </w:p>
    <w:p w14:paraId="381924EF" w14:textId="02B73757" w:rsidR="00675069" w:rsidRPr="00AE3FC7" w:rsidRDefault="00675069" w:rsidP="00DD02B1">
      <w:pPr>
        <w:pStyle w:val="3-BodyText"/>
        <w:numPr>
          <w:ilvl w:val="1"/>
          <w:numId w:val="23"/>
        </w:numPr>
        <w:spacing w:before="60" w:after="60"/>
        <w:ind w:left="709" w:hanging="709"/>
      </w:pPr>
      <w:r w:rsidRPr="00AE3FC7">
        <w:t xml:space="preserve">The </w:t>
      </w:r>
      <w:r w:rsidR="00DB67A7" w:rsidRPr="00AE3FC7">
        <w:t xml:space="preserve">evaluators </w:t>
      </w:r>
      <w:r w:rsidRPr="00AE3FC7">
        <w:t xml:space="preserve">considered that there were issues of significant financial impact for rural and remote patients. The PSCR stated that ‘it is important to note that it is likely that less than 2% of patients will be impacted by remoteness, given PET, MRI and </w:t>
      </w:r>
      <w:r w:rsidRPr="009E07A4">
        <w:rPr>
          <w:i/>
          <w:iCs/>
        </w:rPr>
        <w:t>APOE</w:t>
      </w:r>
      <w:r w:rsidRPr="00AE3FC7">
        <w:t xml:space="preserve"> genotyping are available in all major cities, inner regional centres and the majority of outer regional centres. It is also important to acknowledge the economic burden associated with managing AD that is imposed on patients and caregivers, which is likely to have a greater impact on people who live in remote communities.’ </w:t>
      </w:r>
      <w:r w:rsidR="00DB67A7" w:rsidRPr="00AE3FC7">
        <w:t>The</w:t>
      </w:r>
      <w:r w:rsidRPr="00AE3FC7">
        <w:t xml:space="preserve"> DUSC considered equity of access due to system capacity for anti-Aβ immunotherapies </w:t>
      </w:r>
      <w:r w:rsidR="00CC5596" w:rsidRPr="00AE3FC7">
        <w:t xml:space="preserve">relating to </w:t>
      </w:r>
      <w:r w:rsidRPr="00AE3FC7">
        <w:t xml:space="preserve">testing, monitoring (safety and continuation of treatment), and administration </w:t>
      </w:r>
      <w:r w:rsidR="00CC5596" w:rsidRPr="00AE3FC7">
        <w:t xml:space="preserve">could </w:t>
      </w:r>
      <w:r w:rsidRPr="00AE3FC7">
        <w:t xml:space="preserve">present a significant QUM issue. </w:t>
      </w:r>
      <w:r w:rsidR="00CC5596" w:rsidRPr="00AE3FC7">
        <w:t xml:space="preserve">The </w:t>
      </w:r>
      <w:r w:rsidRPr="00AE3FC7">
        <w:t>DUSC noted that there are only limited numbers of PET machines in Australia and limited facilities capable of processing CSF A</w:t>
      </w:r>
      <w:r w:rsidRPr="00AE3FC7">
        <w:rPr>
          <w:rFonts w:cstheme="minorHAnsi"/>
        </w:rPr>
        <w:t>β</w:t>
      </w:r>
      <w:r w:rsidRPr="00AE3FC7">
        <w:t xml:space="preserve">. </w:t>
      </w:r>
      <w:r w:rsidR="00CC5596" w:rsidRPr="00AE3FC7">
        <w:t xml:space="preserve">The </w:t>
      </w:r>
      <w:r w:rsidRPr="00AE3FC7">
        <w:t xml:space="preserve">DUSC considered that this, along with the potential need for genetic testing, has the potential for placing a large financial burden on rural and remote Australians increasing the equity of access issues already raised with regards to memory clinic and specialist access. </w:t>
      </w:r>
    </w:p>
    <w:p w14:paraId="370D8B5A" w14:textId="77777777" w:rsidR="0008002E" w:rsidRPr="00EE0EEB" w:rsidRDefault="0008002E" w:rsidP="0008002E">
      <w:pPr>
        <w:pStyle w:val="4-SubsectionHeading"/>
      </w:pPr>
      <w:r w:rsidRPr="00EE0EEB">
        <w:t>Financial management – risk sharing arrangements</w:t>
      </w:r>
    </w:p>
    <w:p w14:paraId="1DA7C461" w14:textId="200FE491" w:rsidR="0008002E" w:rsidRDefault="0008002E" w:rsidP="00DD02B1">
      <w:pPr>
        <w:pStyle w:val="3-BodyText"/>
        <w:numPr>
          <w:ilvl w:val="1"/>
          <w:numId w:val="23"/>
        </w:numPr>
        <w:spacing w:before="60" w:after="60"/>
        <w:ind w:left="709" w:hanging="709"/>
      </w:pPr>
      <w:r w:rsidRPr="00EE0EEB">
        <w:t xml:space="preserve">The submission did not </w:t>
      </w:r>
      <w:r w:rsidR="00964572">
        <w:t>propose</w:t>
      </w:r>
      <w:r w:rsidR="00964572" w:rsidRPr="00EE0EEB">
        <w:t xml:space="preserve"> </w:t>
      </w:r>
      <w:r w:rsidRPr="00EE0EEB">
        <w:t xml:space="preserve">a risk sharing arrangement for the listing donanemab. Noting the high overall cost of the listing of donanemab, </w:t>
      </w:r>
      <w:r w:rsidRPr="00675069">
        <w:t>the ESC</w:t>
      </w:r>
      <w:r w:rsidR="00781763">
        <w:t>s and DUSC</w:t>
      </w:r>
      <w:r w:rsidRPr="00675069">
        <w:t xml:space="preserve"> noted</w:t>
      </w:r>
      <w:r>
        <w:t xml:space="preserve"> </w:t>
      </w:r>
      <w:r w:rsidRPr="00EE0EEB">
        <w:t>a risk sharing arrangement should be considered to manage:</w:t>
      </w:r>
    </w:p>
    <w:p w14:paraId="4825780F" w14:textId="77777777" w:rsidR="007231D7" w:rsidRPr="00171B01" w:rsidRDefault="007231D7" w:rsidP="00DD02B1">
      <w:pPr>
        <w:pStyle w:val="Bullet"/>
        <w:numPr>
          <w:ilvl w:val="0"/>
          <w:numId w:val="26"/>
        </w:numPr>
        <w:rPr>
          <w:sz w:val="24"/>
          <w:szCs w:val="24"/>
        </w:rPr>
      </w:pPr>
      <w:r w:rsidRPr="00171B01">
        <w:rPr>
          <w:sz w:val="24"/>
          <w:szCs w:val="24"/>
        </w:rPr>
        <w:lastRenderedPageBreak/>
        <w:t>the uncertain patient population</w:t>
      </w:r>
    </w:p>
    <w:p w14:paraId="607BA17A" w14:textId="77777777" w:rsidR="007231D7" w:rsidRPr="007231D7" w:rsidRDefault="007231D7" w:rsidP="00DD02B1">
      <w:pPr>
        <w:pStyle w:val="Bullet"/>
        <w:numPr>
          <w:ilvl w:val="0"/>
          <w:numId w:val="26"/>
        </w:numPr>
        <w:rPr>
          <w:sz w:val="24"/>
          <w:szCs w:val="24"/>
        </w:rPr>
      </w:pPr>
      <w:r w:rsidRPr="00171B01">
        <w:rPr>
          <w:sz w:val="24"/>
          <w:szCs w:val="24"/>
        </w:rPr>
        <w:t>risk of use beyond disease progression</w:t>
      </w:r>
    </w:p>
    <w:p w14:paraId="4D3081E4" w14:textId="07C38E54" w:rsidR="007231D7" w:rsidRDefault="00781763" w:rsidP="00DD02B1">
      <w:pPr>
        <w:pStyle w:val="3-BodyText"/>
        <w:numPr>
          <w:ilvl w:val="1"/>
          <w:numId w:val="23"/>
        </w:numPr>
        <w:spacing w:before="60" w:after="60"/>
        <w:ind w:left="709" w:hanging="709"/>
      </w:pPr>
      <w:r>
        <w:t xml:space="preserve">The DUSC noted </w:t>
      </w:r>
      <w:r w:rsidR="007231D7" w:rsidRPr="00EE0EEB">
        <w:t>that a risk sharing arrangement will only manage the financial risk for the PBS but is unable to provide the same protection to the MBS.</w:t>
      </w:r>
    </w:p>
    <w:p w14:paraId="53455FA0" w14:textId="44D267DD" w:rsidR="00660163" w:rsidRPr="00EE0EEB" w:rsidRDefault="00CC42F1" w:rsidP="00AE3FC7">
      <w:pPr>
        <w:pStyle w:val="3-BodyText"/>
        <w:numPr>
          <w:ilvl w:val="0"/>
          <w:numId w:val="0"/>
        </w:numPr>
        <w:spacing w:before="60" w:after="60"/>
        <w:ind w:left="709"/>
      </w:pPr>
      <w:r w:rsidRPr="009E51BB">
        <w:rPr>
          <w:rFonts w:cstheme="minorHAnsi"/>
          <w:i/>
          <w:iCs/>
        </w:rPr>
        <w:t>For more detail on PBAC’s view, see section 7 PBAC outcome.</w:t>
      </w:r>
    </w:p>
    <w:p w14:paraId="4E04CCEF" w14:textId="16D3F832" w:rsidR="00CF4C78" w:rsidRPr="0090150D" w:rsidRDefault="00CF4C78" w:rsidP="00DD02B1">
      <w:pPr>
        <w:pStyle w:val="2-SectionHeading"/>
        <w:numPr>
          <w:ilvl w:val="0"/>
          <w:numId w:val="23"/>
        </w:numPr>
        <w:ind w:left="720" w:hanging="720"/>
      </w:pPr>
      <w:bookmarkStart w:id="59" w:name="_Hlk76381249"/>
      <w:r w:rsidRPr="0090150D">
        <w:t>PBAC Outcome</w:t>
      </w:r>
    </w:p>
    <w:p w14:paraId="70791496" w14:textId="2B721286" w:rsidR="00800176" w:rsidRPr="00521338" w:rsidRDefault="00800176" w:rsidP="00DD02B1">
      <w:pPr>
        <w:widowControl w:val="0"/>
        <w:numPr>
          <w:ilvl w:val="1"/>
          <w:numId w:val="23"/>
        </w:numPr>
        <w:spacing w:before="0" w:after="120"/>
        <w:ind w:left="720" w:hanging="720"/>
        <w:rPr>
          <w:rFonts w:cstheme="minorHAnsi"/>
          <w:snapToGrid w:val="0"/>
          <w:szCs w:val="24"/>
          <w:lang w:val="en-GB"/>
        </w:rPr>
      </w:pPr>
      <w:bookmarkStart w:id="60" w:name="_Hlk111543188"/>
      <w:r w:rsidRPr="00521338">
        <w:rPr>
          <w:rFonts w:cstheme="minorHAnsi"/>
          <w:szCs w:val="24"/>
        </w:rPr>
        <w:t xml:space="preserve">The PBAC did not recommend donanemab </w:t>
      </w:r>
      <w:r w:rsidR="001629A3" w:rsidRPr="00521338">
        <w:rPr>
          <w:rFonts w:cstheme="minorHAnsi"/>
          <w:szCs w:val="24"/>
        </w:rPr>
        <w:t xml:space="preserve">for the treatment of </w:t>
      </w:r>
      <w:r w:rsidR="009B3092" w:rsidRPr="00521338">
        <w:rPr>
          <w:rFonts w:cstheme="minorHAnsi"/>
          <w:szCs w:val="24"/>
        </w:rPr>
        <w:t>patients with early symptomatic Alzheimer</w:t>
      </w:r>
      <w:r w:rsidR="00D058AF">
        <w:rPr>
          <w:rFonts w:cstheme="minorHAnsi"/>
          <w:szCs w:val="24"/>
        </w:rPr>
        <w:t>’s</w:t>
      </w:r>
      <w:r w:rsidR="009B3092" w:rsidRPr="00521338">
        <w:rPr>
          <w:rFonts w:cstheme="minorHAnsi"/>
          <w:szCs w:val="24"/>
        </w:rPr>
        <w:t xml:space="preserve"> disease (AD), defined as mild cognitive impairment (MCI) due to AD o</w:t>
      </w:r>
      <w:r w:rsidR="00AC2ADA" w:rsidRPr="00521338">
        <w:rPr>
          <w:rFonts w:cstheme="minorHAnsi"/>
          <w:szCs w:val="24"/>
        </w:rPr>
        <w:t>r</w:t>
      </w:r>
      <w:r w:rsidR="009B3092" w:rsidRPr="00521338">
        <w:rPr>
          <w:rFonts w:cstheme="minorHAnsi"/>
          <w:szCs w:val="24"/>
        </w:rPr>
        <w:t xml:space="preserve"> mild </w:t>
      </w:r>
      <w:r w:rsidR="00517DAD" w:rsidRPr="00521338">
        <w:rPr>
          <w:rFonts w:cstheme="minorHAnsi"/>
          <w:szCs w:val="24"/>
        </w:rPr>
        <w:t>Alzheimer</w:t>
      </w:r>
      <w:r w:rsidR="00D058AF">
        <w:rPr>
          <w:rFonts w:cstheme="minorHAnsi"/>
          <w:szCs w:val="24"/>
        </w:rPr>
        <w:t>’s</w:t>
      </w:r>
      <w:r w:rsidR="00517DAD" w:rsidRPr="00521338">
        <w:rPr>
          <w:rFonts w:cstheme="minorHAnsi"/>
          <w:szCs w:val="24"/>
        </w:rPr>
        <w:t xml:space="preserve"> dementia</w:t>
      </w:r>
      <w:r w:rsidR="00DE7986" w:rsidRPr="00521338">
        <w:rPr>
          <w:rFonts w:cstheme="minorHAnsi"/>
          <w:szCs w:val="24"/>
        </w:rPr>
        <w:t xml:space="preserve"> (referred </w:t>
      </w:r>
      <w:r w:rsidR="006B3552" w:rsidRPr="00521338">
        <w:rPr>
          <w:rFonts w:cstheme="minorHAnsi"/>
          <w:szCs w:val="24"/>
        </w:rPr>
        <w:t xml:space="preserve">collectively </w:t>
      </w:r>
      <w:r w:rsidR="00DE7986" w:rsidRPr="00521338">
        <w:rPr>
          <w:rFonts w:cstheme="minorHAnsi"/>
          <w:szCs w:val="24"/>
        </w:rPr>
        <w:t>to as early AD)</w:t>
      </w:r>
      <w:r w:rsidR="00517DAD" w:rsidRPr="00521338">
        <w:rPr>
          <w:rFonts w:cstheme="minorHAnsi"/>
          <w:szCs w:val="24"/>
        </w:rPr>
        <w:t xml:space="preserve">. </w:t>
      </w:r>
      <w:r w:rsidR="00DE07F8" w:rsidRPr="00521338">
        <w:rPr>
          <w:rFonts w:cstheme="minorHAnsi"/>
          <w:szCs w:val="24"/>
        </w:rPr>
        <w:t xml:space="preserve">The PBAC noted that as an integrated codependent submission, the proposed MBS items for </w:t>
      </w:r>
      <w:r w:rsidR="00987937" w:rsidRPr="00521338">
        <w:t>apolipoprotein E (</w:t>
      </w:r>
      <w:r w:rsidR="00987937" w:rsidRPr="00521338">
        <w:rPr>
          <w:i/>
          <w:iCs/>
        </w:rPr>
        <w:t>APOE</w:t>
      </w:r>
      <w:r w:rsidR="00987937" w:rsidRPr="00521338">
        <w:t>) genotyping, amyloid-beta Positron Emission Tomography (Aβ-PET)</w:t>
      </w:r>
      <w:r w:rsidR="0053118A" w:rsidRPr="00521338">
        <w:t>,</w:t>
      </w:r>
      <w:r w:rsidR="00DE07F8" w:rsidRPr="00521338">
        <w:rPr>
          <w:rFonts w:cstheme="minorHAnsi"/>
          <w:szCs w:val="24"/>
        </w:rPr>
        <w:t xml:space="preserve"> </w:t>
      </w:r>
      <w:r w:rsidR="00987937" w:rsidRPr="00521338">
        <w:rPr>
          <w:rFonts w:cstheme="minorHAnsi"/>
          <w:szCs w:val="24"/>
        </w:rPr>
        <w:t xml:space="preserve">and </w:t>
      </w:r>
      <w:r w:rsidR="00987937" w:rsidRPr="00521338">
        <w:t xml:space="preserve">Cerebrospinal Fluid (CSF) AD biomarker </w:t>
      </w:r>
      <w:r w:rsidR="00DE07F8" w:rsidRPr="00521338">
        <w:rPr>
          <w:rFonts w:cstheme="minorHAnsi"/>
          <w:szCs w:val="24"/>
        </w:rPr>
        <w:t xml:space="preserve">testing would be considered at the </w:t>
      </w:r>
      <w:r w:rsidR="00987937" w:rsidRPr="00521338">
        <w:rPr>
          <w:rFonts w:cstheme="minorHAnsi"/>
          <w:szCs w:val="24"/>
        </w:rPr>
        <w:t>July</w:t>
      </w:r>
      <w:r w:rsidR="00DE07F8" w:rsidRPr="00521338">
        <w:rPr>
          <w:rFonts w:cstheme="minorHAnsi"/>
          <w:szCs w:val="24"/>
        </w:rPr>
        <w:t xml:space="preserve"> 202</w:t>
      </w:r>
      <w:r w:rsidR="00987937" w:rsidRPr="00521338">
        <w:rPr>
          <w:rFonts w:cstheme="minorHAnsi"/>
          <w:szCs w:val="24"/>
        </w:rPr>
        <w:t>5</w:t>
      </w:r>
      <w:r w:rsidR="00DE07F8" w:rsidRPr="00521338">
        <w:rPr>
          <w:rFonts w:cstheme="minorHAnsi"/>
          <w:szCs w:val="24"/>
        </w:rPr>
        <w:t xml:space="preserve"> MSAC meeting. </w:t>
      </w:r>
      <w:r w:rsidR="00846FE6" w:rsidRPr="00521338">
        <w:rPr>
          <w:rFonts w:cstheme="minorHAnsi"/>
          <w:szCs w:val="24"/>
        </w:rPr>
        <w:t xml:space="preserve">The PBAC acknowledged the high need for effective </w:t>
      </w:r>
      <w:r w:rsidR="00E523DE" w:rsidRPr="00521338">
        <w:rPr>
          <w:rFonts w:cstheme="minorHAnsi"/>
          <w:szCs w:val="24"/>
        </w:rPr>
        <w:t xml:space="preserve">disease modifying </w:t>
      </w:r>
      <w:r w:rsidR="00846FE6" w:rsidRPr="00521338">
        <w:rPr>
          <w:rFonts w:cstheme="minorHAnsi"/>
          <w:szCs w:val="24"/>
        </w:rPr>
        <w:t xml:space="preserve">treatments in early stages of AD to extend quality of life for patients, families and carers. However, the PBAC considered the very small </w:t>
      </w:r>
      <w:r w:rsidR="00BE5D45" w:rsidRPr="00521338">
        <w:rPr>
          <w:rFonts w:cstheme="minorHAnsi"/>
          <w:szCs w:val="24"/>
        </w:rPr>
        <w:t xml:space="preserve">short-term </w:t>
      </w:r>
      <w:r w:rsidR="00846FE6" w:rsidRPr="00521338">
        <w:rPr>
          <w:rFonts w:cstheme="minorHAnsi"/>
          <w:szCs w:val="24"/>
        </w:rPr>
        <w:t>benefit</w:t>
      </w:r>
      <w:r w:rsidR="006B3552" w:rsidRPr="00521338">
        <w:rPr>
          <w:rFonts w:cstheme="minorHAnsi"/>
          <w:szCs w:val="24"/>
        </w:rPr>
        <w:t xml:space="preserve"> demonstrated in </w:t>
      </w:r>
      <w:r w:rsidR="00846FE6" w:rsidRPr="00521338">
        <w:rPr>
          <w:rFonts w:cstheme="minorHAnsi"/>
          <w:szCs w:val="24"/>
        </w:rPr>
        <w:t xml:space="preserve">the key trial of donanemab did not justify the extensive burden on patients for the various diagnostic and treatment interventions required, the risk of serious adverse events, </w:t>
      </w:r>
      <w:r w:rsidR="001B65A7" w:rsidRPr="00521338">
        <w:rPr>
          <w:rFonts w:cstheme="minorHAnsi"/>
          <w:szCs w:val="24"/>
        </w:rPr>
        <w:t xml:space="preserve">and </w:t>
      </w:r>
      <w:r w:rsidR="00846FE6" w:rsidRPr="00521338">
        <w:rPr>
          <w:rFonts w:cstheme="minorHAnsi"/>
          <w:szCs w:val="24"/>
        </w:rPr>
        <w:t>the substantial pressures its listing would place on the healthcare system</w:t>
      </w:r>
      <w:r w:rsidR="00CA26F0" w:rsidRPr="00521338">
        <w:rPr>
          <w:rFonts w:cstheme="minorHAnsi"/>
          <w:szCs w:val="24"/>
        </w:rPr>
        <w:t>.</w:t>
      </w:r>
      <w:r w:rsidRPr="00521338">
        <w:rPr>
          <w:rFonts w:cstheme="minorHAnsi"/>
          <w:szCs w:val="24"/>
        </w:rPr>
        <w:t xml:space="preserve"> </w:t>
      </w:r>
      <w:r w:rsidR="00AD02E1" w:rsidRPr="00521338">
        <w:rPr>
          <w:rFonts w:cstheme="minorHAnsi"/>
          <w:szCs w:val="24"/>
        </w:rPr>
        <w:t>T</w:t>
      </w:r>
      <w:r w:rsidR="005F40EF" w:rsidRPr="00521338">
        <w:rPr>
          <w:rFonts w:cstheme="minorHAnsi"/>
          <w:szCs w:val="24"/>
        </w:rPr>
        <w:t>he PBAC considered that the economic model was overly optimistic</w:t>
      </w:r>
      <w:r w:rsidR="00592504" w:rsidRPr="00521338">
        <w:rPr>
          <w:rFonts w:cstheme="minorHAnsi"/>
          <w:szCs w:val="24"/>
        </w:rPr>
        <w:t>,</w:t>
      </w:r>
      <w:r w:rsidR="00DD4394" w:rsidRPr="00521338">
        <w:rPr>
          <w:rFonts w:cstheme="minorHAnsi"/>
          <w:szCs w:val="24"/>
        </w:rPr>
        <w:t xml:space="preserve"> and </w:t>
      </w:r>
      <w:r w:rsidR="00BC1A82" w:rsidRPr="00521338">
        <w:rPr>
          <w:rFonts w:cstheme="minorHAnsi"/>
          <w:szCs w:val="24"/>
        </w:rPr>
        <w:t>the listing would not be cost effective at the requested price. Fur</w:t>
      </w:r>
      <w:r w:rsidR="00E92C3D" w:rsidRPr="00521338">
        <w:rPr>
          <w:rFonts w:cstheme="minorHAnsi"/>
          <w:szCs w:val="24"/>
        </w:rPr>
        <w:t>t</w:t>
      </w:r>
      <w:r w:rsidR="00BC1A82" w:rsidRPr="00521338">
        <w:rPr>
          <w:rFonts w:cstheme="minorHAnsi"/>
          <w:szCs w:val="24"/>
        </w:rPr>
        <w:t xml:space="preserve">hermore, the PBAC </w:t>
      </w:r>
      <w:r w:rsidR="00E92C3D" w:rsidRPr="00521338">
        <w:rPr>
          <w:rFonts w:cstheme="minorHAnsi"/>
          <w:szCs w:val="24"/>
        </w:rPr>
        <w:t>c</w:t>
      </w:r>
      <w:r w:rsidR="00BC1A82" w:rsidRPr="00521338">
        <w:rPr>
          <w:rFonts w:cstheme="minorHAnsi"/>
          <w:szCs w:val="24"/>
        </w:rPr>
        <w:t>onside</w:t>
      </w:r>
      <w:r w:rsidR="00E92C3D" w:rsidRPr="00521338">
        <w:rPr>
          <w:rFonts w:cstheme="minorHAnsi"/>
          <w:szCs w:val="24"/>
        </w:rPr>
        <w:t>r</w:t>
      </w:r>
      <w:r w:rsidR="00BC1A82" w:rsidRPr="00521338">
        <w:rPr>
          <w:rFonts w:cstheme="minorHAnsi"/>
          <w:szCs w:val="24"/>
        </w:rPr>
        <w:t>ed that pharmacotherapy was only one aspect of the public health response to AD</w:t>
      </w:r>
      <w:r w:rsidR="00E92C3D" w:rsidRPr="00521338">
        <w:rPr>
          <w:rFonts w:cstheme="minorHAnsi"/>
          <w:szCs w:val="24"/>
        </w:rPr>
        <w:t xml:space="preserve">, </w:t>
      </w:r>
      <w:r w:rsidR="00AD02E1" w:rsidRPr="00521338">
        <w:rPr>
          <w:rFonts w:cstheme="minorHAnsi"/>
          <w:szCs w:val="24"/>
        </w:rPr>
        <w:t>and that the</w:t>
      </w:r>
      <w:r w:rsidR="00E92C3D" w:rsidRPr="00521338">
        <w:rPr>
          <w:rFonts w:cstheme="minorHAnsi"/>
          <w:szCs w:val="24"/>
        </w:rPr>
        <w:t xml:space="preserve"> proposed donanemab listing would require an extremely high investment </w:t>
      </w:r>
      <w:r w:rsidR="00866D57" w:rsidRPr="00521338">
        <w:rPr>
          <w:rFonts w:cstheme="minorHAnsi"/>
          <w:szCs w:val="24"/>
        </w:rPr>
        <w:t>in the PB</w:t>
      </w:r>
      <w:r w:rsidR="00C06F92">
        <w:rPr>
          <w:rFonts w:cstheme="minorHAnsi"/>
          <w:szCs w:val="24"/>
        </w:rPr>
        <w:t>S</w:t>
      </w:r>
      <w:r w:rsidR="00866D57" w:rsidRPr="00521338">
        <w:rPr>
          <w:rFonts w:cstheme="minorHAnsi"/>
          <w:szCs w:val="24"/>
        </w:rPr>
        <w:t xml:space="preserve"> without regard for the </w:t>
      </w:r>
      <w:r w:rsidR="00E92C3D" w:rsidRPr="00521338">
        <w:rPr>
          <w:rFonts w:cstheme="minorHAnsi"/>
          <w:szCs w:val="24"/>
        </w:rPr>
        <w:t xml:space="preserve">broader health </w:t>
      </w:r>
      <w:r w:rsidR="00481C31" w:rsidRPr="00521338">
        <w:rPr>
          <w:rFonts w:cstheme="minorHAnsi"/>
          <w:szCs w:val="24"/>
        </w:rPr>
        <w:t xml:space="preserve">and aged care </w:t>
      </w:r>
      <w:r w:rsidR="00E92C3D" w:rsidRPr="00521338">
        <w:rPr>
          <w:rFonts w:cstheme="minorHAnsi"/>
          <w:szCs w:val="24"/>
        </w:rPr>
        <w:t>budget</w:t>
      </w:r>
      <w:r w:rsidR="00481C31" w:rsidRPr="00521338">
        <w:rPr>
          <w:rFonts w:cstheme="minorHAnsi"/>
          <w:szCs w:val="24"/>
        </w:rPr>
        <w:t>s</w:t>
      </w:r>
      <w:r w:rsidR="00DD4394" w:rsidRPr="00521338">
        <w:rPr>
          <w:rFonts w:cstheme="minorHAnsi"/>
          <w:szCs w:val="24"/>
        </w:rPr>
        <w:t>.</w:t>
      </w:r>
      <w:r w:rsidR="00521338">
        <w:rPr>
          <w:rFonts w:cstheme="minorHAnsi"/>
          <w:szCs w:val="24"/>
        </w:rPr>
        <w:t xml:space="preserve"> Overall, the PBAC concluded that the high burden of treatment on both patients</w:t>
      </w:r>
      <w:r w:rsidR="00035215">
        <w:rPr>
          <w:rFonts w:cstheme="minorHAnsi"/>
          <w:szCs w:val="24"/>
        </w:rPr>
        <w:t xml:space="preserve"> and the health system, combined with the risks and modest clinical impact, makes the drug unsuitable for PBS subsidy.</w:t>
      </w:r>
    </w:p>
    <w:p w14:paraId="1031A28A" w14:textId="15601A20" w:rsidR="00DD4394" w:rsidRDefault="00A1536A"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T</w:t>
      </w:r>
      <w:r w:rsidR="00FD163F">
        <w:rPr>
          <w:rFonts w:cstheme="minorHAnsi"/>
          <w:snapToGrid w:val="0"/>
          <w:szCs w:val="24"/>
          <w:lang w:val="en-GB"/>
        </w:rPr>
        <w:t xml:space="preserve">he PBAC considered that the primary reason for this outcome was </w:t>
      </w:r>
      <w:r w:rsidR="00F93001">
        <w:rPr>
          <w:rFonts w:cstheme="minorHAnsi"/>
          <w:snapToGrid w:val="0"/>
          <w:szCs w:val="24"/>
          <w:lang w:val="en-GB"/>
        </w:rPr>
        <w:t xml:space="preserve">the comparative </w:t>
      </w:r>
      <w:r w:rsidR="00FD163F">
        <w:rPr>
          <w:rFonts w:cstheme="minorHAnsi"/>
          <w:snapToGrid w:val="0"/>
          <w:szCs w:val="24"/>
          <w:lang w:val="en-GB"/>
        </w:rPr>
        <w:t>clinical</w:t>
      </w:r>
      <w:r w:rsidR="00F93001">
        <w:rPr>
          <w:rFonts w:cstheme="minorHAnsi"/>
          <w:snapToGrid w:val="0"/>
          <w:szCs w:val="24"/>
          <w:lang w:val="en-GB"/>
        </w:rPr>
        <w:t xml:space="preserve"> evidence</w:t>
      </w:r>
      <w:r w:rsidR="00FD163F">
        <w:rPr>
          <w:rFonts w:cstheme="minorHAnsi"/>
          <w:snapToGrid w:val="0"/>
          <w:szCs w:val="24"/>
          <w:lang w:val="en-GB"/>
        </w:rPr>
        <w:t>.</w:t>
      </w:r>
    </w:p>
    <w:p w14:paraId="6C2B4833" w14:textId="101B25BB" w:rsidR="00592504" w:rsidRPr="00157506" w:rsidRDefault="00C017D4" w:rsidP="00DD02B1">
      <w:pPr>
        <w:widowControl w:val="0"/>
        <w:numPr>
          <w:ilvl w:val="1"/>
          <w:numId w:val="23"/>
        </w:numPr>
        <w:spacing w:before="0" w:after="120"/>
        <w:ind w:left="720" w:hanging="720"/>
        <w:rPr>
          <w:rFonts w:cstheme="minorHAnsi"/>
          <w:snapToGrid w:val="0"/>
          <w:szCs w:val="24"/>
          <w:lang w:val="en-GB"/>
        </w:rPr>
      </w:pPr>
      <w:r w:rsidRPr="00157506">
        <w:rPr>
          <w:rFonts w:cstheme="minorHAnsi"/>
          <w:snapToGrid w:val="0"/>
          <w:szCs w:val="24"/>
          <w:lang w:val="en-GB"/>
        </w:rPr>
        <w:t xml:space="preserve">The PBAC acknowledged the consumer comments </w:t>
      </w:r>
      <w:r w:rsidR="005A217E" w:rsidRPr="00157506">
        <w:rPr>
          <w:rFonts w:cstheme="minorHAnsi"/>
          <w:snapToGrid w:val="0"/>
          <w:szCs w:val="24"/>
          <w:lang w:val="en-GB"/>
        </w:rPr>
        <w:t>from indiv</w:t>
      </w:r>
      <w:r w:rsidR="00D50B02" w:rsidRPr="00157506">
        <w:rPr>
          <w:rFonts w:cstheme="minorHAnsi"/>
          <w:snapToGrid w:val="0"/>
          <w:szCs w:val="24"/>
          <w:lang w:val="en-GB"/>
        </w:rPr>
        <w:t>id</w:t>
      </w:r>
      <w:r w:rsidR="005A217E" w:rsidRPr="00157506">
        <w:rPr>
          <w:rFonts w:cstheme="minorHAnsi"/>
          <w:snapToGrid w:val="0"/>
          <w:szCs w:val="24"/>
          <w:lang w:val="en-GB"/>
        </w:rPr>
        <w:t xml:space="preserve">uals and </w:t>
      </w:r>
      <w:r w:rsidR="00D50B02" w:rsidRPr="00157506">
        <w:rPr>
          <w:rFonts w:cstheme="minorHAnsi"/>
          <w:snapToGrid w:val="0"/>
          <w:szCs w:val="24"/>
          <w:lang w:val="en-GB"/>
        </w:rPr>
        <w:t xml:space="preserve">organisations, ADNet, PALZ and Dementia Australia, </w:t>
      </w:r>
      <w:r w:rsidRPr="00157506">
        <w:rPr>
          <w:rFonts w:cstheme="minorHAnsi"/>
          <w:snapToGrid w:val="0"/>
          <w:szCs w:val="24"/>
          <w:lang w:val="en-GB"/>
        </w:rPr>
        <w:t xml:space="preserve">which were generally supportive of the submission and highlighted the need for effective </w:t>
      </w:r>
      <w:r w:rsidR="00A62104" w:rsidRPr="00157506">
        <w:rPr>
          <w:rFonts w:cstheme="minorHAnsi"/>
          <w:snapToGrid w:val="0"/>
          <w:szCs w:val="24"/>
          <w:lang w:val="en-GB"/>
        </w:rPr>
        <w:t>treatments which would allow for an extended quality of life</w:t>
      </w:r>
      <w:r w:rsidR="00E0100F" w:rsidRPr="00157506">
        <w:rPr>
          <w:rFonts w:cstheme="minorHAnsi"/>
          <w:snapToGrid w:val="0"/>
          <w:szCs w:val="24"/>
          <w:lang w:val="en-GB"/>
        </w:rPr>
        <w:t>.</w:t>
      </w:r>
      <w:r w:rsidR="009D6CAB" w:rsidRPr="00157506">
        <w:rPr>
          <w:rFonts w:cstheme="minorHAnsi"/>
          <w:snapToGrid w:val="0"/>
          <w:szCs w:val="24"/>
          <w:lang w:val="en-GB"/>
        </w:rPr>
        <w:t xml:space="preserve"> The PBAC noted that s</w:t>
      </w:r>
      <w:r w:rsidR="009D6CAB" w:rsidRPr="009D6CAB">
        <w:rPr>
          <w:rFonts w:cstheme="minorHAnsi"/>
          <w:snapToGrid w:val="0"/>
          <w:szCs w:val="24"/>
          <w:lang w:val="en-GB"/>
        </w:rPr>
        <w:t xml:space="preserve">everal inputs </w:t>
      </w:r>
      <w:r w:rsidR="00A93114" w:rsidRPr="00157506">
        <w:rPr>
          <w:rFonts w:cstheme="minorHAnsi"/>
          <w:snapToGrid w:val="0"/>
          <w:szCs w:val="24"/>
          <w:lang w:val="en-GB"/>
        </w:rPr>
        <w:t xml:space="preserve">were </w:t>
      </w:r>
      <w:r w:rsidR="009D6CAB" w:rsidRPr="009D6CAB">
        <w:rPr>
          <w:rFonts w:cstheme="minorHAnsi"/>
          <w:snapToGrid w:val="0"/>
          <w:szCs w:val="24"/>
          <w:lang w:val="en-GB"/>
        </w:rPr>
        <w:t>cognisant of access and safety issues</w:t>
      </w:r>
      <w:r w:rsidR="00A93114" w:rsidRPr="00157506">
        <w:rPr>
          <w:rFonts w:cstheme="minorHAnsi"/>
          <w:snapToGrid w:val="0"/>
          <w:szCs w:val="24"/>
          <w:lang w:val="en-GB"/>
        </w:rPr>
        <w:t xml:space="preserve"> associated with donanemab. The PBAC also noted that </w:t>
      </w:r>
      <w:r w:rsidR="00542B03" w:rsidRPr="00157506">
        <w:rPr>
          <w:rFonts w:cstheme="minorHAnsi"/>
          <w:snapToGrid w:val="0"/>
          <w:szCs w:val="24"/>
          <w:lang w:val="en-GB"/>
        </w:rPr>
        <w:t>several inputs perceived the treatment efficacy as exceeding what the trial data would suggest (as opposed to</w:t>
      </w:r>
      <w:r w:rsidR="00157506" w:rsidRPr="00157506">
        <w:rPr>
          <w:rFonts w:cstheme="minorHAnsi"/>
          <w:snapToGrid w:val="0"/>
          <w:szCs w:val="24"/>
          <w:lang w:val="en-GB"/>
        </w:rPr>
        <w:t xml:space="preserve"> the</w:t>
      </w:r>
      <w:r w:rsidR="00542B03" w:rsidRPr="00157506">
        <w:rPr>
          <w:rFonts w:cstheme="minorHAnsi"/>
          <w:snapToGrid w:val="0"/>
          <w:szCs w:val="24"/>
          <w:lang w:val="en-GB"/>
        </w:rPr>
        <w:t xml:space="preserve"> demonstrated </w:t>
      </w:r>
      <w:r w:rsidR="00354395" w:rsidRPr="00157506">
        <w:rPr>
          <w:rFonts w:cstheme="minorHAnsi"/>
          <w:snapToGrid w:val="0"/>
          <w:szCs w:val="24"/>
          <w:lang w:val="en-GB"/>
        </w:rPr>
        <w:t xml:space="preserve">short-term </w:t>
      </w:r>
      <w:r w:rsidR="00542B03" w:rsidRPr="00157506">
        <w:rPr>
          <w:rFonts w:cstheme="minorHAnsi"/>
          <w:snapToGrid w:val="0"/>
          <w:szCs w:val="24"/>
          <w:lang w:val="en-GB"/>
        </w:rPr>
        <w:t>benefits being perceived as clinically meaningful</w:t>
      </w:r>
      <w:r w:rsidR="00354395" w:rsidRPr="00157506">
        <w:rPr>
          <w:rFonts w:cstheme="minorHAnsi"/>
          <w:snapToGrid w:val="0"/>
          <w:szCs w:val="24"/>
          <w:lang w:val="en-GB"/>
        </w:rPr>
        <w:t>).</w:t>
      </w:r>
      <w:r w:rsidR="00235F57">
        <w:rPr>
          <w:rFonts w:cstheme="minorHAnsi"/>
          <w:snapToGrid w:val="0"/>
          <w:szCs w:val="24"/>
          <w:lang w:val="en-GB"/>
        </w:rPr>
        <w:t xml:space="preserve"> </w:t>
      </w:r>
      <w:r w:rsidR="00B23A39">
        <w:rPr>
          <w:rFonts w:cstheme="minorHAnsi"/>
          <w:snapToGrid w:val="0"/>
          <w:szCs w:val="24"/>
          <w:lang w:val="en-GB"/>
        </w:rPr>
        <w:t xml:space="preserve">The PBAC </w:t>
      </w:r>
      <w:r w:rsidR="006201CF">
        <w:rPr>
          <w:rFonts w:cstheme="minorHAnsi"/>
          <w:snapToGrid w:val="0"/>
          <w:szCs w:val="24"/>
          <w:lang w:val="en-GB"/>
        </w:rPr>
        <w:t>welcomed the</w:t>
      </w:r>
      <w:r w:rsidR="000F4BE7">
        <w:rPr>
          <w:rFonts w:cstheme="minorHAnsi"/>
          <w:snapToGrid w:val="0"/>
          <w:szCs w:val="24"/>
          <w:lang w:val="en-GB"/>
        </w:rPr>
        <w:t xml:space="preserve"> comments from </w:t>
      </w:r>
      <w:r w:rsidR="0001704E">
        <w:rPr>
          <w:rFonts w:cstheme="minorHAnsi"/>
          <w:snapToGrid w:val="0"/>
          <w:szCs w:val="24"/>
          <w:lang w:val="en-GB"/>
        </w:rPr>
        <w:t xml:space="preserve">the </w:t>
      </w:r>
      <w:r w:rsidR="000F4BE7">
        <w:rPr>
          <w:rFonts w:cstheme="minorHAnsi"/>
          <w:snapToGrid w:val="0"/>
          <w:szCs w:val="24"/>
          <w:lang w:val="en-GB"/>
        </w:rPr>
        <w:t xml:space="preserve">clinical expert in the sponsor hearing, which </w:t>
      </w:r>
      <w:r w:rsidR="00663C0A">
        <w:rPr>
          <w:rFonts w:cstheme="minorHAnsi"/>
          <w:snapToGrid w:val="0"/>
          <w:szCs w:val="24"/>
          <w:lang w:val="en-GB"/>
        </w:rPr>
        <w:t>emphasised</w:t>
      </w:r>
      <w:r w:rsidR="000F4BE7">
        <w:rPr>
          <w:rFonts w:cstheme="minorHAnsi"/>
          <w:snapToGrid w:val="0"/>
          <w:szCs w:val="24"/>
          <w:lang w:val="en-GB"/>
        </w:rPr>
        <w:t xml:space="preserve"> the translation of the </w:t>
      </w:r>
      <w:r w:rsidR="00663C0A">
        <w:rPr>
          <w:rFonts w:cstheme="minorHAnsi"/>
          <w:snapToGrid w:val="0"/>
          <w:szCs w:val="24"/>
          <w:lang w:val="en-GB"/>
        </w:rPr>
        <w:t xml:space="preserve">short-term evidence into long-term, </w:t>
      </w:r>
      <w:r w:rsidR="00154068">
        <w:rPr>
          <w:rFonts w:cstheme="minorHAnsi"/>
          <w:snapToGrid w:val="0"/>
          <w:szCs w:val="24"/>
          <w:lang w:val="en-GB"/>
        </w:rPr>
        <w:t>meaningful delay</w:t>
      </w:r>
      <w:r w:rsidR="008B2E64">
        <w:rPr>
          <w:rFonts w:cstheme="minorHAnsi"/>
          <w:snapToGrid w:val="0"/>
          <w:szCs w:val="24"/>
          <w:lang w:val="en-GB"/>
        </w:rPr>
        <w:t>s</w:t>
      </w:r>
      <w:r w:rsidR="00154068">
        <w:rPr>
          <w:rFonts w:cstheme="minorHAnsi"/>
          <w:snapToGrid w:val="0"/>
          <w:szCs w:val="24"/>
          <w:lang w:val="en-GB"/>
        </w:rPr>
        <w:t xml:space="preserve"> in </w:t>
      </w:r>
      <w:r w:rsidR="008B2E64">
        <w:rPr>
          <w:rFonts w:cstheme="minorHAnsi"/>
          <w:snapToGrid w:val="0"/>
          <w:szCs w:val="24"/>
          <w:lang w:val="en-GB"/>
        </w:rPr>
        <w:t xml:space="preserve">disease </w:t>
      </w:r>
      <w:r w:rsidR="00154068">
        <w:rPr>
          <w:rFonts w:cstheme="minorHAnsi"/>
          <w:snapToGrid w:val="0"/>
          <w:szCs w:val="24"/>
          <w:lang w:val="en-GB"/>
        </w:rPr>
        <w:t>progression through modelled data.</w:t>
      </w:r>
      <w:r w:rsidR="006201CF">
        <w:rPr>
          <w:rFonts w:cstheme="minorHAnsi"/>
          <w:snapToGrid w:val="0"/>
          <w:szCs w:val="24"/>
          <w:lang w:val="en-GB"/>
        </w:rPr>
        <w:t xml:space="preserve"> </w:t>
      </w:r>
      <w:r w:rsidR="00235F57" w:rsidRPr="00650B7C">
        <w:t xml:space="preserve">The </w:t>
      </w:r>
      <w:r w:rsidR="00B23A39">
        <w:t>PBAC</w:t>
      </w:r>
      <w:r w:rsidR="00235F57" w:rsidRPr="00650B7C">
        <w:t xml:space="preserve"> considered that it </w:t>
      </w:r>
      <w:r w:rsidR="008B2E64">
        <w:t>remained</w:t>
      </w:r>
      <w:r w:rsidR="00235F57">
        <w:t xml:space="preserve"> highly uncertain </w:t>
      </w:r>
      <w:r w:rsidR="00235F57" w:rsidRPr="00650B7C">
        <w:t>if</w:t>
      </w:r>
      <w:r w:rsidR="00235F57">
        <w:t xml:space="preserve"> the </w:t>
      </w:r>
      <w:r w:rsidR="00235F57" w:rsidRPr="00650B7C">
        <w:t>degree of slowing</w:t>
      </w:r>
      <w:r w:rsidR="00235F57" w:rsidRPr="008E7EF1">
        <w:t xml:space="preserve"> in </w:t>
      </w:r>
      <w:r w:rsidR="00235F57" w:rsidRPr="00650B7C">
        <w:t xml:space="preserve">clinical </w:t>
      </w:r>
      <w:r w:rsidR="00235F57" w:rsidRPr="008E7EF1">
        <w:t xml:space="preserve">progression </w:t>
      </w:r>
      <w:r w:rsidR="00235F57" w:rsidRPr="00650B7C">
        <w:t>was</w:t>
      </w:r>
      <w:r w:rsidR="00235F57">
        <w:t xml:space="preserve"> clinically meaningful</w:t>
      </w:r>
      <w:r w:rsidR="00235F57" w:rsidRPr="00650B7C">
        <w:t xml:space="preserve"> and if it would produce a noticeable benefit to patients and caregivers.</w:t>
      </w:r>
    </w:p>
    <w:p w14:paraId="5F9FE668" w14:textId="27B52098" w:rsidR="00E0100F" w:rsidRPr="000365C8" w:rsidRDefault="00EF0F74"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The PBAC noted the </w:t>
      </w:r>
      <w:r w:rsidR="00B211F2">
        <w:rPr>
          <w:rFonts w:cstheme="minorHAnsi"/>
          <w:snapToGrid w:val="0"/>
          <w:szCs w:val="24"/>
          <w:lang w:val="en-GB"/>
        </w:rPr>
        <w:t xml:space="preserve">high patient burden in terms of the time and discomfort </w:t>
      </w:r>
      <w:r w:rsidR="00060A82">
        <w:rPr>
          <w:rFonts w:cstheme="minorHAnsi"/>
          <w:snapToGrid w:val="0"/>
          <w:szCs w:val="24"/>
          <w:lang w:val="en-GB"/>
        </w:rPr>
        <w:t xml:space="preserve">involved </w:t>
      </w:r>
      <w:r w:rsidR="00060A82">
        <w:rPr>
          <w:rFonts w:cstheme="minorHAnsi"/>
          <w:snapToGrid w:val="0"/>
          <w:szCs w:val="24"/>
          <w:lang w:val="en-GB"/>
        </w:rPr>
        <w:lastRenderedPageBreak/>
        <w:t xml:space="preserve">in </w:t>
      </w:r>
      <w:r w:rsidR="006352B5">
        <w:rPr>
          <w:rFonts w:cstheme="minorHAnsi"/>
          <w:snapToGrid w:val="0"/>
          <w:szCs w:val="24"/>
          <w:lang w:val="en-GB"/>
        </w:rPr>
        <w:t>the</w:t>
      </w:r>
      <w:r w:rsidR="00060A82">
        <w:rPr>
          <w:rFonts w:cstheme="minorHAnsi"/>
          <w:snapToGrid w:val="0"/>
          <w:szCs w:val="24"/>
          <w:lang w:val="en-GB"/>
        </w:rPr>
        <w:t xml:space="preserve"> tests and inter</w:t>
      </w:r>
      <w:r w:rsidR="006352B5">
        <w:rPr>
          <w:rFonts w:cstheme="minorHAnsi"/>
          <w:snapToGrid w:val="0"/>
          <w:szCs w:val="24"/>
          <w:lang w:val="en-GB"/>
        </w:rPr>
        <w:t>ventions required to meet the eligibility crit</w:t>
      </w:r>
      <w:r w:rsidR="0068271A">
        <w:rPr>
          <w:rFonts w:cstheme="minorHAnsi"/>
          <w:snapToGrid w:val="0"/>
          <w:szCs w:val="24"/>
          <w:lang w:val="en-GB"/>
        </w:rPr>
        <w:t xml:space="preserve">eria prior to receiving </w:t>
      </w:r>
      <w:r w:rsidR="009B7F51">
        <w:rPr>
          <w:rFonts w:cstheme="minorHAnsi"/>
          <w:snapToGrid w:val="0"/>
          <w:szCs w:val="24"/>
          <w:lang w:val="en-GB"/>
        </w:rPr>
        <w:t>donanemab</w:t>
      </w:r>
      <w:r w:rsidR="0068271A">
        <w:rPr>
          <w:rFonts w:cstheme="minorHAnsi"/>
          <w:snapToGrid w:val="0"/>
          <w:szCs w:val="24"/>
          <w:lang w:val="en-GB"/>
        </w:rPr>
        <w:t xml:space="preserve"> and </w:t>
      </w:r>
      <w:r w:rsidR="00471261">
        <w:rPr>
          <w:rFonts w:cstheme="minorHAnsi"/>
          <w:snapToGrid w:val="0"/>
          <w:szCs w:val="24"/>
          <w:lang w:val="en-GB"/>
        </w:rPr>
        <w:t>also associated with the treatment and monitoring regimen</w:t>
      </w:r>
      <w:r w:rsidR="009B7F51">
        <w:rPr>
          <w:rFonts w:cstheme="minorHAnsi"/>
          <w:snapToGrid w:val="0"/>
          <w:szCs w:val="24"/>
          <w:lang w:val="en-GB"/>
        </w:rPr>
        <w:t xml:space="preserve"> once patients are receiving</w:t>
      </w:r>
      <w:r w:rsidR="006E1C65">
        <w:rPr>
          <w:rFonts w:cstheme="minorHAnsi"/>
          <w:snapToGrid w:val="0"/>
          <w:szCs w:val="24"/>
          <w:lang w:val="en-GB"/>
        </w:rPr>
        <w:t xml:space="preserve"> donanem</w:t>
      </w:r>
      <w:r w:rsidR="00B93FA3">
        <w:rPr>
          <w:rFonts w:cstheme="minorHAnsi"/>
          <w:snapToGrid w:val="0"/>
          <w:szCs w:val="24"/>
          <w:lang w:val="en-GB"/>
        </w:rPr>
        <w:t>a</w:t>
      </w:r>
      <w:r w:rsidR="006E1C65">
        <w:rPr>
          <w:rFonts w:cstheme="minorHAnsi"/>
          <w:snapToGrid w:val="0"/>
          <w:szCs w:val="24"/>
          <w:lang w:val="en-GB"/>
        </w:rPr>
        <w:t xml:space="preserve">b. </w:t>
      </w:r>
      <w:r w:rsidR="00BE1D08">
        <w:rPr>
          <w:rFonts w:cstheme="minorHAnsi"/>
          <w:snapToGrid w:val="0"/>
          <w:szCs w:val="24"/>
          <w:lang w:val="en-GB"/>
        </w:rPr>
        <w:t xml:space="preserve">The PBAC </w:t>
      </w:r>
      <w:r w:rsidR="006C3706">
        <w:rPr>
          <w:rFonts w:cstheme="minorHAnsi"/>
          <w:snapToGrid w:val="0"/>
          <w:szCs w:val="24"/>
          <w:lang w:val="en-GB"/>
        </w:rPr>
        <w:t xml:space="preserve">noted that donanemab was </w:t>
      </w:r>
      <w:r w:rsidR="0015096B">
        <w:rPr>
          <w:rFonts w:cstheme="minorHAnsi"/>
          <w:snapToGrid w:val="0"/>
          <w:szCs w:val="24"/>
          <w:lang w:val="en-GB"/>
        </w:rPr>
        <w:t>indicated</w:t>
      </w:r>
      <w:r w:rsidR="006C3706">
        <w:rPr>
          <w:rFonts w:cstheme="minorHAnsi"/>
          <w:snapToGrid w:val="0"/>
          <w:szCs w:val="24"/>
          <w:lang w:val="en-GB"/>
        </w:rPr>
        <w:t xml:space="preserve"> for patients who were </w:t>
      </w:r>
      <w:r w:rsidR="00631F59">
        <w:rPr>
          <w:rFonts w:cstheme="minorHAnsi"/>
          <w:snapToGrid w:val="0"/>
          <w:szCs w:val="24"/>
          <w:lang w:val="en-GB"/>
        </w:rPr>
        <w:t xml:space="preserve">apolipoprotein E </w:t>
      </w:r>
      <w:r w:rsidR="000F6BED" w:rsidRPr="00630A71">
        <w:t>ԑ4</w:t>
      </w:r>
      <w:r w:rsidR="000F6BED">
        <w:rPr>
          <w:rFonts w:cstheme="minorHAnsi"/>
          <w:snapToGrid w:val="0"/>
          <w:szCs w:val="24"/>
          <w:lang w:val="en-GB"/>
        </w:rPr>
        <w:t xml:space="preserve"> </w:t>
      </w:r>
      <w:r w:rsidR="00631F59">
        <w:rPr>
          <w:rFonts w:cstheme="minorHAnsi"/>
          <w:snapToGrid w:val="0"/>
          <w:szCs w:val="24"/>
          <w:lang w:val="en-GB"/>
        </w:rPr>
        <w:t>(</w:t>
      </w:r>
      <w:r w:rsidR="0015096B" w:rsidRPr="001B65A7">
        <w:rPr>
          <w:rFonts w:cstheme="minorHAnsi"/>
          <w:i/>
          <w:iCs/>
          <w:snapToGrid w:val="0"/>
          <w:szCs w:val="24"/>
          <w:lang w:val="en-GB"/>
        </w:rPr>
        <w:t>APOE4</w:t>
      </w:r>
      <w:r w:rsidR="00631F59">
        <w:rPr>
          <w:rFonts w:cstheme="minorHAnsi"/>
          <w:snapToGrid w:val="0"/>
          <w:szCs w:val="24"/>
          <w:lang w:val="en-GB"/>
        </w:rPr>
        <w:t>)</w:t>
      </w:r>
      <w:r w:rsidR="0015096B">
        <w:rPr>
          <w:rFonts w:cstheme="minorHAnsi"/>
          <w:snapToGrid w:val="0"/>
          <w:szCs w:val="24"/>
          <w:lang w:val="en-GB"/>
        </w:rPr>
        <w:t xml:space="preserve"> heterozygous or non-ca</w:t>
      </w:r>
      <w:r w:rsidR="000F6BED">
        <w:rPr>
          <w:rFonts w:cstheme="minorHAnsi"/>
          <w:snapToGrid w:val="0"/>
          <w:szCs w:val="24"/>
          <w:lang w:val="en-GB"/>
        </w:rPr>
        <w:t>rriers</w:t>
      </w:r>
      <w:r w:rsidR="00CB76DE">
        <w:rPr>
          <w:rFonts w:cstheme="minorHAnsi"/>
          <w:snapToGrid w:val="0"/>
          <w:szCs w:val="24"/>
          <w:lang w:val="en-GB"/>
        </w:rPr>
        <w:t>, which is determined via genetic testing</w:t>
      </w:r>
      <w:r w:rsidR="00264C10">
        <w:rPr>
          <w:rFonts w:cstheme="minorHAnsi"/>
          <w:snapToGrid w:val="0"/>
          <w:szCs w:val="24"/>
          <w:lang w:val="en-GB"/>
        </w:rPr>
        <w:t>.</w:t>
      </w:r>
      <w:r w:rsidR="00EF5275">
        <w:rPr>
          <w:rFonts w:cstheme="minorHAnsi"/>
          <w:snapToGrid w:val="0"/>
          <w:szCs w:val="24"/>
          <w:lang w:val="en-GB"/>
        </w:rPr>
        <w:t xml:space="preserve"> The PBAC noted that ma</w:t>
      </w:r>
      <w:r w:rsidR="002E295F">
        <w:rPr>
          <w:rFonts w:cstheme="minorHAnsi"/>
          <w:snapToGrid w:val="0"/>
          <w:szCs w:val="24"/>
          <w:lang w:val="en-GB"/>
        </w:rPr>
        <w:t>n</w:t>
      </w:r>
      <w:r w:rsidR="00EF5275">
        <w:rPr>
          <w:rFonts w:cstheme="minorHAnsi"/>
          <w:snapToGrid w:val="0"/>
          <w:szCs w:val="24"/>
          <w:lang w:val="en-GB"/>
        </w:rPr>
        <w:t xml:space="preserve">y patients with early AD would be subject to initial </w:t>
      </w:r>
      <w:r w:rsidR="004E08E1">
        <w:rPr>
          <w:rFonts w:cstheme="minorHAnsi"/>
          <w:snapToGrid w:val="0"/>
          <w:szCs w:val="24"/>
          <w:lang w:val="en-GB"/>
        </w:rPr>
        <w:t xml:space="preserve">genetic </w:t>
      </w:r>
      <w:r w:rsidR="00EF5275">
        <w:rPr>
          <w:rFonts w:cstheme="minorHAnsi"/>
          <w:snapToGrid w:val="0"/>
          <w:szCs w:val="24"/>
          <w:lang w:val="en-GB"/>
        </w:rPr>
        <w:t>testing and not gain access to treatment</w:t>
      </w:r>
      <w:r w:rsidR="004E08E1">
        <w:rPr>
          <w:rFonts w:cstheme="minorHAnsi"/>
          <w:snapToGrid w:val="0"/>
          <w:szCs w:val="24"/>
          <w:lang w:val="en-GB"/>
        </w:rPr>
        <w:t xml:space="preserve">. </w:t>
      </w:r>
      <w:r w:rsidR="006634A6">
        <w:rPr>
          <w:rFonts w:cstheme="minorHAnsi"/>
          <w:snapToGrid w:val="0"/>
          <w:szCs w:val="24"/>
          <w:lang w:val="en-GB"/>
        </w:rPr>
        <w:t xml:space="preserve">For patients that were </w:t>
      </w:r>
      <w:r w:rsidR="006634A6" w:rsidRPr="001B65A7">
        <w:rPr>
          <w:rFonts w:cstheme="minorHAnsi"/>
          <w:i/>
          <w:iCs/>
          <w:snapToGrid w:val="0"/>
          <w:szCs w:val="24"/>
          <w:lang w:val="en-GB"/>
        </w:rPr>
        <w:t>APOE4</w:t>
      </w:r>
      <w:r w:rsidR="006634A6">
        <w:rPr>
          <w:rFonts w:cstheme="minorHAnsi"/>
          <w:snapToGrid w:val="0"/>
          <w:szCs w:val="24"/>
          <w:lang w:val="en-GB"/>
        </w:rPr>
        <w:t xml:space="preserve"> heterozygous or non-carriers, the PBAC noted that </w:t>
      </w:r>
      <w:r w:rsidR="0013304F">
        <w:rPr>
          <w:rFonts w:cstheme="minorHAnsi"/>
          <w:snapToGrid w:val="0"/>
          <w:szCs w:val="24"/>
          <w:lang w:val="en-GB"/>
        </w:rPr>
        <w:t xml:space="preserve">patients would require </w:t>
      </w:r>
      <w:r w:rsidR="00332FD2">
        <w:rPr>
          <w:rFonts w:cstheme="minorHAnsi"/>
          <w:snapToGrid w:val="0"/>
          <w:szCs w:val="24"/>
          <w:lang w:val="en-GB"/>
        </w:rPr>
        <w:t>further test</w:t>
      </w:r>
      <w:r w:rsidR="00052C95">
        <w:rPr>
          <w:rFonts w:cstheme="minorHAnsi"/>
          <w:snapToGrid w:val="0"/>
          <w:szCs w:val="24"/>
          <w:lang w:val="en-GB"/>
        </w:rPr>
        <w:t>ing</w:t>
      </w:r>
      <w:r w:rsidR="00332FD2">
        <w:rPr>
          <w:rFonts w:cstheme="minorHAnsi"/>
          <w:snapToGrid w:val="0"/>
          <w:szCs w:val="24"/>
          <w:lang w:val="en-GB"/>
        </w:rPr>
        <w:t xml:space="preserve">, </w:t>
      </w:r>
      <w:r w:rsidR="00CB76DE">
        <w:rPr>
          <w:rFonts w:cstheme="minorHAnsi"/>
          <w:snapToGrid w:val="0"/>
          <w:szCs w:val="24"/>
          <w:lang w:val="en-GB"/>
        </w:rPr>
        <w:t>either a</w:t>
      </w:r>
      <w:r w:rsidR="00332FD2">
        <w:rPr>
          <w:rFonts w:cstheme="minorHAnsi"/>
          <w:snapToGrid w:val="0"/>
          <w:szCs w:val="24"/>
          <w:lang w:val="en-GB"/>
        </w:rPr>
        <w:t xml:space="preserve"> </w:t>
      </w:r>
      <w:r w:rsidR="0067621D">
        <w:rPr>
          <w:rFonts w:cstheme="minorHAnsi"/>
          <w:snapToGrid w:val="0"/>
          <w:szCs w:val="24"/>
          <w:lang w:val="en-GB"/>
        </w:rPr>
        <w:t>positron emission tomography (PET) scan or an assay o</w:t>
      </w:r>
      <w:r w:rsidR="001B65A7">
        <w:rPr>
          <w:rFonts w:cstheme="minorHAnsi"/>
          <w:snapToGrid w:val="0"/>
          <w:szCs w:val="24"/>
          <w:lang w:val="en-GB"/>
        </w:rPr>
        <w:t>f</w:t>
      </w:r>
      <w:r w:rsidR="0067621D">
        <w:rPr>
          <w:rFonts w:cstheme="minorHAnsi"/>
          <w:snapToGrid w:val="0"/>
          <w:szCs w:val="24"/>
          <w:lang w:val="en-GB"/>
        </w:rPr>
        <w:t xml:space="preserve"> cere</w:t>
      </w:r>
      <w:r w:rsidR="001D53C1">
        <w:rPr>
          <w:rFonts w:cstheme="minorHAnsi"/>
          <w:snapToGrid w:val="0"/>
          <w:szCs w:val="24"/>
          <w:lang w:val="en-GB"/>
        </w:rPr>
        <w:t>brospinal fluid (</w:t>
      </w:r>
      <w:r w:rsidR="00311756">
        <w:rPr>
          <w:rFonts w:cstheme="minorHAnsi"/>
          <w:snapToGrid w:val="0"/>
          <w:szCs w:val="24"/>
          <w:lang w:val="en-GB"/>
        </w:rPr>
        <w:t>requiring</w:t>
      </w:r>
      <w:r w:rsidR="001D53C1">
        <w:rPr>
          <w:rFonts w:cstheme="minorHAnsi"/>
          <w:snapToGrid w:val="0"/>
          <w:szCs w:val="24"/>
          <w:lang w:val="en-GB"/>
        </w:rPr>
        <w:t xml:space="preserve"> a lumbar puncture) to demonstrate brain beta amyloid burden</w:t>
      </w:r>
      <w:r w:rsidR="006050D7">
        <w:rPr>
          <w:rFonts w:cstheme="minorHAnsi"/>
          <w:snapToGrid w:val="0"/>
          <w:szCs w:val="24"/>
          <w:lang w:val="en-GB"/>
        </w:rPr>
        <w:t>. In addition, patients must have a M</w:t>
      </w:r>
      <w:r w:rsidR="0013304F">
        <w:rPr>
          <w:rFonts w:cstheme="minorHAnsi"/>
          <w:snapToGrid w:val="0"/>
          <w:szCs w:val="24"/>
          <w:lang w:val="en-GB"/>
        </w:rPr>
        <w:t xml:space="preserve">agnetic </w:t>
      </w:r>
      <w:r w:rsidR="006050D7">
        <w:rPr>
          <w:rFonts w:cstheme="minorHAnsi"/>
          <w:snapToGrid w:val="0"/>
          <w:szCs w:val="24"/>
          <w:lang w:val="en-GB"/>
        </w:rPr>
        <w:t>R</w:t>
      </w:r>
      <w:r w:rsidR="0013304F">
        <w:rPr>
          <w:rFonts w:cstheme="minorHAnsi"/>
          <w:snapToGrid w:val="0"/>
          <w:szCs w:val="24"/>
          <w:lang w:val="en-GB"/>
        </w:rPr>
        <w:t xml:space="preserve">esonance </w:t>
      </w:r>
      <w:r w:rsidR="006050D7">
        <w:rPr>
          <w:rFonts w:cstheme="minorHAnsi"/>
          <w:snapToGrid w:val="0"/>
          <w:szCs w:val="24"/>
          <w:lang w:val="en-GB"/>
        </w:rPr>
        <w:t>I</w:t>
      </w:r>
      <w:r w:rsidR="0013304F">
        <w:rPr>
          <w:rFonts w:cstheme="minorHAnsi"/>
          <w:snapToGrid w:val="0"/>
          <w:szCs w:val="24"/>
          <w:lang w:val="en-GB"/>
        </w:rPr>
        <w:t>maging</w:t>
      </w:r>
      <w:r w:rsidR="001D53C1">
        <w:rPr>
          <w:rFonts w:cstheme="minorHAnsi"/>
          <w:snapToGrid w:val="0"/>
          <w:szCs w:val="24"/>
          <w:lang w:val="en-GB"/>
        </w:rPr>
        <w:t xml:space="preserve"> (MRI) </w:t>
      </w:r>
      <w:r w:rsidR="001B4D60">
        <w:rPr>
          <w:rFonts w:cstheme="minorHAnsi"/>
          <w:snapToGrid w:val="0"/>
          <w:szCs w:val="24"/>
          <w:lang w:val="en-GB"/>
        </w:rPr>
        <w:t xml:space="preserve">scan at baseline (within the 6 months preceding treatment) </w:t>
      </w:r>
      <w:r w:rsidR="00A93927">
        <w:rPr>
          <w:rFonts w:cstheme="minorHAnsi"/>
          <w:snapToGrid w:val="0"/>
          <w:szCs w:val="24"/>
          <w:lang w:val="en-GB"/>
        </w:rPr>
        <w:t xml:space="preserve">to rule out </w:t>
      </w:r>
      <w:r w:rsidR="00C02317">
        <w:rPr>
          <w:rFonts w:cstheme="minorHAnsi"/>
          <w:snapToGrid w:val="0"/>
          <w:szCs w:val="24"/>
          <w:lang w:val="en-GB"/>
        </w:rPr>
        <w:t>intracerebral haemorrhage greater than 1 cm, more than 2 microhaemorrhages, superficial siderosis or vasogenic oedema</w:t>
      </w:r>
      <w:r w:rsidR="00295005">
        <w:rPr>
          <w:rFonts w:cstheme="minorHAnsi"/>
          <w:snapToGrid w:val="0"/>
          <w:szCs w:val="24"/>
          <w:lang w:val="en-GB"/>
        </w:rPr>
        <w:t xml:space="preserve"> (</w:t>
      </w:r>
      <w:r w:rsidR="0099403D">
        <w:rPr>
          <w:rFonts w:cstheme="minorHAnsi"/>
          <w:snapToGrid w:val="0"/>
          <w:szCs w:val="24"/>
          <w:lang w:val="en-GB"/>
        </w:rPr>
        <w:t xml:space="preserve">amyloid related imaging abnormalities – oedema; </w:t>
      </w:r>
      <w:r w:rsidR="00295005">
        <w:rPr>
          <w:rFonts w:cstheme="minorHAnsi"/>
          <w:snapToGrid w:val="0"/>
          <w:szCs w:val="24"/>
          <w:lang w:val="en-GB"/>
        </w:rPr>
        <w:t>ARIA-E)</w:t>
      </w:r>
      <w:r w:rsidR="00DB3D68">
        <w:rPr>
          <w:rFonts w:cstheme="minorHAnsi"/>
          <w:snapToGrid w:val="0"/>
          <w:szCs w:val="24"/>
          <w:lang w:val="en-GB"/>
        </w:rPr>
        <w:t xml:space="preserve"> </w:t>
      </w:r>
      <w:r w:rsidR="00295005">
        <w:rPr>
          <w:rFonts w:cstheme="minorHAnsi"/>
          <w:snapToGrid w:val="0"/>
          <w:szCs w:val="24"/>
          <w:lang w:val="en-GB"/>
        </w:rPr>
        <w:t xml:space="preserve">suggestive of </w:t>
      </w:r>
      <w:r w:rsidR="002A4D71">
        <w:rPr>
          <w:rFonts w:cstheme="minorHAnsi"/>
          <w:snapToGrid w:val="0"/>
          <w:szCs w:val="24"/>
          <w:lang w:val="en-GB"/>
        </w:rPr>
        <w:t>cerebral amyloid angiopathy</w:t>
      </w:r>
      <w:r w:rsidR="00295005">
        <w:rPr>
          <w:rFonts w:cstheme="minorHAnsi"/>
          <w:snapToGrid w:val="0"/>
          <w:szCs w:val="24"/>
          <w:lang w:val="en-GB"/>
        </w:rPr>
        <w:t>, severe white matter diseas</w:t>
      </w:r>
      <w:r w:rsidR="00DB3D68">
        <w:rPr>
          <w:rFonts w:cstheme="minorHAnsi"/>
          <w:snapToGrid w:val="0"/>
          <w:szCs w:val="24"/>
          <w:lang w:val="en-GB"/>
        </w:rPr>
        <w:t>e</w:t>
      </w:r>
      <w:r w:rsidR="00295005">
        <w:rPr>
          <w:rFonts w:cstheme="minorHAnsi"/>
          <w:snapToGrid w:val="0"/>
          <w:szCs w:val="24"/>
          <w:lang w:val="en-GB"/>
        </w:rPr>
        <w:t>, or any finding that could prevent a satisfactory MRI evaluation for safety monitoring</w:t>
      </w:r>
      <w:r w:rsidR="002A4D71">
        <w:rPr>
          <w:rFonts w:cstheme="minorHAnsi"/>
          <w:snapToGrid w:val="0"/>
          <w:szCs w:val="24"/>
          <w:lang w:val="en-GB"/>
        </w:rPr>
        <w:t>.</w:t>
      </w:r>
      <w:r w:rsidR="008B3460">
        <w:rPr>
          <w:rFonts w:cstheme="minorHAnsi"/>
          <w:snapToGrid w:val="0"/>
          <w:szCs w:val="24"/>
          <w:lang w:val="en-GB"/>
        </w:rPr>
        <w:t xml:space="preserve"> If eligible for treatment, the PBAC noted that </w:t>
      </w:r>
      <w:r w:rsidR="00E829A3">
        <w:rPr>
          <w:rFonts w:cstheme="minorHAnsi"/>
          <w:snapToGrid w:val="0"/>
          <w:szCs w:val="24"/>
          <w:lang w:val="en-GB"/>
        </w:rPr>
        <w:t xml:space="preserve">patients would require an intravenous infusion every 4 weeks </w:t>
      </w:r>
      <w:r w:rsidR="00FF0CF7" w:rsidRPr="00FF0CF7">
        <w:rPr>
          <w:rFonts w:cstheme="minorHAnsi"/>
          <w:snapToGrid w:val="0"/>
          <w:szCs w:val="24"/>
        </w:rPr>
        <w:t>in specialised centres under the supervision of a multidisciplinary team trained in detection, monitoring and management of ARIA and experienced in detecting and managing infusion related reactions</w:t>
      </w:r>
      <w:r w:rsidR="00765F89">
        <w:rPr>
          <w:rFonts w:cstheme="minorHAnsi"/>
          <w:snapToGrid w:val="0"/>
          <w:szCs w:val="24"/>
        </w:rPr>
        <w:t xml:space="preserve">. </w:t>
      </w:r>
      <w:r w:rsidR="00765F89">
        <w:rPr>
          <w:rFonts w:cstheme="minorHAnsi"/>
          <w:snapToGrid w:val="0"/>
          <w:szCs w:val="24"/>
          <w:lang w:val="en-GB"/>
        </w:rPr>
        <w:t>M</w:t>
      </w:r>
      <w:r w:rsidR="00E829A3">
        <w:rPr>
          <w:rFonts w:cstheme="minorHAnsi"/>
          <w:snapToGrid w:val="0"/>
          <w:szCs w:val="24"/>
          <w:lang w:val="en-GB"/>
        </w:rPr>
        <w:t xml:space="preserve">ultiple brain MRI scans </w:t>
      </w:r>
      <w:r w:rsidR="00765F89">
        <w:rPr>
          <w:rFonts w:cstheme="minorHAnsi"/>
          <w:snapToGrid w:val="0"/>
          <w:szCs w:val="24"/>
          <w:lang w:val="en-GB"/>
        </w:rPr>
        <w:t xml:space="preserve">are also required </w:t>
      </w:r>
      <w:r w:rsidR="00E829A3">
        <w:rPr>
          <w:rFonts w:cstheme="minorHAnsi"/>
          <w:snapToGrid w:val="0"/>
          <w:szCs w:val="24"/>
          <w:lang w:val="en-GB"/>
        </w:rPr>
        <w:t>to rule out amy</w:t>
      </w:r>
      <w:r w:rsidR="00BF72F9">
        <w:rPr>
          <w:rFonts w:cstheme="minorHAnsi"/>
          <w:snapToGrid w:val="0"/>
          <w:szCs w:val="24"/>
          <w:lang w:val="en-GB"/>
        </w:rPr>
        <w:t>l</w:t>
      </w:r>
      <w:r w:rsidR="00E829A3">
        <w:rPr>
          <w:rFonts w:cstheme="minorHAnsi"/>
          <w:snapToGrid w:val="0"/>
          <w:szCs w:val="24"/>
          <w:lang w:val="en-GB"/>
        </w:rPr>
        <w:t>oid-related ima</w:t>
      </w:r>
      <w:r w:rsidR="00BF72F9">
        <w:rPr>
          <w:rFonts w:cstheme="minorHAnsi"/>
          <w:snapToGrid w:val="0"/>
          <w:szCs w:val="24"/>
          <w:lang w:val="en-GB"/>
        </w:rPr>
        <w:t>g</w:t>
      </w:r>
      <w:r w:rsidR="00E829A3">
        <w:rPr>
          <w:rFonts w:cstheme="minorHAnsi"/>
          <w:snapToGrid w:val="0"/>
          <w:szCs w:val="24"/>
          <w:lang w:val="en-GB"/>
        </w:rPr>
        <w:t>ing abnormalities (ARIA</w:t>
      </w:r>
      <w:r w:rsidR="00BF72F9">
        <w:rPr>
          <w:rFonts w:cstheme="minorHAnsi"/>
          <w:snapToGrid w:val="0"/>
          <w:szCs w:val="24"/>
          <w:lang w:val="en-GB"/>
        </w:rPr>
        <w:t>)</w:t>
      </w:r>
      <w:r w:rsidR="00E1434D">
        <w:rPr>
          <w:rFonts w:cstheme="minorHAnsi"/>
          <w:snapToGrid w:val="0"/>
          <w:szCs w:val="24"/>
          <w:lang w:val="en-GB"/>
        </w:rPr>
        <w:t>, urgent MRI</w:t>
      </w:r>
      <w:r w:rsidR="00F11D77">
        <w:rPr>
          <w:rFonts w:cstheme="minorHAnsi"/>
          <w:snapToGrid w:val="0"/>
          <w:szCs w:val="24"/>
          <w:lang w:val="en-GB"/>
        </w:rPr>
        <w:t xml:space="preserve"> scans</w:t>
      </w:r>
      <w:r w:rsidR="00E1434D">
        <w:rPr>
          <w:rFonts w:cstheme="minorHAnsi"/>
          <w:snapToGrid w:val="0"/>
          <w:szCs w:val="24"/>
          <w:lang w:val="en-GB"/>
        </w:rPr>
        <w:t xml:space="preserve"> </w:t>
      </w:r>
      <w:r w:rsidR="00091986">
        <w:rPr>
          <w:rFonts w:cstheme="minorHAnsi"/>
          <w:snapToGrid w:val="0"/>
          <w:szCs w:val="24"/>
          <w:lang w:val="en-GB"/>
        </w:rPr>
        <w:t>may be required</w:t>
      </w:r>
      <w:r w:rsidR="00E1434D">
        <w:rPr>
          <w:rFonts w:cstheme="minorHAnsi"/>
          <w:snapToGrid w:val="0"/>
          <w:szCs w:val="24"/>
          <w:lang w:val="en-GB"/>
        </w:rPr>
        <w:t xml:space="preserve"> to investigate symptoms of ARIA if they arise and </w:t>
      </w:r>
      <w:r w:rsidR="00D21BB3">
        <w:rPr>
          <w:rFonts w:cstheme="minorHAnsi"/>
          <w:snapToGrid w:val="0"/>
          <w:szCs w:val="24"/>
          <w:lang w:val="en-GB"/>
        </w:rPr>
        <w:t xml:space="preserve">follow-up PET scans </w:t>
      </w:r>
      <w:r w:rsidR="00424588">
        <w:rPr>
          <w:rFonts w:cstheme="minorHAnsi"/>
          <w:snapToGrid w:val="0"/>
          <w:szCs w:val="24"/>
          <w:lang w:val="en-GB"/>
        </w:rPr>
        <w:t xml:space="preserve">may be used </w:t>
      </w:r>
      <w:r w:rsidR="00D21BB3">
        <w:rPr>
          <w:rFonts w:cstheme="minorHAnsi"/>
          <w:snapToGrid w:val="0"/>
          <w:szCs w:val="24"/>
          <w:lang w:val="en-GB"/>
        </w:rPr>
        <w:t xml:space="preserve">to determine whether donanemab </w:t>
      </w:r>
      <w:r w:rsidR="007D0272">
        <w:rPr>
          <w:rFonts w:cstheme="minorHAnsi"/>
          <w:snapToGrid w:val="0"/>
          <w:szCs w:val="24"/>
          <w:lang w:val="en-GB"/>
        </w:rPr>
        <w:t xml:space="preserve">is </w:t>
      </w:r>
      <w:r w:rsidR="00D21BB3">
        <w:rPr>
          <w:rFonts w:cstheme="minorHAnsi"/>
          <w:snapToGrid w:val="0"/>
          <w:szCs w:val="24"/>
          <w:lang w:val="en-GB"/>
        </w:rPr>
        <w:t>reducing brain amyloid.</w:t>
      </w:r>
      <w:r w:rsidR="00955DCE">
        <w:rPr>
          <w:rFonts w:cstheme="minorHAnsi"/>
          <w:snapToGrid w:val="0"/>
          <w:szCs w:val="24"/>
          <w:lang w:val="en-GB"/>
        </w:rPr>
        <w:t xml:space="preserve"> </w:t>
      </w:r>
      <w:r w:rsidR="00955DCE" w:rsidRPr="00CD7943">
        <w:rPr>
          <w:rFonts w:ascii="Calibri" w:hAnsi="Calibri" w:cs="Calibri"/>
        </w:rPr>
        <w:t xml:space="preserve">The PBAC noted that some procedures such as lumbar puncture are uncomfortable (sometimes requiring sedation) and not without risk of complications. The PBAC also considered that collectively, given the large number of people with </w:t>
      </w:r>
      <w:r w:rsidR="00955DCE">
        <w:rPr>
          <w:rFonts w:ascii="Calibri" w:hAnsi="Calibri" w:cs="Calibri"/>
        </w:rPr>
        <w:t>symptoms of early AD</w:t>
      </w:r>
      <w:r w:rsidR="00955DCE" w:rsidRPr="00CD7943">
        <w:rPr>
          <w:rFonts w:ascii="Calibri" w:hAnsi="Calibri" w:cs="Calibri"/>
        </w:rPr>
        <w:t>, there could be a</w:t>
      </w:r>
      <w:r w:rsidR="00955DCE">
        <w:rPr>
          <w:rFonts w:ascii="Calibri" w:hAnsi="Calibri" w:cs="Calibri"/>
        </w:rPr>
        <w:t xml:space="preserve"> significant</w:t>
      </w:r>
      <w:r w:rsidR="00955DCE" w:rsidRPr="00CD7943">
        <w:rPr>
          <w:rFonts w:ascii="Calibri" w:hAnsi="Calibri" w:cs="Calibri"/>
        </w:rPr>
        <w:t xml:space="preserve"> increase in demand for these tests and procedures, with an a</w:t>
      </w:r>
      <w:r w:rsidR="00955DCE">
        <w:rPr>
          <w:rFonts w:ascii="Calibri" w:hAnsi="Calibri" w:cs="Calibri"/>
        </w:rPr>
        <w:t>ssociated</w:t>
      </w:r>
      <w:r w:rsidR="00955DCE" w:rsidRPr="00CD7943">
        <w:rPr>
          <w:rFonts w:ascii="Calibri" w:hAnsi="Calibri" w:cs="Calibri"/>
        </w:rPr>
        <w:t xml:space="preserve"> risk of inequitable access (e.g. people in rural or remote areas may have less access to some of these investigations)</w:t>
      </w:r>
      <w:r w:rsidR="00955DCE">
        <w:rPr>
          <w:rFonts w:ascii="Calibri" w:hAnsi="Calibri" w:cs="Calibri"/>
        </w:rPr>
        <w:t xml:space="preserve"> and a diversion of these facilities from patient</w:t>
      </w:r>
      <w:r w:rsidR="001B65A7">
        <w:rPr>
          <w:rFonts w:ascii="Calibri" w:hAnsi="Calibri" w:cs="Calibri"/>
        </w:rPr>
        <w:t>s</w:t>
      </w:r>
      <w:r w:rsidR="00955DCE">
        <w:rPr>
          <w:rFonts w:ascii="Calibri" w:hAnsi="Calibri" w:cs="Calibri"/>
        </w:rPr>
        <w:t xml:space="preserve"> with other conditions</w:t>
      </w:r>
      <w:r w:rsidR="00955DCE" w:rsidRPr="00CD7943">
        <w:rPr>
          <w:rFonts w:ascii="Calibri" w:hAnsi="Calibri" w:cs="Calibri"/>
        </w:rPr>
        <w:t>.</w:t>
      </w:r>
    </w:p>
    <w:p w14:paraId="1E56BDA7" w14:textId="4F5EF898" w:rsidR="000365C8" w:rsidRDefault="000365C8"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The PBAC also noted that </w:t>
      </w:r>
      <w:r w:rsidR="00A96A3B">
        <w:rPr>
          <w:rFonts w:cstheme="minorHAnsi"/>
          <w:snapToGrid w:val="0"/>
          <w:szCs w:val="24"/>
          <w:lang w:val="en-GB"/>
        </w:rPr>
        <w:t>the symptoms of MCI can be subtle and that many people with MCI will improve, and most will not progress to dementia</w:t>
      </w:r>
      <w:r w:rsidR="002E6432">
        <w:rPr>
          <w:rFonts w:cstheme="minorHAnsi"/>
          <w:snapToGrid w:val="0"/>
          <w:szCs w:val="24"/>
          <w:lang w:val="en-GB"/>
        </w:rPr>
        <w:t xml:space="preserve"> (see paragraph </w:t>
      </w:r>
      <w:r w:rsidR="002E6432">
        <w:rPr>
          <w:rFonts w:cstheme="minorHAnsi"/>
          <w:snapToGrid w:val="0"/>
          <w:szCs w:val="24"/>
          <w:lang w:val="en-GB"/>
        </w:rPr>
        <w:fldChar w:fldCharType="begin"/>
      </w:r>
      <w:r w:rsidR="002E6432">
        <w:rPr>
          <w:rFonts w:cstheme="minorHAnsi"/>
          <w:snapToGrid w:val="0"/>
          <w:szCs w:val="24"/>
          <w:lang w:val="en-GB"/>
        </w:rPr>
        <w:instrText xml:space="preserve"> REF _Ref204778627 \r \h </w:instrText>
      </w:r>
      <w:r w:rsidR="002E6432">
        <w:rPr>
          <w:rFonts w:cstheme="minorHAnsi"/>
          <w:snapToGrid w:val="0"/>
          <w:szCs w:val="24"/>
          <w:lang w:val="en-GB"/>
        </w:rPr>
      </w:r>
      <w:r w:rsidR="002E6432">
        <w:rPr>
          <w:rFonts w:cstheme="minorHAnsi"/>
          <w:snapToGrid w:val="0"/>
          <w:szCs w:val="24"/>
          <w:lang w:val="en-GB"/>
        </w:rPr>
        <w:fldChar w:fldCharType="separate"/>
      </w:r>
      <w:r w:rsidR="00392423">
        <w:rPr>
          <w:rFonts w:cstheme="minorHAnsi"/>
          <w:snapToGrid w:val="0"/>
          <w:szCs w:val="24"/>
          <w:lang w:val="en-GB"/>
        </w:rPr>
        <w:t>4.8</w:t>
      </w:r>
      <w:r w:rsidR="002E6432">
        <w:rPr>
          <w:rFonts w:cstheme="minorHAnsi"/>
          <w:snapToGrid w:val="0"/>
          <w:szCs w:val="24"/>
          <w:lang w:val="en-GB"/>
        </w:rPr>
        <w:fldChar w:fldCharType="end"/>
      </w:r>
      <w:r w:rsidR="002E6432">
        <w:rPr>
          <w:rFonts w:cstheme="minorHAnsi"/>
          <w:snapToGrid w:val="0"/>
          <w:szCs w:val="24"/>
          <w:lang w:val="en-GB"/>
        </w:rPr>
        <w:t>)</w:t>
      </w:r>
      <w:r w:rsidR="008B6F2F">
        <w:rPr>
          <w:rFonts w:cstheme="minorHAnsi"/>
          <w:snapToGrid w:val="0"/>
          <w:szCs w:val="24"/>
          <w:lang w:val="en-GB"/>
        </w:rPr>
        <w:t>. The PBAC noted that incorrect diagnosis of these pat</w:t>
      </w:r>
      <w:r w:rsidR="00832070">
        <w:rPr>
          <w:rFonts w:cstheme="minorHAnsi"/>
          <w:snapToGrid w:val="0"/>
          <w:szCs w:val="24"/>
          <w:lang w:val="en-GB"/>
        </w:rPr>
        <w:t>i</w:t>
      </w:r>
      <w:r w:rsidR="008B6F2F">
        <w:rPr>
          <w:rFonts w:cstheme="minorHAnsi"/>
          <w:snapToGrid w:val="0"/>
          <w:szCs w:val="24"/>
          <w:lang w:val="en-GB"/>
        </w:rPr>
        <w:t>ents could lead to</w:t>
      </w:r>
      <w:r w:rsidR="000632E7">
        <w:rPr>
          <w:rFonts w:cstheme="minorHAnsi"/>
          <w:snapToGrid w:val="0"/>
          <w:szCs w:val="24"/>
          <w:lang w:val="en-GB"/>
        </w:rPr>
        <w:t xml:space="preserve"> </w:t>
      </w:r>
      <w:r w:rsidR="004B5F3C">
        <w:rPr>
          <w:rFonts w:cstheme="minorHAnsi"/>
          <w:snapToGrid w:val="0"/>
          <w:szCs w:val="24"/>
          <w:lang w:val="en-GB"/>
        </w:rPr>
        <w:t xml:space="preserve">unreasonable </w:t>
      </w:r>
      <w:r w:rsidR="000632E7">
        <w:rPr>
          <w:rFonts w:cstheme="minorHAnsi"/>
          <w:snapToGrid w:val="0"/>
          <w:szCs w:val="24"/>
          <w:lang w:val="en-GB"/>
        </w:rPr>
        <w:t>distress to patients and families,</w:t>
      </w:r>
      <w:r w:rsidR="008B6F2F">
        <w:rPr>
          <w:rFonts w:cstheme="minorHAnsi"/>
          <w:snapToGrid w:val="0"/>
          <w:szCs w:val="24"/>
          <w:lang w:val="en-GB"/>
        </w:rPr>
        <w:t xml:space="preserve"> unnecessary testing and imaging and inappropriate use of donanemab.</w:t>
      </w:r>
    </w:p>
    <w:p w14:paraId="732C0C58" w14:textId="45949403" w:rsidR="00B92023" w:rsidRDefault="003E5EF8"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The PBAC </w:t>
      </w:r>
      <w:r w:rsidR="00645A6A">
        <w:rPr>
          <w:rFonts w:cstheme="minorHAnsi"/>
          <w:snapToGrid w:val="0"/>
          <w:szCs w:val="24"/>
          <w:lang w:val="en-GB"/>
        </w:rPr>
        <w:t xml:space="preserve">considered that </w:t>
      </w:r>
      <w:r>
        <w:rPr>
          <w:rFonts w:cstheme="minorHAnsi"/>
          <w:snapToGrid w:val="0"/>
          <w:szCs w:val="24"/>
          <w:lang w:val="en-GB"/>
        </w:rPr>
        <w:t>standard of care (SOC)</w:t>
      </w:r>
      <w:r w:rsidR="00680D7A">
        <w:rPr>
          <w:rFonts w:cstheme="minorHAnsi"/>
          <w:snapToGrid w:val="0"/>
          <w:szCs w:val="24"/>
          <w:lang w:val="en-GB"/>
        </w:rPr>
        <w:t xml:space="preserve"> alone</w:t>
      </w:r>
      <w:r w:rsidR="00FC7738">
        <w:rPr>
          <w:rFonts w:cstheme="minorHAnsi"/>
          <w:snapToGrid w:val="0"/>
          <w:szCs w:val="24"/>
          <w:lang w:val="en-GB"/>
        </w:rPr>
        <w:t xml:space="preserve">, which </w:t>
      </w:r>
      <w:r w:rsidR="00C4426E">
        <w:rPr>
          <w:rFonts w:cstheme="minorHAnsi"/>
          <w:snapToGrid w:val="0"/>
          <w:szCs w:val="24"/>
          <w:lang w:val="en-GB"/>
        </w:rPr>
        <w:t>consisted of non-pharmaceutical brain health optimisation strategies</w:t>
      </w:r>
      <w:r w:rsidR="00F05DB0">
        <w:rPr>
          <w:rFonts w:cstheme="minorHAnsi"/>
          <w:snapToGrid w:val="0"/>
          <w:szCs w:val="24"/>
          <w:lang w:val="en-GB"/>
        </w:rPr>
        <w:t xml:space="preserve"> (e.g.</w:t>
      </w:r>
      <w:r w:rsidR="00C4426E">
        <w:rPr>
          <w:rFonts w:cstheme="minorHAnsi"/>
          <w:snapToGrid w:val="0"/>
          <w:szCs w:val="24"/>
          <w:lang w:val="en-GB"/>
        </w:rPr>
        <w:t xml:space="preserve"> exercise, nutrition, mentally challenging activities</w:t>
      </w:r>
      <w:r w:rsidR="00F05DB0">
        <w:rPr>
          <w:rFonts w:cstheme="minorHAnsi"/>
          <w:snapToGrid w:val="0"/>
          <w:szCs w:val="24"/>
          <w:lang w:val="en-GB"/>
        </w:rPr>
        <w:t xml:space="preserve"> and</w:t>
      </w:r>
      <w:r w:rsidR="00C4426E">
        <w:rPr>
          <w:rFonts w:cstheme="minorHAnsi"/>
          <w:snapToGrid w:val="0"/>
          <w:szCs w:val="24"/>
          <w:lang w:val="en-GB"/>
        </w:rPr>
        <w:t xml:space="preserve"> social engagement</w:t>
      </w:r>
      <w:r w:rsidR="00F05DB0">
        <w:rPr>
          <w:rFonts w:cstheme="minorHAnsi"/>
          <w:snapToGrid w:val="0"/>
          <w:szCs w:val="24"/>
          <w:lang w:val="en-GB"/>
        </w:rPr>
        <w:t>)</w:t>
      </w:r>
      <w:r w:rsidR="00C4426E">
        <w:rPr>
          <w:rFonts w:cstheme="minorHAnsi"/>
          <w:snapToGrid w:val="0"/>
          <w:szCs w:val="24"/>
          <w:lang w:val="en-GB"/>
        </w:rPr>
        <w:t xml:space="preserve"> </w:t>
      </w:r>
      <w:r w:rsidR="00AB2CCE">
        <w:rPr>
          <w:rFonts w:cstheme="minorHAnsi"/>
          <w:snapToGrid w:val="0"/>
          <w:szCs w:val="24"/>
          <w:lang w:val="en-GB"/>
        </w:rPr>
        <w:t>and symptomatic treatments</w:t>
      </w:r>
      <w:r w:rsidR="00F05DB0">
        <w:rPr>
          <w:rFonts w:cstheme="minorHAnsi"/>
          <w:snapToGrid w:val="0"/>
          <w:szCs w:val="24"/>
          <w:lang w:val="en-GB"/>
        </w:rPr>
        <w:t xml:space="preserve"> (e.g. memantine and ACHEIs)</w:t>
      </w:r>
      <w:r w:rsidR="00AB2CCE">
        <w:rPr>
          <w:rFonts w:cstheme="minorHAnsi"/>
          <w:snapToGrid w:val="0"/>
          <w:szCs w:val="24"/>
          <w:lang w:val="en-GB"/>
        </w:rPr>
        <w:t>,</w:t>
      </w:r>
      <w:r>
        <w:rPr>
          <w:rFonts w:cstheme="minorHAnsi"/>
          <w:snapToGrid w:val="0"/>
          <w:szCs w:val="24"/>
          <w:lang w:val="en-GB"/>
        </w:rPr>
        <w:t xml:space="preserve"> </w:t>
      </w:r>
      <w:r w:rsidR="007A4014">
        <w:rPr>
          <w:rFonts w:cstheme="minorHAnsi"/>
          <w:snapToGrid w:val="0"/>
          <w:szCs w:val="24"/>
          <w:lang w:val="en-GB"/>
        </w:rPr>
        <w:t>as the comparator</w:t>
      </w:r>
      <w:r w:rsidR="00F05DB0">
        <w:rPr>
          <w:rFonts w:cstheme="minorHAnsi"/>
          <w:snapToGrid w:val="0"/>
          <w:szCs w:val="24"/>
          <w:lang w:val="en-GB"/>
        </w:rPr>
        <w:t xml:space="preserve"> was reasonable</w:t>
      </w:r>
      <w:r w:rsidR="007A4014">
        <w:rPr>
          <w:rFonts w:cstheme="minorHAnsi"/>
          <w:snapToGrid w:val="0"/>
          <w:szCs w:val="24"/>
          <w:lang w:val="en-GB"/>
        </w:rPr>
        <w:t>.</w:t>
      </w:r>
      <w:r w:rsidR="00F05DB0">
        <w:rPr>
          <w:rFonts w:cstheme="minorHAnsi"/>
          <w:snapToGrid w:val="0"/>
          <w:szCs w:val="24"/>
          <w:lang w:val="en-GB"/>
        </w:rPr>
        <w:t xml:space="preserve"> The PBAC noted that </w:t>
      </w:r>
      <w:r w:rsidR="00A027E4">
        <w:rPr>
          <w:rFonts w:cstheme="minorHAnsi"/>
          <w:snapToGrid w:val="0"/>
          <w:szCs w:val="24"/>
          <w:lang w:val="en-GB"/>
        </w:rPr>
        <w:t xml:space="preserve">it </w:t>
      </w:r>
      <w:r w:rsidR="009C02C6">
        <w:rPr>
          <w:rFonts w:cstheme="minorHAnsi"/>
          <w:snapToGrid w:val="0"/>
          <w:szCs w:val="24"/>
          <w:lang w:val="en-GB"/>
        </w:rPr>
        <w:t xml:space="preserve">was unclear whether </w:t>
      </w:r>
      <w:r w:rsidR="003874FE">
        <w:rPr>
          <w:rFonts w:cstheme="minorHAnsi"/>
          <w:snapToGrid w:val="0"/>
          <w:szCs w:val="24"/>
          <w:lang w:val="en-GB"/>
        </w:rPr>
        <w:t>the key trial, TRAILBLAZER-ALZ 2 (TB-2) included non-pharmaceutical strategies.</w:t>
      </w:r>
    </w:p>
    <w:p w14:paraId="1AA89D28" w14:textId="7F1769DD" w:rsidR="007A4014" w:rsidRDefault="007A4014"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The PBAC noted that the </w:t>
      </w:r>
      <w:r w:rsidR="00806B99">
        <w:rPr>
          <w:rFonts w:cstheme="minorHAnsi"/>
          <w:snapToGrid w:val="0"/>
          <w:szCs w:val="24"/>
          <w:lang w:val="en-GB"/>
        </w:rPr>
        <w:t xml:space="preserve">submission was based </w:t>
      </w:r>
      <w:r w:rsidR="00B462EE">
        <w:rPr>
          <w:rFonts w:cstheme="minorHAnsi"/>
          <w:snapToGrid w:val="0"/>
          <w:szCs w:val="24"/>
          <w:lang w:val="en-GB"/>
        </w:rPr>
        <w:t xml:space="preserve">primarily </w:t>
      </w:r>
      <w:r w:rsidR="00806B99">
        <w:rPr>
          <w:rFonts w:cstheme="minorHAnsi"/>
          <w:snapToGrid w:val="0"/>
          <w:szCs w:val="24"/>
          <w:lang w:val="en-GB"/>
        </w:rPr>
        <w:t>on the results of the TB-2 trial</w:t>
      </w:r>
      <w:r w:rsidR="00AC3002">
        <w:rPr>
          <w:rFonts w:cstheme="minorHAnsi"/>
          <w:snapToGrid w:val="0"/>
          <w:szCs w:val="24"/>
          <w:lang w:val="en-GB"/>
        </w:rPr>
        <w:t xml:space="preserve">, which </w:t>
      </w:r>
      <w:r w:rsidR="003874FE">
        <w:rPr>
          <w:rFonts w:cstheme="minorHAnsi"/>
          <w:snapToGrid w:val="0"/>
          <w:szCs w:val="24"/>
          <w:lang w:val="en-GB"/>
        </w:rPr>
        <w:t xml:space="preserve">was a randomised controlled trial of 1,736 patients </w:t>
      </w:r>
      <w:r w:rsidR="00D64AAC">
        <w:rPr>
          <w:rFonts w:cstheme="minorHAnsi"/>
          <w:snapToGrid w:val="0"/>
          <w:szCs w:val="24"/>
          <w:lang w:val="en-GB"/>
        </w:rPr>
        <w:t>with early AD comparing</w:t>
      </w:r>
      <w:r w:rsidR="00AC3002">
        <w:rPr>
          <w:rFonts w:cstheme="minorHAnsi"/>
          <w:snapToGrid w:val="0"/>
          <w:szCs w:val="24"/>
          <w:lang w:val="en-GB"/>
        </w:rPr>
        <w:t xml:space="preserve"> the efficacy and safety of donanemab with placebo. </w:t>
      </w:r>
    </w:p>
    <w:p w14:paraId="444A4A25" w14:textId="709BF125" w:rsidR="0084602E" w:rsidRDefault="000C240F"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The PBAC noted</w:t>
      </w:r>
      <w:r w:rsidR="00645A6A">
        <w:rPr>
          <w:rFonts w:cstheme="minorHAnsi"/>
          <w:snapToGrid w:val="0"/>
          <w:szCs w:val="24"/>
          <w:lang w:val="en-GB"/>
        </w:rPr>
        <w:t xml:space="preserve"> that</w:t>
      </w:r>
      <w:r w:rsidR="00EF0B0E">
        <w:rPr>
          <w:rFonts w:cstheme="minorHAnsi"/>
          <w:snapToGrid w:val="0"/>
          <w:szCs w:val="24"/>
          <w:lang w:val="en-GB"/>
        </w:rPr>
        <w:t xml:space="preserve"> </w:t>
      </w:r>
      <w:r w:rsidR="002E01C9">
        <w:rPr>
          <w:rFonts w:cstheme="minorHAnsi"/>
          <w:snapToGrid w:val="0"/>
          <w:szCs w:val="24"/>
          <w:lang w:val="en-GB"/>
        </w:rPr>
        <w:t>donanemab reduced brain beta amyloid burden</w:t>
      </w:r>
      <w:r w:rsidR="00F458C9">
        <w:rPr>
          <w:rFonts w:cstheme="minorHAnsi"/>
          <w:snapToGrid w:val="0"/>
          <w:szCs w:val="24"/>
          <w:lang w:val="en-GB"/>
        </w:rPr>
        <w:t xml:space="preserve"> with 76.4% of patients in the donanemab arm</w:t>
      </w:r>
      <w:r w:rsidR="00645A6A">
        <w:rPr>
          <w:rFonts w:cstheme="minorHAnsi"/>
          <w:snapToGrid w:val="0"/>
          <w:szCs w:val="24"/>
          <w:lang w:val="en-GB"/>
        </w:rPr>
        <w:t xml:space="preserve"> of the TB-2 trial</w:t>
      </w:r>
      <w:r w:rsidR="00F458C9">
        <w:rPr>
          <w:rFonts w:cstheme="minorHAnsi"/>
          <w:snapToGrid w:val="0"/>
          <w:szCs w:val="24"/>
          <w:lang w:val="en-GB"/>
        </w:rPr>
        <w:t xml:space="preserve"> achieving amyloid clearance </w:t>
      </w:r>
      <w:r w:rsidR="00F458C9">
        <w:rPr>
          <w:rFonts w:cstheme="minorHAnsi"/>
          <w:snapToGrid w:val="0"/>
          <w:szCs w:val="24"/>
          <w:lang w:val="en-GB"/>
        </w:rPr>
        <w:lastRenderedPageBreak/>
        <w:t xml:space="preserve">compared to 0.3% in the placebo arm after 76 weeks of treatment. </w:t>
      </w:r>
    </w:p>
    <w:p w14:paraId="3317FEE9" w14:textId="65A50FDD" w:rsidR="003B5BA3" w:rsidRPr="00F04324" w:rsidRDefault="005A04BE" w:rsidP="00DD02B1">
      <w:pPr>
        <w:widowControl w:val="0"/>
        <w:numPr>
          <w:ilvl w:val="1"/>
          <w:numId w:val="23"/>
        </w:numPr>
        <w:spacing w:before="0" w:after="120"/>
        <w:ind w:left="720" w:hanging="720"/>
        <w:rPr>
          <w:rFonts w:cstheme="minorHAnsi"/>
          <w:snapToGrid w:val="0"/>
          <w:szCs w:val="24"/>
          <w:lang w:val="en-GB"/>
        </w:rPr>
      </w:pPr>
      <w:r>
        <w:rPr>
          <w:rFonts w:ascii="Calibri" w:hAnsi="Calibri" w:cs="Calibri"/>
        </w:rPr>
        <w:t>However, t</w:t>
      </w:r>
      <w:r w:rsidRPr="00CD7943">
        <w:rPr>
          <w:rFonts w:ascii="Calibri" w:hAnsi="Calibri" w:cs="Calibri"/>
        </w:rPr>
        <w:t>he PBAC considered that any possible mechanisms linking reduction in brain beta amyloid burden and slowing of decline in a person’s cognition and functional status remain to be fully elucidated.</w:t>
      </w:r>
    </w:p>
    <w:p w14:paraId="71F73AFD" w14:textId="727CFDA1" w:rsidR="0013209E" w:rsidRPr="00DF4880" w:rsidRDefault="00F04324" w:rsidP="00DF4880">
      <w:pPr>
        <w:widowControl w:val="0"/>
        <w:numPr>
          <w:ilvl w:val="1"/>
          <w:numId w:val="23"/>
        </w:numPr>
        <w:spacing w:before="0" w:after="120"/>
        <w:ind w:left="720" w:hanging="720"/>
        <w:rPr>
          <w:rFonts w:cstheme="minorHAnsi"/>
          <w:snapToGrid w:val="0"/>
          <w:szCs w:val="24"/>
          <w:lang w:val="en-GB"/>
        </w:rPr>
      </w:pPr>
      <w:r w:rsidRPr="000267E1">
        <w:rPr>
          <w:rFonts w:ascii="Calibri" w:hAnsi="Calibri" w:cs="Calibri"/>
        </w:rPr>
        <w:t>The PBAC</w:t>
      </w:r>
      <w:r w:rsidRPr="00CD7943">
        <w:rPr>
          <w:rFonts w:ascii="Calibri" w:hAnsi="Calibri" w:cs="Calibri"/>
        </w:rPr>
        <w:t xml:space="preserve"> considered that donanemab had a very modest impact on the measures of cognition and function</w:t>
      </w:r>
      <w:r w:rsidR="00327AEC">
        <w:rPr>
          <w:rFonts w:ascii="Calibri" w:hAnsi="Calibri" w:cs="Calibri"/>
        </w:rPr>
        <w:t xml:space="preserve">. The PBAC noted that </w:t>
      </w:r>
      <w:r w:rsidR="00E3322F">
        <w:rPr>
          <w:rFonts w:ascii="Calibri" w:hAnsi="Calibri" w:cs="Calibri"/>
        </w:rPr>
        <w:t xml:space="preserve">the primary endpoint of the TB-2 trial was </w:t>
      </w:r>
      <w:r w:rsidR="009A5142">
        <w:rPr>
          <w:rFonts w:ascii="Calibri" w:hAnsi="Calibri" w:cs="Calibri"/>
        </w:rPr>
        <w:t xml:space="preserve">change from baseline in </w:t>
      </w:r>
      <w:r w:rsidR="00BA5395">
        <w:rPr>
          <w:rFonts w:ascii="Calibri" w:hAnsi="Calibri" w:cs="Calibri"/>
        </w:rPr>
        <w:t>integrated Alzheimer</w:t>
      </w:r>
      <w:r w:rsidR="00D058AF">
        <w:rPr>
          <w:rFonts w:ascii="Calibri" w:hAnsi="Calibri" w:cs="Calibri"/>
        </w:rPr>
        <w:t>’s</w:t>
      </w:r>
      <w:r w:rsidR="00BA5395">
        <w:rPr>
          <w:rFonts w:ascii="Calibri" w:hAnsi="Calibri" w:cs="Calibri"/>
        </w:rPr>
        <w:t xml:space="preserve"> Disease Rating Scale (iADRS)</w:t>
      </w:r>
      <w:r w:rsidR="009A5142">
        <w:rPr>
          <w:rFonts w:ascii="Calibri" w:hAnsi="Calibri" w:cs="Calibri"/>
        </w:rPr>
        <w:t xml:space="preserve">, a composite measure of cognition and function </w:t>
      </w:r>
      <w:r w:rsidR="006F520E">
        <w:rPr>
          <w:rFonts w:ascii="Calibri" w:hAnsi="Calibri" w:cs="Calibri"/>
        </w:rPr>
        <w:t>with a score range of 0 to 144.</w:t>
      </w:r>
      <w:r w:rsidRPr="00CD7943">
        <w:rPr>
          <w:rFonts w:ascii="Calibri" w:hAnsi="Calibri" w:cs="Calibri"/>
        </w:rPr>
        <w:t xml:space="preserve"> The</w:t>
      </w:r>
      <w:r w:rsidR="00C531DA">
        <w:rPr>
          <w:rFonts w:ascii="Calibri" w:hAnsi="Calibri" w:cs="Calibri"/>
        </w:rPr>
        <w:t xml:space="preserve"> PBAC noted that the</w:t>
      </w:r>
      <w:r w:rsidRPr="00CD7943">
        <w:rPr>
          <w:rFonts w:ascii="Calibri" w:hAnsi="Calibri" w:cs="Calibri"/>
        </w:rPr>
        <w:t>re was no evidence that use of donanemab reversed or halted the disease progress</w:t>
      </w:r>
      <w:r w:rsidR="008B1106">
        <w:rPr>
          <w:rFonts w:ascii="Calibri" w:hAnsi="Calibri" w:cs="Calibri"/>
        </w:rPr>
        <w:t>. Instead</w:t>
      </w:r>
      <w:r w:rsidR="00FC16DF">
        <w:rPr>
          <w:rFonts w:ascii="Calibri" w:hAnsi="Calibri" w:cs="Calibri"/>
        </w:rPr>
        <w:t xml:space="preserve">, </w:t>
      </w:r>
      <w:r w:rsidRPr="00CD7943">
        <w:rPr>
          <w:rFonts w:ascii="Calibri" w:hAnsi="Calibri" w:cs="Calibri"/>
        </w:rPr>
        <w:t xml:space="preserve">compared to </w:t>
      </w:r>
      <w:r w:rsidR="008B1106">
        <w:rPr>
          <w:rFonts w:ascii="Calibri" w:hAnsi="Calibri" w:cs="Calibri"/>
        </w:rPr>
        <w:t>patients</w:t>
      </w:r>
      <w:r w:rsidRPr="00CD7943">
        <w:rPr>
          <w:rFonts w:ascii="Calibri" w:hAnsi="Calibri" w:cs="Calibri"/>
        </w:rPr>
        <w:t xml:space="preserve"> who received placebo</w:t>
      </w:r>
      <w:r w:rsidR="00FC16DF">
        <w:rPr>
          <w:rFonts w:ascii="Calibri" w:hAnsi="Calibri" w:cs="Calibri"/>
        </w:rPr>
        <w:t>, patien</w:t>
      </w:r>
      <w:r w:rsidR="005C2807">
        <w:rPr>
          <w:rFonts w:ascii="Calibri" w:hAnsi="Calibri" w:cs="Calibri"/>
        </w:rPr>
        <w:t>t</w:t>
      </w:r>
      <w:r w:rsidR="00FC16DF">
        <w:rPr>
          <w:rFonts w:ascii="Calibri" w:hAnsi="Calibri" w:cs="Calibri"/>
        </w:rPr>
        <w:t>s</w:t>
      </w:r>
      <w:r w:rsidRPr="00CD7943">
        <w:rPr>
          <w:rFonts w:ascii="Calibri" w:hAnsi="Calibri" w:cs="Calibri"/>
        </w:rPr>
        <w:t xml:space="preserve"> who received donanemab had ‘slower progression’ of their </w:t>
      </w:r>
      <w:r w:rsidR="00C531DA">
        <w:rPr>
          <w:rFonts w:ascii="Calibri" w:hAnsi="Calibri" w:cs="Calibri"/>
        </w:rPr>
        <w:t>AD</w:t>
      </w:r>
      <w:r>
        <w:rPr>
          <w:rFonts w:ascii="Calibri" w:hAnsi="Calibri" w:cs="Calibri"/>
        </w:rPr>
        <w:t xml:space="preserve"> based on the </w:t>
      </w:r>
      <w:r w:rsidR="006F520E">
        <w:rPr>
          <w:rFonts w:ascii="Calibri" w:hAnsi="Calibri" w:cs="Calibri"/>
        </w:rPr>
        <w:t>iADRS</w:t>
      </w:r>
      <w:r w:rsidRPr="00CD7943">
        <w:rPr>
          <w:rFonts w:ascii="Calibri" w:hAnsi="Calibri" w:cs="Calibri"/>
        </w:rPr>
        <w:t> </w:t>
      </w:r>
      <w:r w:rsidR="008B1106">
        <w:rPr>
          <w:rFonts w:ascii="Calibri" w:hAnsi="Calibri" w:cs="Calibri"/>
        </w:rPr>
        <w:t>after</w:t>
      </w:r>
      <w:r w:rsidRPr="00CD7943">
        <w:rPr>
          <w:rFonts w:ascii="Calibri" w:hAnsi="Calibri" w:cs="Calibri"/>
        </w:rPr>
        <w:t xml:space="preserve"> </w:t>
      </w:r>
      <w:r w:rsidR="00961ADD">
        <w:rPr>
          <w:rFonts w:ascii="Calibri" w:hAnsi="Calibri" w:cs="Calibri"/>
        </w:rPr>
        <w:t>76 </w:t>
      </w:r>
      <w:r w:rsidR="008B1106">
        <w:rPr>
          <w:rFonts w:ascii="Calibri" w:hAnsi="Calibri" w:cs="Calibri"/>
        </w:rPr>
        <w:t>weeks of treatment</w:t>
      </w:r>
      <w:r w:rsidRPr="00CD7943">
        <w:rPr>
          <w:rFonts w:ascii="Calibri" w:hAnsi="Calibri" w:cs="Calibri"/>
        </w:rPr>
        <w:t>. </w:t>
      </w:r>
      <w:r w:rsidR="002F3140">
        <w:rPr>
          <w:rFonts w:ascii="Calibri" w:hAnsi="Calibri" w:cs="Calibri"/>
        </w:rPr>
        <w:t>T</w:t>
      </w:r>
      <w:r w:rsidR="003C640E">
        <w:rPr>
          <w:rFonts w:ascii="Calibri" w:hAnsi="Calibri" w:cs="Calibri"/>
        </w:rPr>
        <w:t>he iADRS</w:t>
      </w:r>
      <w:r w:rsidR="006F79FB">
        <w:rPr>
          <w:rFonts w:ascii="Calibri" w:hAnsi="Calibri" w:cs="Calibri"/>
        </w:rPr>
        <w:t xml:space="preserve"> </w:t>
      </w:r>
      <w:r w:rsidR="00D83D92">
        <w:rPr>
          <w:rFonts w:ascii="Calibri" w:hAnsi="Calibri" w:cs="Calibri"/>
        </w:rPr>
        <w:t xml:space="preserve">worsened from baseline </w:t>
      </w:r>
      <w:r w:rsidR="00E25CDF">
        <w:rPr>
          <w:rFonts w:ascii="Calibri" w:hAnsi="Calibri" w:cs="Calibri"/>
        </w:rPr>
        <w:t xml:space="preserve">by </w:t>
      </w:r>
      <w:r w:rsidR="00BE3445">
        <w:rPr>
          <w:rFonts w:ascii="Calibri" w:hAnsi="Calibri" w:cs="Calibri"/>
        </w:rPr>
        <w:t xml:space="preserve">an average of </w:t>
      </w:r>
      <w:r w:rsidR="00E25CDF">
        <w:rPr>
          <w:rFonts w:ascii="Calibri" w:hAnsi="Calibri" w:cs="Calibri"/>
        </w:rPr>
        <w:t>10</w:t>
      </w:r>
      <w:r w:rsidR="006F79FB">
        <w:rPr>
          <w:rFonts w:ascii="Calibri" w:hAnsi="Calibri" w:cs="Calibri"/>
        </w:rPr>
        <w:t>.19</w:t>
      </w:r>
      <w:r w:rsidR="00E25CDF">
        <w:rPr>
          <w:rFonts w:ascii="Calibri" w:hAnsi="Calibri" w:cs="Calibri"/>
        </w:rPr>
        <w:t xml:space="preserve"> points in those who received donanemab and by 13</w:t>
      </w:r>
      <w:r w:rsidR="006F79FB">
        <w:rPr>
          <w:rFonts w:ascii="Calibri" w:hAnsi="Calibri" w:cs="Calibri"/>
        </w:rPr>
        <w:t>.11</w:t>
      </w:r>
      <w:r w:rsidR="00E25CDF">
        <w:rPr>
          <w:rFonts w:ascii="Calibri" w:hAnsi="Calibri" w:cs="Calibri"/>
        </w:rPr>
        <w:t xml:space="preserve"> points in those who received placebo. Although this corresponded to a statistically significant difference of 2.92 </w:t>
      </w:r>
      <w:r w:rsidR="000E4031">
        <w:rPr>
          <w:rFonts w:ascii="Calibri" w:hAnsi="Calibri" w:cs="Calibri"/>
        </w:rPr>
        <w:t xml:space="preserve">points </w:t>
      </w:r>
      <w:r w:rsidR="00E25CDF">
        <w:rPr>
          <w:rFonts w:ascii="Calibri" w:hAnsi="Calibri" w:cs="Calibri"/>
        </w:rPr>
        <w:t xml:space="preserve">(95% CI: </w:t>
      </w:r>
      <w:r w:rsidR="00C82F2E">
        <w:rPr>
          <w:rFonts w:ascii="Calibri" w:hAnsi="Calibri" w:cs="Calibri"/>
        </w:rPr>
        <w:t xml:space="preserve">1.51, 4.33) favouring donanemab, the </w:t>
      </w:r>
      <w:r w:rsidR="006F79FB">
        <w:rPr>
          <w:rFonts w:ascii="Calibri" w:hAnsi="Calibri" w:cs="Calibri"/>
        </w:rPr>
        <w:t xml:space="preserve">PBAC noted that the </w:t>
      </w:r>
      <w:r w:rsidR="00C82F2E">
        <w:rPr>
          <w:rFonts w:ascii="Calibri" w:hAnsi="Calibri" w:cs="Calibri"/>
        </w:rPr>
        <w:t>estimated delay in disease progression was approximately 6 weeks</w:t>
      </w:r>
      <w:r w:rsidR="00330199">
        <w:rPr>
          <w:rFonts w:ascii="Calibri" w:hAnsi="Calibri" w:cs="Calibri"/>
        </w:rPr>
        <w:t>. The PBAC considered that it was highly uncertain if the deg</w:t>
      </w:r>
      <w:r w:rsidR="005C2807">
        <w:rPr>
          <w:rFonts w:ascii="Calibri" w:hAnsi="Calibri" w:cs="Calibri"/>
        </w:rPr>
        <w:t xml:space="preserve">ree of slowing in clinical progression was clinically meaningful or </w:t>
      </w:r>
      <w:r w:rsidR="0008614E">
        <w:rPr>
          <w:rFonts w:ascii="Calibri" w:hAnsi="Calibri" w:cs="Calibri"/>
        </w:rPr>
        <w:t xml:space="preserve">if </w:t>
      </w:r>
      <w:r w:rsidR="005C2807">
        <w:rPr>
          <w:rFonts w:ascii="Calibri" w:hAnsi="Calibri" w:cs="Calibri"/>
        </w:rPr>
        <w:t xml:space="preserve">it would produce a noticeable benefit to patients and caregivers. </w:t>
      </w:r>
      <w:r w:rsidRPr="00CD7943">
        <w:rPr>
          <w:rFonts w:ascii="Calibri" w:hAnsi="Calibri" w:cs="Calibri"/>
        </w:rPr>
        <w:t xml:space="preserve">A further concern of the PBAC was the lack of longer term evidence about the trajectory of the disease </w:t>
      </w:r>
      <w:r w:rsidR="00BC5EA4">
        <w:rPr>
          <w:rFonts w:ascii="Calibri" w:hAnsi="Calibri" w:cs="Calibri"/>
        </w:rPr>
        <w:t>once patients had ceased treatment</w:t>
      </w:r>
      <w:r w:rsidR="002B20CB">
        <w:rPr>
          <w:rFonts w:ascii="Calibri" w:hAnsi="Calibri" w:cs="Calibri"/>
        </w:rPr>
        <w:t xml:space="preserve"> relating to re-accumulation of amyloid plaques and sustained treatment benefit</w:t>
      </w:r>
      <w:r w:rsidR="00BC5EA4">
        <w:rPr>
          <w:rFonts w:ascii="Calibri" w:hAnsi="Calibri" w:cs="Calibri"/>
        </w:rPr>
        <w:t xml:space="preserve">. </w:t>
      </w:r>
      <w:r w:rsidR="007F03AE" w:rsidRPr="007F0738">
        <w:rPr>
          <w:rFonts w:cstheme="minorHAnsi"/>
          <w:snapToGrid w:val="0"/>
          <w:szCs w:val="24"/>
          <w:lang w:val="en-GB"/>
        </w:rPr>
        <w:t>The PBAC noted the p</w:t>
      </w:r>
      <w:r w:rsidR="007C6A97" w:rsidRPr="007C6A97">
        <w:rPr>
          <w:rFonts w:cstheme="minorHAnsi"/>
          <w:snapToGrid w:val="0"/>
          <w:szCs w:val="24"/>
          <w:lang w:val="en-GB"/>
        </w:rPr>
        <w:t xml:space="preserve">re-PBAC </w:t>
      </w:r>
      <w:r w:rsidR="007F03AE" w:rsidRPr="007F0738">
        <w:rPr>
          <w:rFonts w:cstheme="minorHAnsi"/>
          <w:snapToGrid w:val="0"/>
          <w:szCs w:val="24"/>
          <w:lang w:val="en-GB"/>
        </w:rPr>
        <w:t xml:space="preserve">response </w:t>
      </w:r>
      <w:r w:rsidR="007C6A97" w:rsidRPr="007C6A97">
        <w:rPr>
          <w:rFonts w:cstheme="minorHAnsi"/>
          <w:snapToGrid w:val="0"/>
          <w:szCs w:val="24"/>
          <w:lang w:val="en-GB"/>
        </w:rPr>
        <w:t>emphasise</w:t>
      </w:r>
      <w:r w:rsidR="00E35030">
        <w:rPr>
          <w:rFonts w:cstheme="minorHAnsi"/>
          <w:snapToGrid w:val="0"/>
          <w:szCs w:val="24"/>
          <w:lang w:val="en-GB"/>
        </w:rPr>
        <w:t>d</w:t>
      </w:r>
      <w:r w:rsidR="007C6A97" w:rsidRPr="007C6A97">
        <w:rPr>
          <w:rFonts w:cstheme="minorHAnsi"/>
          <w:snapToGrid w:val="0"/>
          <w:szCs w:val="24"/>
          <w:lang w:val="en-GB"/>
        </w:rPr>
        <w:t xml:space="preserve"> </w:t>
      </w:r>
      <w:r w:rsidR="007F03AE" w:rsidRPr="007F0738">
        <w:rPr>
          <w:rFonts w:cstheme="minorHAnsi"/>
          <w:snapToGrid w:val="0"/>
          <w:szCs w:val="24"/>
          <w:lang w:val="en-GB"/>
        </w:rPr>
        <w:t xml:space="preserve">the </w:t>
      </w:r>
      <w:r w:rsidR="007C6A97" w:rsidRPr="007C6A97">
        <w:rPr>
          <w:rFonts w:cstheme="minorHAnsi"/>
          <w:snapToGrid w:val="0"/>
          <w:szCs w:val="24"/>
          <w:lang w:val="en-GB"/>
        </w:rPr>
        <w:t>expectation of persistent treatment effects and divergence between treated and untreated groups is expected to widen</w:t>
      </w:r>
      <w:r w:rsidR="007F03AE" w:rsidRPr="007F0738">
        <w:rPr>
          <w:rFonts w:cstheme="minorHAnsi"/>
          <w:snapToGrid w:val="0"/>
          <w:szCs w:val="24"/>
          <w:lang w:val="en-GB"/>
        </w:rPr>
        <w:t>.</w:t>
      </w:r>
    </w:p>
    <w:p w14:paraId="63FFE6AB" w14:textId="31B590C7" w:rsidR="00DD02B1" w:rsidRPr="007F0738" w:rsidRDefault="00DD02B1" w:rsidP="00DD02B1">
      <w:pPr>
        <w:widowControl w:val="0"/>
        <w:numPr>
          <w:ilvl w:val="1"/>
          <w:numId w:val="23"/>
        </w:numPr>
        <w:spacing w:before="0" w:after="120"/>
        <w:ind w:left="720" w:hanging="720"/>
        <w:rPr>
          <w:rFonts w:cstheme="minorHAnsi"/>
          <w:snapToGrid w:val="0"/>
          <w:szCs w:val="24"/>
          <w:lang w:val="en-GB"/>
        </w:rPr>
      </w:pPr>
      <w:r w:rsidRPr="007F0738">
        <w:rPr>
          <w:rFonts w:cstheme="minorHAnsi"/>
          <w:snapToGrid w:val="0"/>
          <w:szCs w:val="24"/>
          <w:lang w:val="en-GB"/>
        </w:rPr>
        <w:t>Overall, the PBAC considered that although donanemab was superior compared to SOC at achieving amyloid clearance, the effect amyloid clearance has on the clinical outcomes and progression of early AD was very modest</w:t>
      </w:r>
      <w:r w:rsidR="004A6823">
        <w:rPr>
          <w:rFonts w:cstheme="minorHAnsi"/>
          <w:snapToGrid w:val="0"/>
          <w:szCs w:val="24"/>
          <w:lang w:val="en-GB"/>
        </w:rPr>
        <w:t xml:space="preserve">. Further, the PBAC considered that </w:t>
      </w:r>
      <w:r w:rsidR="006254BD">
        <w:rPr>
          <w:rFonts w:cstheme="minorHAnsi"/>
          <w:snapToGrid w:val="0"/>
          <w:szCs w:val="24"/>
          <w:lang w:val="en-GB"/>
        </w:rPr>
        <w:t xml:space="preserve">the clinical meaningfulness of the differences </w:t>
      </w:r>
      <w:r w:rsidR="003B0833">
        <w:rPr>
          <w:rFonts w:cstheme="minorHAnsi"/>
          <w:snapToGrid w:val="0"/>
          <w:szCs w:val="24"/>
          <w:lang w:val="en-GB"/>
        </w:rPr>
        <w:t xml:space="preserve">in clinical outcomes </w:t>
      </w:r>
      <w:r w:rsidR="006254BD">
        <w:rPr>
          <w:rFonts w:cstheme="minorHAnsi"/>
          <w:snapToGrid w:val="0"/>
          <w:szCs w:val="24"/>
          <w:lang w:val="en-GB"/>
        </w:rPr>
        <w:t>was unclear, with limited consensus in the literature.</w:t>
      </w:r>
      <w:r w:rsidRPr="007F0738">
        <w:rPr>
          <w:rFonts w:cstheme="minorHAnsi"/>
          <w:snapToGrid w:val="0"/>
          <w:szCs w:val="24"/>
          <w:lang w:val="en-GB"/>
        </w:rPr>
        <w:t xml:space="preserve"> </w:t>
      </w:r>
    </w:p>
    <w:p w14:paraId="3CE6749C" w14:textId="6E381857" w:rsidR="00113933" w:rsidRPr="00113933" w:rsidRDefault="00113933" w:rsidP="00DD02B1">
      <w:pPr>
        <w:widowControl w:val="0"/>
        <w:numPr>
          <w:ilvl w:val="1"/>
          <w:numId w:val="23"/>
        </w:numPr>
        <w:spacing w:before="0" w:after="120"/>
        <w:ind w:left="720" w:hanging="720"/>
        <w:rPr>
          <w:rFonts w:cstheme="minorHAnsi"/>
          <w:snapToGrid w:val="0"/>
          <w:szCs w:val="24"/>
          <w:lang w:val="en-GB"/>
        </w:rPr>
      </w:pPr>
      <w:r w:rsidRPr="00113933">
        <w:rPr>
          <w:rFonts w:ascii="Calibri" w:hAnsi="Calibri" w:cs="Calibri"/>
        </w:rPr>
        <w:t xml:space="preserve">The PBAC also noted the significant safety risks </w:t>
      </w:r>
      <w:r>
        <w:rPr>
          <w:rFonts w:ascii="Calibri" w:hAnsi="Calibri" w:cs="Calibri"/>
        </w:rPr>
        <w:t>associated with</w:t>
      </w:r>
      <w:r w:rsidRPr="00113933">
        <w:rPr>
          <w:rFonts w:ascii="Calibri" w:hAnsi="Calibri" w:cs="Calibri"/>
        </w:rPr>
        <w:t xml:space="preserve"> donanemab, </w:t>
      </w:r>
      <w:r>
        <w:rPr>
          <w:rFonts w:ascii="Calibri" w:hAnsi="Calibri" w:cs="Calibri"/>
        </w:rPr>
        <w:t>specifically</w:t>
      </w:r>
      <w:r w:rsidRPr="00113933">
        <w:rPr>
          <w:rFonts w:ascii="Calibri" w:hAnsi="Calibri" w:cs="Calibri"/>
        </w:rPr>
        <w:t xml:space="preserve">, the risk of </w:t>
      </w:r>
      <w:r>
        <w:rPr>
          <w:rFonts w:ascii="Calibri" w:hAnsi="Calibri" w:cs="Calibri"/>
        </w:rPr>
        <w:t>ARIA</w:t>
      </w:r>
      <w:r w:rsidR="00EA2DF2">
        <w:rPr>
          <w:rFonts w:ascii="Calibri" w:hAnsi="Calibri" w:cs="Calibri"/>
        </w:rPr>
        <w:t xml:space="preserve">, which can result in </w:t>
      </w:r>
      <w:r w:rsidR="00EB0A11">
        <w:rPr>
          <w:rFonts w:ascii="Calibri" w:hAnsi="Calibri" w:cs="Calibri"/>
        </w:rPr>
        <w:t>serious intracerebral haemorr</w:t>
      </w:r>
      <w:r w:rsidR="00DE3EB9">
        <w:rPr>
          <w:rFonts w:ascii="Calibri" w:hAnsi="Calibri" w:cs="Calibri"/>
        </w:rPr>
        <w:t>hage</w:t>
      </w:r>
      <w:r w:rsidRPr="00113933">
        <w:rPr>
          <w:rFonts w:ascii="Calibri" w:hAnsi="Calibri" w:cs="Calibri"/>
        </w:rPr>
        <w:t>. The PBAC acknowledged efforts to mitigate this risk for individuals on donanemab, including use of MRI safety monitoring</w:t>
      </w:r>
      <w:r w:rsidR="00A9117B">
        <w:rPr>
          <w:rFonts w:ascii="Calibri" w:hAnsi="Calibri" w:cs="Calibri"/>
        </w:rPr>
        <w:t xml:space="preserve"> and</w:t>
      </w:r>
      <w:r w:rsidR="005D0756">
        <w:rPr>
          <w:rFonts w:ascii="Calibri" w:hAnsi="Calibri" w:cs="Calibri"/>
        </w:rPr>
        <w:t xml:space="preserve"> </w:t>
      </w:r>
      <w:r w:rsidRPr="00113933">
        <w:rPr>
          <w:rFonts w:ascii="Calibri" w:hAnsi="Calibri" w:cs="Calibri"/>
        </w:rPr>
        <w:t xml:space="preserve">exclusion of people who are homozygous for </w:t>
      </w:r>
      <w:r w:rsidRPr="00A37200">
        <w:rPr>
          <w:rFonts w:ascii="Calibri" w:hAnsi="Calibri" w:cs="Calibri"/>
          <w:i/>
          <w:iCs/>
        </w:rPr>
        <w:t>APOE</w:t>
      </w:r>
      <w:r w:rsidR="005D0756" w:rsidRPr="00A37200">
        <w:rPr>
          <w:rFonts w:ascii="Calibri" w:hAnsi="Calibri" w:cs="Calibri"/>
          <w:i/>
          <w:iCs/>
        </w:rPr>
        <w:t>4</w:t>
      </w:r>
      <w:r w:rsidR="00A9117B">
        <w:rPr>
          <w:rFonts w:ascii="Calibri" w:hAnsi="Calibri" w:cs="Calibri"/>
        </w:rPr>
        <w:t xml:space="preserve">. The PBAC also noted </w:t>
      </w:r>
      <w:r w:rsidR="00A9117B">
        <w:rPr>
          <w:rFonts w:cstheme="minorHAnsi"/>
          <w:snapToGrid w:val="0"/>
          <w:szCs w:val="24"/>
          <w:lang w:val="en-GB"/>
        </w:rPr>
        <w:t xml:space="preserve">the initial treatment phase recommended in the TGA approved Product Information (350 mg in Week 0, 700 mg in Week 4 and 1,050 mg in Week 8) </w:t>
      </w:r>
      <w:r w:rsidR="00081691">
        <w:rPr>
          <w:rFonts w:cstheme="minorHAnsi"/>
          <w:snapToGrid w:val="0"/>
          <w:szCs w:val="24"/>
          <w:lang w:val="en-GB"/>
        </w:rPr>
        <w:t xml:space="preserve">that </w:t>
      </w:r>
      <w:r w:rsidR="00937D19">
        <w:rPr>
          <w:rFonts w:cstheme="minorHAnsi"/>
          <w:snapToGrid w:val="0"/>
          <w:szCs w:val="24"/>
          <w:lang w:val="en-GB"/>
        </w:rPr>
        <w:t>was based on the TRAILBLAZER-ALZ-6 trial</w:t>
      </w:r>
      <w:r w:rsidR="008963B2">
        <w:rPr>
          <w:rFonts w:cstheme="minorHAnsi"/>
          <w:snapToGrid w:val="0"/>
          <w:szCs w:val="24"/>
          <w:lang w:val="en-GB"/>
        </w:rPr>
        <w:t xml:space="preserve"> which demonstrated a lower risk of ARIA compared to the TB-2</w:t>
      </w:r>
      <w:r w:rsidR="002829C8">
        <w:rPr>
          <w:rFonts w:cstheme="minorHAnsi"/>
          <w:snapToGrid w:val="0"/>
          <w:szCs w:val="24"/>
          <w:lang w:val="en-GB"/>
        </w:rPr>
        <w:t xml:space="preserve"> trial (</w:t>
      </w:r>
      <w:r w:rsidR="00BA1AF9">
        <w:rPr>
          <w:rFonts w:cstheme="minorHAnsi"/>
          <w:snapToGrid w:val="0"/>
          <w:szCs w:val="24"/>
          <w:lang w:val="en-GB"/>
        </w:rPr>
        <w:t>700 mg every 4 weeks for the initial 3 doses</w:t>
      </w:r>
      <w:r w:rsidR="002829C8">
        <w:rPr>
          <w:rFonts w:cstheme="minorHAnsi"/>
          <w:snapToGrid w:val="0"/>
          <w:szCs w:val="24"/>
          <w:lang w:val="en-GB"/>
        </w:rPr>
        <w:t>)</w:t>
      </w:r>
      <w:r w:rsidR="00951FF1">
        <w:rPr>
          <w:rFonts w:cstheme="minorHAnsi"/>
          <w:snapToGrid w:val="0"/>
          <w:szCs w:val="24"/>
          <w:lang w:val="en-GB"/>
        </w:rPr>
        <w:t xml:space="preserve">. Although this reduced the incidence of </w:t>
      </w:r>
      <w:r w:rsidR="00815D0B">
        <w:rPr>
          <w:rFonts w:cstheme="minorHAnsi"/>
          <w:snapToGrid w:val="0"/>
          <w:szCs w:val="24"/>
          <w:lang w:val="en-GB"/>
        </w:rPr>
        <w:t xml:space="preserve">any </w:t>
      </w:r>
      <w:r w:rsidR="00951FF1">
        <w:rPr>
          <w:rFonts w:cstheme="minorHAnsi"/>
          <w:snapToGrid w:val="0"/>
          <w:szCs w:val="24"/>
          <w:lang w:val="en-GB"/>
        </w:rPr>
        <w:t xml:space="preserve">ARIA </w:t>
      </w:r>
      <w:r w:rsidR="00746226">
        <w:rPr>
          <w:rFonts w:cstheme="minorHAnsi"/>
          <w:snapToGrid w:val="0"/>
          <w:szCs w:val="24"/>
          <w:lang w:val="en-GB"/>
        </w:rPr>
        <w:t>from 36.8% in the donanemab arm of the TB-2 trial to 23.</w:t>
      </w:r>
      <w:r w:rsidR="00815D0B">
        <w:rPr>
          <w:rFonts w:cstheme="minorHAnsi"/>
          <w:snapToGrid w:val="0"/>
          <w:szCs w:val="24"/>
          <w:lang w:val="en-GB"/>
        </w:rPr>
        <w:t>6</w:t>
      </w:r>
      <w:r w:rsidR="00746226">
        <w:rPr>
          <w:rFonts w:cstheme="minorHAnsi"/>
          <w:snapToGrid w:val="0"/>
          <w:szCs w:val="24"/>
          <w:lang w:val="en-GB"/>
        </w:rPr>
        <w:t xml:space="preserve">% </w:t>
      </w:r>
      <w:r w:rsidR="00815D0B">
        <w:rPr>
          <w:rFonts w:cstheme="minorHAnsi"/>
          <w:snapToGrid w:val="0"/>
          <w:szCs w:val="24"/>
          <w:lang w:val="en-GB"/>
        </w:rPr>
        <w:t>in</w:t>
      </w:r>
      <w:r w:rsidR="00746226">
        <w:rPr>
          <w:rFonts w:cstheme="minorHAnsi"/>
          <w:snapToGrid w:val="0"/>
          <w:szCs w:val="24"/>
          <w:lang w:val="en-GB"/>
        </w:rPr>
        <w:t xml:space="preserve"> the TB-6 trial</w:t>
      </w:r>
      <w:r w:rsidR="00815D0B">
        <w:rPr>
          <w:rFonts w:cstheme="minorHAnsi"/>
          <w:snapToGrid w:val="0"/>
          <w:szCs w:val="24"/>
          <w:lang w:val="en-GB"/>
        </w:rPr>
        <w:t>,</w:t>
      </w:r>
      <w:r w:rsidR="003C6C65">
        <w:rPr>
          <w:rFonts w:cstheme="minorHAnsi"/>
          <w:snapToGrid w:val="0"/>
          <w:szCs w:val="24"/>
          <w:lang w:val="en-GB"/>
        </w:rPr>
        <w:t xml:space="preserve"> </w:t>
      </w:r>
      <w:r w:rsidR="006F2056">
        <w:rPr>
          <w:rFonts w:cstheme="minorHAnsi"/>
          <w:snapToGrid w:val="0"/>
          <w:szCs w:val="24"/>
          <w:lang w:val="en-GB"/>
        </w:rPr>
        <w:t xml:space="preserve">mainly </w:t>
      </w:r>
      <w:r w:rsidR="006A01EB">
        <w:rPr>
          <w:rFonts w:cstheme="minorHAnsi"/>
          <w:snapToGrid w:val="0"/>
          <w:szCs w:val="24"/>
          <w:lang w:val="en-GB"/>
        </w:rPr>
        <w:t xml:space="preserve">due to a reduction in ARIA-E, </w:t>
      </w:r>
      <w:r w:rsidR="00395DC5">
        <w:rPr>
          <w:rFonts w:cstheme="minorHAnsi"/>
          <w:snapToGrid w:val="0"/>
          <w:szCs w:val="24"/>
          <w:lang w:val="en-GB"/>
        </w:rPr>
        <w:t xml:space="preserve">the PBAC </w:t>
      </w:r>
      <w:r w:rsidR="00B76291">
        <w:rPr>
          <w:rFonts w:cstheme="minorHAnsi"/>
          <w:snapToGrid w:val="0"/>
          <w:szCs w:val="24"/>
          <w:lang w:val="en-GB"/>
        </w:rPr>
        <w:t xml:space="preserve">considered that the risk of ARIA remained high. </w:t>
      </w:r>
    </w:p>
    <w:p w14:paraId="464E7284" w14:textId="2E2B3224" w:rsidR="00AF3EEA" w:rsidRDefault="00AF3EEA"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The PBAC considered that donanemab was inferior compared to SOC in terms of </w:t>
      </w:r>
      <w:r w:rsidR="00DD02B1">
        <w:rPr>
          <w:rFonts w:cstheme="minorHAnsi"/>
          <w:snapToGrid w:val="0"/>
          <w:szCs w:val="24"/>
          <w:lang w:val="en-GB"/>
        </w:rPr>
        <w:t xml:space="preserve">comparative </w:t>
      </w:r>
      <w:r>
        <w:rPr>
          <w:rFonts w:cstheme="minorHAnsi"/>
          <w:snapToGrid w:val="0"/>
          <w:szCs w:val="24"/>
          <w:lang w:val="en-GB"/>
        </w:rPr>
        <w:t>safety.</w:t>
      </w:r>
    </w:p>
    <w:p w14:paraId="1AFB75A2" w14:textId="11B3B19B" w:rsidR="002C3C75" w:rsidRDefault="00E22B80"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The PBAC noted that there were a </w:t>
      </w:r>
      <w:r w:rsidR="005B40EC">
        <w:rPr>
          <w:rFonts w:cstheme="minorHAnsi"/>
          <w:snapToGrid w:val="0"/>
          <w:szCs w:val="24"/>
          <w:lang w:val="en-GB"/>
        </w:rPr>
        <w:t xml:space="preserve">number of </w:t>
      </w:r>
      <w:r>
        <w:rPr>
          <w:rFonts w:cstheme="minorHAnsi"/>
          <w:snapToGrid w:val="0"/>
          <w:szCs w:val="24"/>
          <w:lang w:val="en-GB"/>
        </w:rPr>
        <w:t>issues with the economic model</w:t>
      </w:r>
      <w:r w:rsidR="005B40EC">
        <w:rPr>
          <w:rFonts w:cstheme="minorHAnsi"/>
          <w:snapToGrid w:val="0"/>
          <w:szCs w:val="24"/>
          <w:lang w:val="en-GB"/>
        </w:rPr>
        <w:t>, including</w:t>
      </w:r>
      <w:r w:rsidR="005D36E1">
        <w:rPr>
          <w:rFonts w:cstheme="minorHAnsi"/>
          <w:snapToGrid w:val="0"/>
          <w:szCs w:val="24"/>
          <w:lang w:val="en-GB"/>
        </w:rPr>
        <w:t xml:space="preserve"> that </w:t>
      </w:r>
      <w:r>
        <w:rPr>
          <w:rFonts w:cstheme="minorHAnsi"/>
          <w:snapToGrid w:val="0"/>
          <w:szCs w:val="24"/>
          <w:lang w:val="en-GB"/>
        </w:rPr>
        <w:t>the:</w:t>
      </w:r>
      <w:r w:rsidR="002C3C75">
        <w:rPr>
          <w:rFonts w:cstheme="minorHAnsi"/>
          <w:snapToGrid w:val="0"/>
          <w:szCs w:val="24"/>
          <w:lang w:val="en-GB"/>
        </w:rPr>
        <w:t xml:space="preserve"> </w:t>
      </w:r>
    </w:p>
    <w:p w14:paraId="2DD28ED5" w14:textId="38EB1679" w:rsidR="00EB1553" w:rsidRDefault="0090286F" w:rsidP="00DD02B1">
      <w:pPr>
        <w:widowControl w:val="0"/>
        <w:numPr>
          <w:ilvl w:val="1"/>
          <w:numId w:val="27"/>
        </w:numPr>
        <w:spacing w:before="0" w:after="120"/>
        <w:ind w:left="1080"/>
        <w:rPr>
          <w:rFonts w:cstheme="minorHAnsi"/>
          <w:snapToGrid w:val="0"/>
          <w:szCs w:val="24"/>
          <w:lang w:val="en-GB"/>
        </w:rPr>
      </w:pPr>
      <w:r>
        <w:rPr>
          <w:rFonts w:cstheme="minorHAnsi"/>
          <w:snapToGrid w:val="0"/>
          <w:szCs w:val="24"/>
          <w:lang w:val="en-GB"/>
        </w:rPr>
        <w:lastRenderedPageBreak/>
        <w:t>modelled improvements in AD were driven by the assumption that the full donanem</w:t>
      </w:r>
      <w:r w:rsidR="00A53A74">
        <w:rPr>
          <w:rFonts w:cstheme="minorHAnsi"/>
          <w:snapToGrid w:val="0"/>
          <w:szCs w:val="24"/>
          <w:lang w:val="en-GB"/>
        </w:rPr>
        <w:t>a</w:t>
      </w:r>
      <w:r>
        <w:rPr>
          <w:rFonts w:cstheme="minorHAnsi"/>
          <w:snapToGrid w:val="0"/>
          <w:szCs w:val="24"/>
          <w:lang w:val="en-GB"/>
        </w:rPr>
        <w:t>b</w:t>
      </w:r>
      <w:r w:rsidR="00A53A74">
        <w:rPr>
          <w:rFonts w:cstheme="minorHAnsi"/>
          <w:snapToGrid w:val="0"/>
          <w:szCs w:val="24"/>
          <w:lang w:val="en-GB"/>
        </w:rPr>
        <w:t xml:space="preserve"> </w:t>
      </w:r>
      <w:r>
        <w:rPr>
          <w:rFonts w:cstheme="minorHAnsi"/>
          <w:snapToGrid w:val="0"/>
          <w:szCs w:val="24"/>
          <w:lang w:val="en-GB"/>
        </w:rPr>
        <w:t xml:space="preserve">treatment </w:t>
      </w:r>
      <w:r w:rsidR="00504A73">
        <w:rPr>
          <w:rFonts w:cstheme="minorHAnsi"/>
          <w:snapToGrid w:val="0"/>
          <w:szCs w:val="24"/>
          <w:lang w:val="en-GB"/>
        </w:rPr>
        <w:t xml:space="preserve">effect </w:t>
      </w:r>
      <w:r>
        <w:rPr>
          <w:rFonts w:cstheme="minorHAnsi"/>
          <w:snapToGrid w:val="0"/>
          <w:szCs w:val="24"/>
          <w:lang w:val="en-GB"/>
        </w:rPr>
        <w:t xml:space="preserve">would be maintained until Year 5.5, followed by linear waning </w:t>
      </w:r>
      <w:r w:rsidR="00A53A74">
        <w:rPr>
          <w:rFonts w:cstheme="minorHAnsi"/>
          <w:snapToGrid w:val="0"/>
          <w:szCs w:val="24"/>
          <w:lang w:val="en-GB"/>
        </w:rPr>
        <w:t>until Year 15</w:t>
      </w:r>
      <w:r w:rsidR="0067748A">
        <w:rPr>
          <w:rFonts w:cstheme="minorHAnsi"/>
          <w:snapToGrid w:val="0"/>
          <w:szCs w:val="24"/>
          <w:lang w:val="en-GB"/>
        </w:rPr>
        <w:t xml:space="preserve"> (see paragraph </w:t>
      </w:r>
      <w:r w:rsidR="0067748A">
        <w:rPr>
          <w:rFonts w:cstheme="minorHAnsi"/>
          <w:snapToGrid w:val="0"/>
          <w:szCs w:val="24"/>
          <w:lang w:val="en-GB"/>
        </w:rPr>
        <w:fldChar w:fldCharType="begin"/>
      </w:r>
      <w:r w:rsidR="0067748A">
        <w:rPr>
          <w:rFonts w:cstheme="minorHAnsi"/>
          <w:snapToGrid w:val="0"/>
          <w:szCs w:val="24"/>
          <w:lang w:val="en-GB"/>
        </w:rPr>
        <w:instrText xml:space="preserve"> REF _Ref204247630 \r \h </w:instrText>
      </w:r>
      <w:r w:rsidR="0067748A">
        <w:rPr>
          <w:rFonts w:cstheme="minorHAnsi"/>
          <w:snapToGrid w:val="0"/>
          <w:szCs w:val="24"/>
          <w:lang w:val="en-GB"/>
        </w:rPr>
      </w:r>
      <w:r w:rsidR="0067748A">
        <w:rPr>
          <w:rFonts w:cstheme="minorHAnsi"/>
          <w:snapToGrid w:val="0"/>
          <w:szCs w:val="24"/>
          <w:lang w:val="en-GB"/>
        </w:rPr>
        <w:fldChar w:fldCharType="separate"/>
      </w:r>
      <w:r w:rsidR="00392423">
        <w:rPr>
          <w:rFonts w:cstheme="minorHAnsi"/>
          <w:snapToGrid w:val="0"/>
          <w:szCs w:val="24"/>
          <w:lang w:val="en-GB"/>
        </w:rPr>
        <w:t>6.114</w:t>
      </w:r>
      <w:r w:rsidR="0067748A">
        <w:rPr>
          <w:rFonts w:cstheme="minorHAnsi"/>
          <w:snapToGrid w:val="0"/>
          <w:szCs w:val="24"/>
          <w:lang w:val="en-GB"/>
        </w:rPr>
        <w:fldChar w:fldCharType="end"/>
      </w:r>
      <w:r w:rsidR="0067748A">
        <w:rPr>
          <w:rFonts w:cstheme="minorHAnsi"/>
          <w:snapToGrid w:val="0"/>
          <w:szCs w:val="24"/>
          <w:lang w:val="en-GB"/>
        </w:rPr>
        <w:t>)</w:t>
      </w:r>
      <w:r w:rsidR="00D8274B">
        <w:rPr>
          <w:rFonts w:cstheme="minorHAnsi"/>
          <w:snapToGrid w:val="0"/>
          <w:szCs w:val="24"/>
          <w:lang w:val="en-GB"/>
        </w:rPr>
        <w:t xml:space="preserve">. </w:t>
      </w:r>
      <w:r w:rsidR="00A4350A">
        <w:rPr>
          <w:rFonts w:cstheme="minorHAnsi"/>
          <w:snapToGrid w:val="0"/>
          <w:szCs w:val="24"/>
          <w:lang w:val="en-GB"/>
        </w:rPr>
        <w:t>The PBAC, noting that no long</w:t>
      </w:r>
      <w:r w:rsidR="005128BB">
        <w:rPr>
          <w:rFonts w:cstheme="minorHAnsi"/>
          <w:snapToGrid w:val="0"/>
          <w:szCs w:val="24"/>
          <w:lang w:val="en-GB"/>
        </w:rPr>
        <w:t>-</w:t>
      </w:r>
      <w:r w:rsidR="00A4350A">
        <w:rPr>
          <w:rFonts w:cstheme="minorHAnsi"/>
          <w:snapToGrid w:val="0"/>
          <w:szCs w:val="24"/>
          <w:lang w:val="en-GB"/>
        </w:rPr>
        <w:t>term efficacy data were presented in the submission</w:t>
      </w:r>
      <w:r w:rsidR="00381402">
        <w:rPr>
          <w:rFonts w:cstheme="minorHAnsi"/>
          <w:snapToGrid w:val="0"/>
          <w:szCs w:val="24"/>
          <w:lang w:val="en-GB"/>
        </w:rPr>
        <w:t>,</w:t>
      </w:r>
      <w:r w:rsidR="00A4350A">
        <w:rPr>
          <w:rFonts w:cstheme="minorHAnsi"/>
          <w:snapToGrid w:val="0"/>
          <w:szCs w:val="24"/>
          <w:lang w:val="en-GB"/>
        </w:rPr>
        <w:t xml:space="preserve"> considered that the assumption that donanemab would result in a treatment benefit after 15 years highly implausible</w:t>
      </w:r>
    </w:p>
    <w:p w14:paraId="33624472" w14:textId="68ECEB92" w:rsidR="005128BB" w:rsidRDefault="00EB1553" w:rsidP="00DD02B1">
      <w:pPr>
        <w:widowControl w:val="0"/>
        <w:numPr>
          <w:ilvl w:val="1"/>
          <w:numId w:val="27"/>
        </w:numPr>
        <w:spacing w:before="0" w:after="120"/>
        <w:ind w:left="1080"/>
        <w:rPr>
          <w:rFonts w:cstheme="minorHAnsi"/>
          <w:snapToGrid w:val="0"/>
          <w:szCs w:val="24"/>
          <w:lang w:val="en-GB"/>
        </w:rPr>
      </w:pPr>
      <w:r>
        <w:rPr>
          <w:rFonts w:cstheme="minorHAnsi"/>
          <w:snapToGrid w:val="0"/>
          <w:szCs w:val="24"/>
          <w:lang w:val="en-GB"/>
        </w:rPr>
        <w:t xml:space="preserve">hazard ratio applied to inform the donanemab treatment effect was derived from a subgroup of the secondary outcome, </w:t>
      </w:r>
      <w:r w:rsidR="00574742">
        <w:rPr>
          <w:rFonts w:cstheme="minorHAnsi"/>
          <w:snapToGrid w:val="0"/>
          <w:szCs w:val="24"/>
          <w:lang w:val="en-GB"/>
        </w:rPr>
        <w:t>CDR-SB</w:t>
      </w:r>
      <w:r w:rsidR="00051C6D">
        <w:rPr>
          <w:rFonts w:cstheme="minorHAnsi"/>
          <w:snapToGrid w:val="0"/>
          <w:szCs w:val="24"/>
          <w:lang w:val="en-GB"/>
        </w:rPr>
        <w:t xml:space="preserve"> (see paragraph</w:t>
      </w:r>
      <w:r w:rsidR="00E26AC1">
        <w:rPr>
          <w:rFonts w:cstheme="minorHAnsi"/>
          <w:snapToGrid w:val="0"/>
          <w:szCs w:val="24"/>
          <w:lang w:val="en-GB"/>
        </w:rPr>
        <w:t>s</w:t>
      </w:r>
      <w:r w:rsidR="00051C6D">
        <w:rPr>
          <w:rFonts w:cstheme="minorHAnsi"/>
          <w:snapToGrid w:val="0"/>
          <w:szCs w:val="24"/>
          <w:lang w:val="en-GB"/>
        </w:rPr>
        <w:t xml:space="preserve"> </w:t>
      </w:r>
      <w:r w:rsidR="00051C6D">
        <w:rPr>
          <w:rFonts w:cstheme="minorHAnsi"/>
          <w:snapToGrid w:val="0"/>
          <w:szCs w:val="24"/>
          <w:lang w:val="en-GB"/>
        </w:rPr>
        <w:fldChar w:fldCharType="begin"/>
      </w:r>
      <w:r w:rsidR="00051C6D">
        <w:rPr>
          <w:rFonts w:cstheme="minorHAnsi"/>
          <w:snapToGrid w:val="0"/>
          <w:szCs w:val="24"/>
          <w:lang w:val="en-GB"/>
        </w:rPr>
        <w:instrText xml:space="preserve"> REF _Ref204247567 \r \h </w:instrText>
      </w:r>
      <w:r w:rsidR="00051C6D">
        <w:rPr>
          <w:rFonts w:cstheme="minorHAnsi"/>
          <w:snapToGrid w:val="0"/>
          <w:szCs w:val="24"/>
          <w:lang w:val="en-GB"/>
        </w:rPr>
      </w:r>
      <w:r w:rsidR="00051C6D">
        <w:rPr>
          <w:rFonts w:cstheme="minorHAnsi"/>
          <w:snapToGrid w:val="0"/>
          <w:szCs w:val="24"/>
          <w:lang w:val="en-GB"/>
        </w:rPr>
        <w:fldChar w:fldCharType="separate"/>
      </w:r>
      <w:r w:rsidR="00392423">
        <w:rPr>
          <w:rFonts w:cstheme="minorHAnsi"/>
          <w:snapToGrid w:val="0"/>
          <w:szCs w:val="24"/>
          <w:lang w:val="en-GB"/>
        </w:rPr>
        <w:t>6.111</w:t>
      </w:r>
      <w:r w:rsidR="00051C6D">
        <w:rPr>
          <w:rFonts w:cstheme="minorHAnsi"/>
          <w:snapToGrid w:val="0"/>
          <w:szCs w:val="24"/>
          <w:lang w:val="en-GB"/>
        </w:rPr>
        <w:fldChar w:fldCharType="end"/>
      </w:r>
      <w:r w:rsidR="00E26AC1">
        <w:rPr>
          <w:rFonts w:cstheme="minorHAnsi"/>
          <w:snapToGrid w:val="0"/>
          <w:szCs w:val="24"/>
          <w:lang w:val="en-GB"/>
        </w:rPr>
        <w:t xml:space="preserve"> and </w:t>
      </w:r>
      <w:r w:rsidR="00E26AC1">
        <w:rPr>
          <w:rFonts w:cstheme="minorHAnsi"/>
          <w:snapToGrid w:val="0"/>
          <w:szCs w:val="24"/>
          <w:lang w:val="en-GB"/>
        </w:rPr>
        <w:fldChar w:fldCharType="begin"/>
      </w:r>
      <w:r w:rsidR="00E26AC1">
        <w:rPr>
          <w:rFonts w:cstheme="minorHAnsi"/>
          <w:snapToGrid w:val="0"/>
          <w:szCs w:val="24"/>
          <w:lang w:val="en-GB"/>
        </w:rPr>
        <w:instrText xml:space="preserve"> REF _Ref204247605 \r \h </w:instrText>
      </w:r>
      <w:r w:rsidR="00E26AC1">
        <w:rPr>
          <w:rFonts w:cstheme="minorHAnsi"/>
          <w:snapToGrid w:val="0"/>
          <w:szCs w:val="24"/>
          <w:lang w:val="en-GB"/>
        </w:rPr>
      </w:r>
      <w:r w:rsidR="00E26AC1">
        <w:rPr>
          <w:rFonts w:cstheme="minorHAnsi"/>
          <w:snapToGrid w:val="0"/>
          <w:szCs w:val="24"/>
          <w:lang w:val="en-GB"/>
        </w:rPr>
        <w:fldChar w:fldCharType="separate"/>
      </w:r>
      <w:r w:rsidR="00392423">
        <w:rPr>
          <w:rFonts w:cstheme="minorHAnsi"/>
          <w:snapToGrid w:val="0"/>
          <w:szCs w:val="24"/>
          <w:lang w:val="en-GB"/>
        </w:rPr>
        <w:t>6.112</w:t>
      </w:r>
      <w:r w:rsidR="00E26AC1">
        <w:rPr>
          <w:rFonts w:cstheme="minorHAnsi"/>
          <w:snapToGrid w:val="0"/>
          <w:szCs w:val="24"/>
          <w:lang w:val="en-GB"/>
        </w:rPr>
        <w:fldChar w:fldCharType="end"/>
      </w:r>
      <w:r w:rsidR="00051C6D">
        <w:rPr>
          <w:rFonts w:cstheme="minorHAnsi"/>
          <w:snapToGrid w:val="0"/>
          <w:szCs w:val="24"/>
          <w:lang w:val="en-GB"/>
        </w:rPr>
        <w:t>)</w:t>
      </w:r>
      <w:r w:rsidR="00574742">
        <w:rPr>
          <w:rFonts w:cstheme="minorHAnsi"/>
          <w:snapToGrid w:val="0"/>
          <w:szCs w:val="24"/>
          <w:lang w:val="en-GB"/>
        </w:rPr>
        <w:t xml:space="preserve">. The PBAC considered that </w:t>
      </w:r>
      <w:r w:rsidR="007F4C7E">
        <w:rPr>
          <w:rFonts w:cstheme="minorHAnsi"/>
          <w:snapToGrid w:val="0"/>
          <w:szCs w:val="24"/>
          <w:lang w:val="en-GB"/>
        </w:rPr>
        <w:t xml:space="preserve">use of a secondary endpoint </w:t>
      </w:r>
      <w:r w:rsidR="004D50C1">
        <w:rPr>
          <w:rFonts w:cstheme="minorHAnsi"/>
          <w:snapToGrid w:val="0"/>
          <w:szCs w:val="24"/>
          <w:lang w:val="en-GB"/>
        </w:rPr>
        <w:t xml:space="preserve">from the trial was not adequately supported </w:t>
      </w:r>
    </w:p>
    <w:p w14:paraId="5535A159" w14:textId="3F72B855" w:rsidR="0053726F" w:rsidRDefault="0053726F" w:rsidP="00DD02B1">
      <w:pPr>
        <w:widowControl w:val="0"/>
        <w:numPr>
          <w:ilvl w:val="1"/>
          <w:numId w:val="27"/>
        </w:numPr>
        <w:spacing w:before="0" w:after="120"/>
        <w:ind w:left="1080"/>
        <w:rPr>
          <w:rFonts w:cstheme="minorHAnsi"/>
          <w:snapToGrid w:val="0"/>
          <w:szCs w:val="24"/>
          <w:lang w:val="en-GB"/>
        </w:rPr>
      </w:pPr>
      <w:r>
        <w:rPr>
          <w:rFonts w:cstheme="minorHAnsi"/>
          <w:snapToGrid w:val="0"/>
          <w:szCs w:val="24"/>
          <w:lang w:val="en-GB"/>
        </w:rPr>
        <w:t>model resulted in large incremental difference</w:t>
      </w:r>
      <w:r w:rsidR="000C4B2A">
        <w:rPr>
          <w:rFonts w:cstheme="minorHAnsi"/>
          <w:snapToGrid w:val="0"/>
          <w:szCs w:val="24"/>
          <w:lang w:val="en-GB"/>
        </w:rPr>
        <w:t xml:space="preserve">s between </w:t>
      </w:r>
      <w:r>
        <w:rPr>
          <w:rFonts w:cstheme="minorHAnsi"/>
          <w:snapToGrid w:val="0"/>
          <w:szCs w:val="24"/>
          <w:lang w:val="en-GB"/>
        </w:rPr>
        <w:t>the number of patients with</w:t>
      </w:r>
      <w:r w:rsidR="007F6015">
        <w:rPr>
          <w:rFonts w:cstheme="minorHAnsi"/>
          <w:snapToGrid w:val="0"/>
          <w:szCs w:val="24"/>
          <w:lang w:val="en-GB"/>
        </w:rPr>
        <w:t xml:space="preserve"> early and moderate and moderate and severe AD</w:t>
      </w:r>
      <w:r w:rsidR="004B722F">
        <w:rPr>
          <w:rFonts w:cstheme="minorHAnsi"/>
          <w:snapToGrid w:val="0"/>
          <w:szCs w:val="24"/>
          <w:lang w:val="en-GB"/>
        </w:rPr>
        <w:t xml:space="preserve"> (see paragraph </w:t>
      </w:r>
      <w:r w:rsidR="004B722F">
        <w:rPr>
          <w:rFonts w:cstheme="minorHAnsi"/>
          <w:snapToGrid w:val="0"/>
          <w:szCs w:val="24"/>
          <w:lang w:val="en-GB"/>
        </w:rPr>
        <w:fldChar w:fldCharType="begin"/>
      </w:r>
      <w:r w:rsidR="004B722F">
        <w:rPr>
          <w:rFonts w:cstheme="minorHAnsi"/>
          <w:snapToGrid w:val="0"/>
          <w:szCs w:val="24"/>
          <w:lang w:val="en-GB"/>
        </w:rPr>
        <w:instrText xml:space="preserve"> REF _Ref201333377 \r \h </w:instrText>
      </w:r>
      <w:r w:rsidR="004B722F">
        <w:rPr>
          <w:rFonts w:cstheme="minorHAnsi"/>
          <w:snapToGrid w:val="0"/>
          <w:szCs w:val="24"/>
          <w:lang w:val="en-GB"/>
        </w:rPr>
      </w:r>
      <w:r w:rsidR="004B722F">
        <w:rPr>
          <w:rFonts w:cstheme="minorHAnsi"/>
          <w:snapToGrid w:val="0"/>
          <w:szCs w:val="24"/>
          <w:lang w:val="en-GB"/>
        </w:rPr>
        <w:fldChar w:fldCharType="separate"/>
      </w:r>
      <w:r w:rsidR="00392423">
        <w:rPr>
          <w:rFonts w:cstheme="minorHAnsi"/>
          <w:snapToGrid w:val="0"/>
          <w:szCs w:val="24"/>
          <w:lang w:val="en-GB"/>
        </w:rPr>
        <w:t>6.123</w:t>
      </w:r>
      <w:r w:rsidR="004B722F">
        <w:rPr>
          <w:rFonts w:cstheme="minorHAnsi"/>
          <w:snapToGrid w:val="0"/>
          <w:szCs w:val="24"/>
          <w:lang w:val="en-GB"/>
        </w:rPr>
        <w:fldChar w:fldCharType="end"/>
      </w:r>
      <w:r w:rsidR="004B722F">
        <w:rPr>
          <w:rFonts w:cstheme="minorHAnsi"/>
          <w:snapToGrid w:val="0"/>
          <w:szCs w:val="24"/>
          <w:lang w:val="en-GB"/>
        </w:rPr>
        <w:t>)</w:t>
      </w:r>
      <w:r w:rsidR="000C4B2A">
        <w:rPr>
          <w:rFonts w:cstheme="minorHAnsi"/>
          <w:snapToGrid w:val="0"/>
          <w:szCs w:val="24"/>
          <w:lang w:val="en-GB"/>
        </w:rPr>
        <w:t xml:space="preserve">. The PBAC considered that the very modest delay in disease progression </w:t>
      </w:r>
      <w:r w:rsidR="00270155">
        <w:rPr>
          <w:rFonts w:cstheme="minorHAnsi"/>
          <w:snapToGrid w:val="0"/>
          <w:szCs w:val="24"/>
          <w:lang w:val="en-GB"/>
        </w:rPr>
        <w:t xml:space="preserve">from the </w:t>
      </w:r>
      <w:r w:rsidR="00181B11">
        <w:rPr>
          <w:rFonts w:cstheme="minorHAnsi"/>
          <w:snapToGrid w:val="0"/>
          <w:szCs w:val="24"/>
          <w:lang w:val="en-GB"/>
        </w:rPr>
        <w:t xml:space="preserve">trial </w:t>
      </w:r>
      <w:r w:rsidR="000C4B2A">
        <w:rPr>
          <w:rFonts w:cstheme="minorHAnsi"/>
          <w:snapToGrid w:val="0"/>
          <w:szCs w:val="24"/>
          <w:lang w:val="en-GB"/>
        </w:rPr>
        <w:t xml:space="preserve">would not result in </w:t>
      </w:r>
      <w:r w:rsidR="00EE329C">
        <w:rPr>
          <w:rFonts w:cstheme="minorHAnsi"/>
          <w:snapToGrid w:val="0"/>
          <w:szCs w:val="24"/>
          <w:lang w:val="en-GB"/>
        </w:rPr>
        <w:t>a reduction in the number of more severe AD cases</w:t>
      </w:r>
    </w:p>
    <w:p w14:paraId="727D0F74" w14:textId="0A493E87" w:rsidR="007A5A17" w:rsidRDefault="00EE329C" w:rsidP="00DD02B1">
      <w:pPr>
        <w:widowControl w:val="0"/>
        <w:numPr>
          <w:ilvl w:val="1"/>
          <w:numId w:val="27"/>
        </w:numPr>
        <w:spacing w:before="0" w:after="120"/>
        <w:ind w:left="1080"/>
        <w:rPr>
          <w:rFonts w:cstheme="minorHAnsi"/>
          <w:snapToGrid w:val="0"/>
          <w:szCs w:val="24"/>
          <w:lang w:val="en-GB"/>
        </w:rPr>
      </w:pPr>
      <w:r>
        <w:rPr>
          <w:rFonts w:cstheme="minorHAnsi"/>
          <w:snapToGrid w:val="0"/>
          <w:szCs w:val="24"/>
          <w:lang w:val="en-GB"/>
        </w:rPr>
        <w:t xml:space="preserve">model assumed a constant </w:t>
      </w:r>
      <w:r w:rsidR="00F5184D">
        <w:rPr>
          <w:rFonts w:cstheme="minorHAnsi"/>
          <w:snapToGrid w:val="0"/>
          <w:szCs w:val="24"/>
          <w:lang w:val="en-GB"/>
        </w:rPr>
        <w:t>risk</w:t>
      </w:r>
      <w:r>
        <w:rPr>
          <w:rFonts w:cstheme="minorHAnsi"/>
          <w:snapToGrid w:val="0"/>
          <w:szCs w:val="24"/>
          <w:lang w:val="en-GB"/>
        </w:rPr>
        <w:t xml:space="preserve"> of mortality </w:t>
      </w:r>
      <w:r w:rsidR="00F5184D">
        <w:rPr>
          <w:rFonts w:cstheme="minorHAnsi"/>
          <w:snapToGrid w:val="0"/>
          <w:szCs w:val="24"/>
          <w:lang w:val="en-GB"/>
        </w:rPr>
        <w:t>for all stages of AD</w:t>
      </w:r>
      <w:r w:rsidR="0067748A">
        <w:rPr>
          <w:rFonts w:cstheme="minorHAnsi"/>
          <w:snapToGrid w:val="0"/>
          <w:szCs w:val="24"/>
          <w:lang w:val="en-GB"/>
        </w:rPr>
        <w:t xml:space="preserve"> (see paragraph </w:t>
      </w:r>
      <w:r w:rsidR="0067748A">
        <w:rPr>
          <w:rFonts w:cstheme="minorHAnsi"/>
          <w:snapToGrid w:val="0"/>
          <w:szCs w:val="24"/>
          <w:lang w:val="en-GB"/>
        </w:rPr>
        <w:fldChar w:fldCharType="begin"/>
      </w:r>
      <w:r w:rsidR="0067748A">
        <w:rPr>
          <w:rFonts w:cstheme="minorHAnsi"/>
          <w:snapToGrid w:val="0"/>
          <w:szCs w:val="24"/>
          <w:lang w:val="en-GB"/>
        </w:rPr>
        <w:instrText xml:space="preserve"> REF _Ref204247657 \r \h </w:instrText>
      </w:r>
      <w:r w:rsidR="0067748A">
        <w:rPr>
          <w:rFonts w:cstheme="minorHAnsi"/>
          <w:snapToGrid w:val="0"/>
          <w:szCs w:val="24"/>
          <w:lang w:val="en-GB"/>
        </w:rPr>
      </w:r>
      <w:r w:rsidR="0067748A">
        <w:rPr>
          <w:rFonts w:cstheme="minorHAnsi"/>
          <w:snapToGrid w:val="0"/>
          <w:szCs w:val="24"/>
          <w:lang w:val="en-GB"/>
        </w:rPr>
        <w:fldChar w:fldCharType="separate"/>
      </w:r>
      <w:r w:rsidR="00392423">
        <w:rPr>
          <w:rFonts w:cstheme="minorHAnsi"/>
          <w:snapToGrid w:val="0"/>
          <w:szCs w:val="24"/>
          <w:lang w:val="en-GB"/>
        </w:rPr>
        <w:t>6.115</w:t>
      </w:r>
      <w:r w:rsidR="0067748A">
        <w:rPr>
          <w:rFonts w:cstheme="minorHAnsi"/>
          <w:snapToGrid w:val="0"/>
          <w:szCs w:val="24"/>
          <w:lang w:val="en-GB"/>
        </w:rPr>
        <w:fldChar w:fldCharType="end"/>
      </w:r>
      <w:r w:rsidR="00C50526">
        <w:rPr>
          <w:rFonts w:cstheme="minorHAnsi"/>
          <w:snapToGrid w:val="0"/>
          <w:szCs w:val="24"/>
          <w:lang w:val="en-GB"/>
        </w:rPr>
        <w:t>)</w:t>
      </w:r>
      <w:r w:rsidR="00F5184D">
        <w:rPr>
          <w:rFonts w:cstheme="minorHAnsi"/>
          <w:snapToGrid w:val="0"/>
          <w:szCs w:val="24"/>
          <w:lang w:val="en-GB"/>
        </w:rPr>
        <w:t xml:space="preserve">. The PBAC considered that </w:t>
      </w:r>
      <w:r w:rsidR="00990563">
        <w:rPr>
          <w:rFonts w:cstheme="minorHAnsi"/>
          <w:snapToGrid w:val="0"/>
          <w:szCs w:val="24"/>
          <w:lang w:val="en-GB"/>
        </w:rPr>
        <w:t>mortality risk would increase with worsening symptoms of AD</w:t>
      </w:r>
      <w:r w:rsidR="00C75BC9">
        <w:rPr>
          <w:rFonts w:cstheme="minorHAnsi"/>
          <w:snapToGrid w:val="0"/>
          <w:szCs w:val="24"/>
          <w:lang w:val="en-GB"/>
        </w:rPr>
        <w:t>.</w:t>
      </w:r>
    </w:p>
    <w:p w14:paraId="16B02F03" w14:textId="3D0E136D" w:rsidR="006C208B" w:rsidRDefault="006C208B"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The PBAC considered that the cost utility analysis presented in the submission was uncertain and </w:t>
      </w:r>
      <w:r w:rsidR="00181B11">
        <w:rPr>
          <w:rFonts w:cstheme="minorHAnsi"/>
          <w:snapToGrid w:val="0"/>
          <w:szCs w:val="24"/>
          <w:lang w:val="en-GB"/>
        </w:rPr>
        <w:t xml:space="preserve">highly </w:t>
      </w:r>
      <w:r>
        <w:rPr>
          <w:rFonts w:cstheme="minorHAnsi"/>
          <w:snapToGrid w:val="0"/>
          <w:szCs w:val="24"/>
          <w:lang w:val="en-GB"/>
        </w:rPr>
        <w:t xml:space="preserve">optimistic, noting that the majority of sensitivity analyses resulted in a significant increase to the incremental cost-effectiveness ratio (ICER; see </w:t>
      </w:r>
      <w:r w:rsidR="0072747E">
        <w:rPr>
          <w:rFonts w:cstheme="minorHAnsi"/>
          <w:snapToGrid w:val="0"/>
          <w:szCs w:val="24"/>
          <w:lang w:val="en-GB"/>
        </w:rPr>
        <w:fldChar w:fldCharType="begin"/>
      </w:r>
      <w:r w:rsidR="0072747E">
        <w:rPr>
          <w:rFonts w:cstheme="minorHAnsi"/>
          <w:snapToGrid w:val="0"/>
          <w:szCs w:val="24"/>
          <w:lang w:val="en-GB"/>
        </w:rPr>
        <w:instrText xml:space="preserve"> REF _Ref204780241 \h </w:instrText>
      </w:r>
      <w:r w:rsidR="0072747E">
        <w:rPr>
          <w:rFonts w:cstheme="minorHAnsi"/>
          <w:snapToGrid w:val="0"/>
          <w:szCs w:val="24"/>
          <w:lang w:val="en-GB"/>
        </w:rPr>
      </w:r>
      <w:r w:rsidR="0072747E">
        <w:rPr>
          <w:rFonts w:cstheme="minorHAnsi"/>
          <w:snapToGrid w:val="0"/>
          <w:szCs w:val="24"/>
          <w:lang w:val="en-GB"/>
        </w:rPr>
        <w:fldChar w:fldCharType="separate"/>
      </w:r>
      <w:r w:rsidR="00392423">
        <w:t xml:space="preserve">Table </w:t>
      </w:r>
      <w:r w:rsidR="00392423">
        <w:rPr>
          <w:noProof/>
        </w:rPr>
        <w:t>22</w:t>
      </w:r>
      <w:r w:rsidR="0072747E">
        <w:rPr>
          <w:rFonts w:cstheme="minorHAnsi"/>
          <w:snapToGrid w:val="0"/>
          <w:szCs w:val="24"/>
          <w:lang w:val="en-GB"/>
        </w:rPr>
        <w:fldChar w:fldCharType="end"/>
      </w:r>
      <w:r>
        <w:rPr>
          <w:rFonts w:cstheme="minorHAnsi"/>
          <w:snapToGrid w:val="0"/>
          <w:szCs w:val="24"/>
          <w:lang w:val="en-GB"/>
        </w:rPr>
        <w:t xml:space="preserve">). </w:t>
      </w:r>
    </w:p>
    <w:p w14:paraId="05DF0449" w14:textId="2B1C71D4" w:rsidR="00250D28" w:rsidRDefault="001012DA"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 xml:space="preserve">In terms of the financial impact, the PBAC noted that the submission had proposed an average annual expenditure </w:t>
      </w:r>
      <w:r w:rsidRPr="00DD5AD6">
        <w:rPr>
          <w:rFonts w:cstheme="minorHAnsi"/>
          <w:snapToGrid w:val="0"/>
          <w:szCs w:val="24"/>
          <w:lang w:val="en-GB"/>
        </w:rPr>
        <w:t xml:space="preserve">of </w:t>
      </w:r>
      <w:r w:rsidR="00D543BB" w:rsidRPr="00DD5AD6">
        <w:rPr>
          <w:rFonts w:cstheme="minorHAnsi"/>
          <w:snapToGrid w:val="0"/>
          <w:szCs w:val="24"/>
          <w:lang w:val="en-GB"/>
        </w:rPr>
        <w:t xml:space="preserve"> </w:t>
      </w:r>
      <w:r w:rsidR="00EE6D7B" w:rsidRPr="00DD5AD6">
        <w:rPr>
          <w:rFonts w:cstheme="minorHAnsi"/>
          <w:snapToGrid w:val="0"/>
          <w:szCs w:val="24"/>
          <w:lang w:val="en-GB"/>
        </w:rPr>
        <w:t>&gt;</w:t>
      </w:r>
      <w:r w:rsidR="00EE6D7B">
        <w:rPr>
          <w:rFonts w:cstheme="minorHAnsi"/>
          <w:snapToGrid w:val="0"/>
          <w:szCs w:val="24"/>
          <w:lang w:val="en-GB"/>
        </w:rPr>
        <w:t xml:space="preserve"> $1 billion </w:t>
      </w:r>
      <w:r w:rsidR="00D543BB">
        <w:rPr>
          <w:rFonts w:cstheme="minorHAnsi"/>
          <w:snapToGrid w:val="0"/>
          <w:szCs w:val="24"/>
          <w:lang w:val="en-GB"/>
        </w:rPr>
        <w:t xml:space="preserve">over the first six years of PBS listing. The PBAC noted the DUSC’s advice that the </w:t>
      </w:r>
      <w:r w:rsidR="0076482C">
        <w:rPr>
          <w:rFonts w:cstheme="minorHAnsi"/>
          <w:snapToGrid w:val="0"/>
          <w:szCs w:val="24"/>
          <w:lang w:val="en-GB"/>
        </w:rPr>
        <w:t xml:space="preserve">patient </w:t>
      </w:r>
      <w:r w:rsidR="00D543BB">
        <w:rPr>
          <w:rFonts w:cstheme="minorHAnsi"/>
          <w:snapToGrid w:val="0"/>
          <w:szCs w:val="24"/>
          <w:lang w:val="en-GB"/>
        </w:rPr>
        <w:t>estimates</w:t>
      </w:r>
      <w:r w:rsidR="0076482C">
        <w:rPr>
          <w:rFonts w:cstheme="minorHAnsi"/>
          <w:snapToGrid w:val="0"/>
          <w:szCs w:val="24"/>
          <w:lang w:val="en-GB"/>
        </w:rPr>
        <w:t>, derived using a system capacity approach,</w:t>
      </w:r>
      <w:r w:rsidR="00D543BB">
        <w:rPr>
          <w:rFonts w:cstheme="minorHAnsi"/>
          <w:snapToGrid w:val="0"/>
          <w:szCs w:val="24"/>
          <w:lang w:val="en-GB"/>
        </w:rPr>
        <w:t xml:space="preserve"> were uncertain</w:t>
      </w:r>
      <w:r w:rsidR="00EE0107">
        <w:rPr>
          <w:rFonts w:cstheme="minorHAnsi"/>
          <w:snapToGrid w:val="0"/>
          <w:szCs w:val="24"/>
          <w:lang w:val="en-GB"/>
        </w:rPr>
        <w:t xml:space="preserve">. The PBAC noted that </w:t>
      </w:r>
      <w:r w:rsidR="00C07804">
        <w:rPr>
          <w:rFonts w:cstheme="minorHAnsi"/>
          <w:snapToGrid w:val="0"/>
          <w:szCs w:val="24"/>
          <w:lang w:val="en-GB"/>
        </w:rPr>
        <w:t>the submission did not propose a</w:t>
      </w:r>
      <w:r w:rsidR="00EE0107">
        <w:rPr>
          <w:rFonts w:cstheme="minorHAnsi"/>
          <w:snapToGrid w:val="0"/>
          <w:szCs w:val="24"/>
          <w:lang w:val="en-GB"/>
        </w:rPr>
        <w:t xml:space="preserve"> Risk Sharing Arrangement </w:t>
      </w:r>
      <w:r w:rsidR="004C0EF4">
        <w:rPr>
          <w:rFonts w:cstheme="minorHAnsi"/>
          <w:snapToGrid w:val="0"/>
          <w:szCs w:val="24"/>
          <w:lang w:val="en-GB"/>
        </w:rPr>
        <w:t xml:space="preserve">and considered that </w:t>
      </w:r>
      <w:r w:rsidR="004C0EF4" w:rsidRPr="00DD5AD6">
        <w:rPr>
          <w:rFonts w:cstheme="minorHAnsi"/>
          <w:snapToGrid w:val="0"/>
          <w:szCs w:val="24"/>
          <w:lang w:val="en-GB"/>
        </w:rPr>
        <w:t xml:space="preserve">expenditure of </w:t>
      </w:r>
      <w:r w:rsidR="00EE6D7B" w:rsidRPr="00DD5AD6">
        <w:rPr>
          <w:rFonts w:cstheme="minorHAnsi"/>
          <w:snapToGrid w:val="0"/>
          <w:szCs w:val="24"/>
          <w:lang w:val="en-GB"/>
        </w:rPr>
        <w:t xml:space="preserve">&gt; $1 billion </w:t>
      </w:r>
      <w:r w:rsidR="004C0EF4" w:rsidRPr="00DD5AD6">
        <w:rPr>
          <w:rFonts w:cstheme="minorHAnsi"/>
          <w:snapToGrid w:val="0"/>
          <w:szCs w:val="24"/>
          <w:lang w:val="en-GB"/>
        </w:rPr>
        <w:t xml:space="preserve">over 6 years represented </w:t>
      </w:r>
      <w:r w:rsidR="00C8153C" w:rsidRPr="00DD5AD6">
        <w:rPr>
          <w:rFonts w:cstheme="minorHAnsi"/>
          <w:snapToGrid w:val="0"/>
          <w:szCs w:val="24"/>
          <w:lang w:val="en-GB"/>
        </w:rPr>
        <w:t>a substantial opportunity cost for the PBS</w:t>
      </w:r>
      <w:r w:rsidR="00C8153C">
        <w:rPr>
          <w:rFonts w:cstheme="minorHAnsi"/>
          <w:snapToGrid w:val="0"/>
          <w:szCs w:val="24"/>
          <w:lang w:val="en-GB"/>
        </w:rPr>
        <w:t xml:space="preserve"> and health budgets. Although the submission </w:t>
      </w:r>
      <w:r w:rsidR="00D73AEB">
        <w:rPr>
          <w:rFonts w:cstheme="minorHAnsi"/>
          <w:snapToGrid w:val="0"/>
          <w:szCs w:val="24"/>
          <w:lang w:val="en-GB"/>
        </w:rPr>
        <w:t xml:space="preserve">had suggested that the cost be interpreted in the context of the </w:t>
      </w:r>
      <w:r w:rsidR="001C225B">
        <w:rPr>
          <w:rFonts w:cstheme="minorHAnsi"/>
          <w:snapToGrid w:val="0"/>
          <w:szCs w:val="24"/>
          <w:lang w:val="en-GB"/>
        </w:rPr>
        <w:t xml:space="preserve">current </w:t>
      </w:r>
      <w:r w:rsidR="00D73AEB">
        <w:rPr>
          <w:rFonts w:cstheme="minorHAnsi"/>
          <w:snapToGrid w:val="0"/>
          <w:szCs w:val="24"/>
          <w:lang w:val="en-GB"/>
        </w:rPr>
        <w:t>substantial expenditure</w:t>
      </w:r>
      <w:r w:rsidR="001C225B">
        <w:rPr>
          <w:rFonts w:cstheme="minorHAnsi"/>
          <w:snapToGrid w:val="0"/>
          <w:szCs w:val="24"/>
          <w:lang w:val="en-GB"/>
        </w:rPr>
        <w:t xml:space="preserve"> of managing AD, it was not clear that any offsets would be realised</w:t>
      </w:r>
      <w:r w:rsidR="002666D5">
        <w:rPr>
          <w:rFonts w:cstheme="minorHAnsi"/>
          <w:snapToGrid w:val="0"/>
          <w:szCs w:val="24"/>
          <w:lang w:val="en-GB"/>
        </w:rPr>
        <w:t>,</w:t>
      </w:r>
      <w:r w:rsidR="00B077B8">
        <w:rPr>
          <w:rFonts w:cstheme="minorHAnsi"/>
          <w:snapToGrid w:val="0"/>
          <w:szCs w:val="24"/>
          <w:lang w:val="en-GB"/>
        </w:rPr>
        <w:t xml:space="preserve"> and there was potential that there would be inadequate funding available for other aspects of AD treatment</w:t>
      </w:r>
      <w:r w:rsidR="00C35519">
        <w:rPr>
          <w:rFonts w:cstheme="minorHAnsi"/>
          <w:snapToGrid w:val="0"/>
          <w:szCs w:val="24"/>
          <w:lang w:val="en-GB"/>
        </w:rPr>
        <w:t>, which may mean that the proposed benefits of donanemab are not realised in practice, given that donanemab – and indeed pharmacotherapy generally – is only one component of the public health response to AD.</w:t>
      </w:r>
    </w:p>
    <w:p w14:paraId="2D9841A0" w14:textId="698E080E" w:rsidR="00D41C6B" w:rsidRDefault="00D41C6B"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The PBAC noted that the</w:t>
      </w:r>
      <w:r w:rsidR="005D45B5">
        <w:rPr>
          <w:rFonts w:cstheme="minorHAnsi"/>
          <w:snapToGrid w:val="0"/>
          <w:szCs w:val="24"/>
          <w:lang w:val="en-GB"/>
        </w:rPr>
        <w:t>re were a number of issues with the proposed restrictions</w:t>
      </w:r>
      <w:r w:rsidR="00AA26B4">
        <w:rPr>
          <w:rFonts w:cstheme="minorHAnsi"/>
          <w:snapToGrid w:val="0"/>
          <w:szCs w:val="24"/>
          <w:lang w:val="en-GB"/>
        </w:rPr>
        <w:t xml:space="preserve">, as outlined </w:t>
      </w:r>
      <w:r w:rsidR="00DD5993">
        <w:rPr>
          <w:rFonts w:cstheme="minorHAnsi"/>
          <w:snapToGrid w:val="0"/>
          <w:szCs w:val="24"/>
          <w:lang w:val="en-GB"/>
        </w:rPr>
        <w:t xml:space="preserve">above </w:t>
      </w:r>
      <w:r w:rsidR="00AA26B4">
        <w:rPr>
          <w:rFonts w:cstheme="minorHAnsi"/>
          <w:snapToGrid w:val="0"/>
          <w:szCs w:val="24"/>
          <w:lang w:val="en-GB"/>
        </w:rPr>
        <w:t>in 3. Requested listing</w:t>
      </w:r>
      <w:r w:rsidR="00BF76C8">
        <w:rPr>
          <w:rFonts w:cstheme="minorHAnsi"/>
          <w:snapToGrid w:val="0"/>
          <w:szCs w:val="24"/>
          <w:lang w:val="en-GB"/>
        </w:rPr>
        <w:t>, which remain unresolved</w:t>
      </w:r>
      <w:r w:rsidR="00AA26B4">
        <w:rPr>
          <w:rFonts w:cstheme="minorHAnsi"/>
          <w:snapToGrid w:val="0"/>
          <w:szCs w:val="24"/>
          <w:lang w:val="en-GB"/>
        </w:rPr>
        <w:t>.</w:t>
      </w:r>
      <w:r w:rsidR="00153F16">
        <w:rPr>
          <w:rFonts w:cstheme="minorHAnsi"/>
          <w:snapToGrid w:val="0"/>
          <w:szCs w:val="24"/>
          <w:lang w:val="en-GB"/>
        </w:rPr>
        <w:t xml:space="preserve"> </w:t>
      </w:r>
    </w:p>
    <w:p w14:paraId="2A6B3131" w14:textId="452CC9B7" w:rsidR="007F5659" w:rsidRDefault="007F5659" w:rsidP="00DD02B1">
      <w:pPr>
        <w:widowControl w:val="0"/>
        <w:numPr>
          <w:ilvl w:val="1"/>
          <w:numId w:val="23"/>
        </w:numPr>
        <w:spacing w:before="0" w:after="120"/>
        <w:ind w:left="720" w:hanging="720"/>
        <w:rPr>
          <w:rFonts w:cstheme="minorHAnsi"/>
          <w:snapToGrid w:val="0"/>
          <w:szCs w:val="24"/>
          <w:lang w:val="en-GB"/>
        </w:rPr>
      </w:pPr>
      <w:r>
        <w:rPr>
          <w:rFonts w:cstheme="minorHAnsi"/>
          <w:snapToGrid w:val="0"/>
          <w:szCs w:val="24"/>
          <w:lang w:val="en-GB"/>
        </w:rPr>
        <w:t>The PBAC noted that this submission is eligible for an Independent Review.</w:t>
      </w:r>
    </w:p>
    <w:bookmarkEnd w:id="60"/>
    <w:p w14:paraId="09A1FF63" w14:textId="77777777" w:rsidR="00CF4C78" w:rsidRPr="00525B39" w:rsidRDefault="00CF4C78" w:rsidP="00CF4C78">
      <w:pPr>
        <w:spacing w:before="240" w:after="0"/>
        <w:rPr>
          <w:rFonts w:cs="Arial"/>
          <w:b/>
          <w:bCs/>
          <w:snapToGrid w:val="0"/>
          <w:lang w:val="en-GB"/>
        </w:rPr>
      </w:pPr>
      <w:r w:rsidRPr="00525B39">
        <w:rPr>
          <w:rFonts w:cs="Arial"/>
          <w:b/>
          <w:bCs/>
          <w:snapToGrid w:val="0"/>
          <w:lang w:val="en-GB"/>
        </w:rPr>
        <w:t>Outcome:</w:t>
      </w:r>
    </w:p>
    <w:p w14:paraId="26CF2A6B" w14:textId="17C08CE9" w:rsidR="00CF4C78" w:rsidRPr="00525B39" w:rsidRDefault="00CF4C78" w:rsidP="00DD5AD6">
      <w:pPr>
        <w:spacing w:before="0"/>
        <w:rPr>
          <w:rFonts w:cs="Arial"/>
          <w:bCs/>
          <w:snapToGrid w:val="0"/>
          <w:lang w:val="en-GB"/>
        </w:rPr>
      </w:pPr>
      <w:r>
        <w:rPr>
          <w:rFonts w:cs="Arial"/>
          <w:bCs/>
          <w:snapToGrid w:val="0"/>
          <w:lang w:val="en-GB"/>
        </w:rPr>
        <w:t>Not recommended</w:t>
      </w:r>
      <w:r w:rsidRPr="00525B39">
        <w:rPr>
          <w:rFonts w:cs="Arial"/>
          <w:bCs/>
          <w:snapToGrid w:val="0"/>
          <w:lang w:val="en-GB"/>
        </w:rPr>
        <w:t xml:space="preserve"> </w:t>
      </w:r>
    </w:p>
    <w:bookmarkEnd w:id="2"/>
    <w:bookmarkEnd w:id="3"/>
    <w:bookmarkEnd w:id="4"/>
    <w:bookmarkEnd w:id="59"/>
    <w:p w14:paraId="51440263" w14:textId="5A1845F7" w:rsidR="00920684" w:rsidRPr="0090150D" w:rsidRDefault="00920684" w:rsidP="00920684">
      <w:pPr>
        <w:pStyle w:val="2-SectionHeading"/>
        <w:numPr>
          <w:ilvl w:val="0"/>
          <w:numId w:val="23"/>
        </w:numPr>
        <w:ind w:left="720" w:hanging="720"/>
      </w:pPr>
      <w:r>
        <w:lastRenderedPageBreak/>
        <w:t>Context for Decision</w:t>
      </w:r>
    </w:p>
    <w:p w14:paraId="298162B3" w14:textId="77777777" w:rsidR="00920684" w:rsidRPr="00311EEF" w:rsidRDefault="00920684" w:rsidP="00920684">
      <w:pPr>
        <w:spacing w:after="120"/>
        <w:ind w:left="720"/>
        <w:rPr>
          <w:rFonts w:eastAsia="Times New Roman" w:cs="Arial"/>
          <w:bCs/>
          <w:szCs w:val="24"/>
          <w:lang w:val="en-GB" w:eastAsia="en-AU"/>
        </w:rPr>
      </w:pPr>
      <w:r w:rsidRPr="00311EEF">
        <w:rPr>
          <w:rFonts w:eastAsia="Times New Roman" w:cs="Arial"/>
          <w:bCs/>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B44178" w14:textId="51051710" w:rsidR="00920684" w:rsidRPr="00311EEF" w:rsidRDefault="00920684" w:rsidP="00920684">
      <w:pPr>
        <w:pStyle w:val="COMH1numbered"/>
      </w:pPr>
      <w:r>
        <w:t>9</w:t>
      </w:r>
      <w:r>
        <w:tab/>
      </w:r>
      <w:r w:rsidRPr="00311EEF">
        <w:t>Sponsor’s Comment</w:t>
      </w:r>
    </w:p>
    <w:p w14:paraId="2DB4AB70" w14:textId="636DFBDC" w:rsidR="0008002E" w:rsidRPr="00AF6F08" w:rsidRDefault="008E7ED2" w:rsidP="00AF6F08">
      <w:pPr>
        <w:spacing w:after="120"/>
        <w:ind w:left="720"/>
        <w:rPr>
          <w:rFonts w:cs="Arial"/>
          <w:bCs/>
          <w:szCs w:val="24"/>
        </w:rPr>
      </w:pPr>
      <w:r w:rsidRPr="008E7ED2">
        <w:rPr>
          <w:rFonts w:cs="Arial"/>
          <w:bCs/>
          <w:szCs w:val="24"/>
        </w:rPr>
        <w:t>Lilly wishes to thank all of the healthcare professionals, professional societies, leadership bodies, patient organisations and consumers for supporting the donanemab (Kisunla®) submission. We are disappointed by the PBAC’s decision not to recommend the PBS listing and remain concerned that the interpretation of the clinical data and its meaningfulness does not fully reflect the true value of donanemab – the first disease-modifying therapy available for Australians with early symptomatic Alzheimer’s disease. </w:t>
      </w:r>
    </w:p>
    <w:sectPr w:rsidR="0008002E" w:rsidRPr="00AF6F08">
      <w:headerReference w:type="even" r:id="rId31"/>
      <w:headerReference w:type="default" r:id="rId32"/>
      <w:footerReference w:type="even" r:id="rId33"/>
      <w:footerReference w:type="default" r:id="rId34"/>
      <w:headerReference w:type="first" r:id="rId35"/>
      <w:footerReference w:type="first" r:id="rId36"/>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61939" w14:textId="77777777" w:rsidR="00B52B02" w:rsidRDefault="00B52B02" w:rsidP="00BA3306">
      <w:pPr>
        <w:spacing w:before="0" w:after="0"/>
      </w:pPr>
      <w:r>
        <w:separator/>
      </w:r>
    </w:p>
    <w:p w14:paraId="07128756" w14:textId="77777777" w:rsidR="00B52B02" w:rsidRDefault="00B52B02"/>
  </w:endnote>
  <w:endnote w:type="continuationSeparator" w:id="0">
    <w:p w14:paraId="352273AE" w14:textId="77777777" w:rsidR="00B52B02" w:rsidRDefault="00B52B02" w:rsidP="00BA3306">
      <w:pPr>
        <w:spacing w:before="0" w:after="0"/>
      </w:pPr>
      <w:r>
        <w:continuationSeparator/>
      </w:r>
    </w:p>
    <w:p w14:paraId="05BCA0B9" w14:textId="77777777" w:rsidR="00B52B02" w:rsidRDefault="00B52B02"/>
  </w:endnote>
  <w:endnote w:type="continuationNotice" w:id="1">
    <w:p w14:paraId="1BA7CC4B" w14:textId="77777777" w:rsidR="00B52B02" w:rsidRDefault="00B52B0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_HKSCS-ExtB">
    <w:panose1 w:val="02020500000000000000"/>
    <w:charset w:val="88"/>
    <w:family w:val="roman"/>
    <w:pitch w:val="variable"/>
    <w:sig w:usb0="8000002F" w:usb1="0A080008" w:usb2="00000010" w:usb3="00000000" w:csb0="00100001"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CBFE" w14:textId="32E9EEB9" w:rsidR="00C20F05" w:rsidRDefault="00AF6F08">
    <w:pPr>
      <w:pStyle w:val="Footer"/>
    </w:pPr>
    <w:r>
      <w:rPr>
        <w:noProof/>
      </w:rPr>
      <mc:AlternateContent>
        <mc:Choice Requires="wps">
          <w:drawing>
            <wp:anchor distT="0" distB="0" distL="0" distR="0" simplePos="0" relativeHeight="251658244" behindDoc="0" locked="0" layoutInCell="1" allowOverlap="1" wp14:anchorId="53780CCB" wp14:editId="0E8BCF4F">
              <wp:simplePos x="635" y="635"/>
              <wp:positionH relativeFrom="page">
                <wp:align>center</wp:align>
              </wp:positionH>
              <wp:positionV relativeFrom="page">
                <wp:align>bottom</wp:align>
              </wp:positionV>
              <wp:extent cx="551815" cy="452755"/>
              <wp:effectExtent l="0" t="0" r="635" b="0"/>
              <wp:wrapNone/>
              <wp:docPr id="7300354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37631D5" w14:textId="686272F8"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780CCB"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2Z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nU/d76A54VAOxn17y9cdlt4wH56ZwwXjHCja&#10;8ISHVNDXFM4WJS24H3/zx3zkHaOU9CiYmhpUNCXqm8F9RG1NhpuMXTKK27zMMW4O+h5QhgW+CMuT&#10;iV4X1GRKB/oV5byKhTDEDMdyNd1N5n0YlYvPgYvVKiWhjCwLG7O1PEJHuiKXL8Mrc/ZMeMBNPcKk&#10;Jla94X3MjTe9XR0Csp+WEqkdiTwzjhJMaz0/l6jxX/9T1vVRL38C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VRtmQ4CAAAc&#10;BAAADgAAAAAAAAAAAAAAAAAuAgAAZHJzL2Uyb0RvYy54bWxQSwECLQAUAAYACAAAACEA763esdsA&#10;AAADAQAADwAAAAAAAAAAAAAAAABoBAAAZHJzL2Rvd25yZXYueG1sUEsFBgAAAAAEAAQA8wAAAHAF&#10;AAAAAA==&#10;" filled="f" stroked="f">
              <v:textbox style="mso-fit-shape-to-text:t" inset="0,0,0,15pt">
                <w:txbxContent>
                  <w:p w14:paraId="037631D5" w14:textId="686272F8"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BC30E" w14:textId="2D8DA7F3" w:rsidR="00A61D89" w:rsidRDefault="00AF6F08">
    <w:pPr>
      <w:pStyle w:val="Footer"/>
      <w:jc w:val="center"/>
    </w:pPr>
    <w:r>
      <w:rPr>
        <w:noProof/>
      </w:rPr>
      <mc:AlternateContent>
        <mc:Choice Requires="wps">
          <w:drawing>
            <wp:anchor distT="0" distB="0" distL="0" distR="0" simplePos="0" relativeHeight="251658245" behindDoc="0" locked="0" layoutInCell="1" allowOverlap="1" wp14:anchorId="2E70E7C6" wp14:editId="0AAF258D">
              <wp:simplePos x="635" y="635"/>
              <wp:positionH relativeFrom="page">
                <wp:align>center</wp:align>
              </wp:positionH>
              <wp:positionV relativeFrom="page">
                <wp:align>bottom</wp:align>
              </wp:positionV>
              <wp:extent cx="551815" cy="452755"/>
              <wp:effectExtent l="0" t="0" r="635" b="0"/>
              <wp:wrapNone/>
              <wp:docPr id="57756669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7376E824" w14:textId="33B4A351"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70E7C6"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kDgIAABw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U1fT91v4PmhEM5GPftLV93WHrDfHhiDheMc6Bo&#10;wyMeUkFfUzhblLTgfvzNH/ORd4xS0qNgampQ0ZSobwb3EbU1GW4ydskoPudljnFz0HeAMizwRVie&#10;TPS6oCZTOtAvKOdVLIQhZjiWq+luMu/CqFx8DlysVikJZWRZ2Jit5RE60hW5fB5emLNnwgNu6gEm&#10;NbHqFe9jbrzp7eoQkP20lEjtSOSZcZRgWuv5uUSN//qfsq6P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qOvfpA4CAAAc&#10;BAAADgAAAAAAAAAAAAAAAAAuAgAAZHJzL2Uyb0RvYy54bWxQSwECLQAUAAYACAAAACEA763esdsA&#10;AAADAQAADwAAAAAAAAAAAAAAAABoBAAAZHJzL2Rvd25yZXYueG1sUEsFBgAAAAAEAAQA8wAAAHAF&#10;AAAAAA==&#10;" filled="f" stroked="f">
              <v:textbox style="mso-fit-shape-to-text:t" inset="0,0,0,15pt">
                <w:txbxContent>
                  <w:p w14:paraId="7376E824" w14:textId="33B4A351"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v:textbox>
              <w10:wrap anchorx="page" anchory="page"/>
            </v:shape>
          </w:pict>
        </mc:Fallback>
      </mc:AlternateContent>
    </w:r>
  </w:p>
  <w:sdt>
    <w:sdtPr>
      <w:id w:val="8031468"/>
      <w:docPartObj>
        <w:docPartGallery w:val="Page Numbers (Bottom of Page)"/>
        <w:docPartUnique/>
      </w:docPartObj>
    </w:sdtPr>
    <w:sdtEndPr>
      <w:rPr>
        <w:b/>
        <w:bCs/>
        <w:noProof/>
      </w:rPr>
    </w:sdtEndPr>
    <w:sdtContent>
      <w:p w14:paraId="2217754A" w14:textId="55A21425" w:rsidR="00A61D89" w:rsidRPr="00A61D89" w:rsidRDefault="00A61D89">
        <w:pPr>
          <w:pStyle w:val="Footer"/>
          <w:jc w:val="center"/>
          <w:rPr>
            <w:b/>
            <w:bCs/>
          </w:rPr>
        </w:pPr>
        <w:r w:rsidRPr="00A61D89">
          <w:rPr>
            <w:b/>
            <w:bCs/>
          </w:rPr>
          <w:fldChar w:fldCharType="begin"/>
        </w:r>
        <w:r w:rsidRPr="00A61D89">
          <w:rPr>
            <w:b/>
            <w:bCs/>
          </w:rPr>
          <w:instrText xml:space="preserve"> PAGE   \* MERGEFORMAT </w:instrText>
        </w:r>
        <w:r w:rsidRPr="00A61D89">
          <w:rPr>
            <w:b/>
            <w:bCs/>
          </w:rPr>
          <w:fldChar w:fldCharType="separate"/>
        </w:r>
        <w:r w:rsidRPr="00A61D89">
          <w:rPr>
            <w:b/>
            <w:bCs/>
            <w:noProof/>
          </w:rPr>
          <w:t>2</w:t>
        </w:r>
        <w:r w:rsidRPr="00A61D89">
          <w:rPr>
            <w:b/>
            <w:bCs/>
            <w:noProof/>
          </w:rPr>
          <w:fldChar w:fldCharType="end"/>
        </w:r>
      </w:p>
    </w:sdtContent>
  </w:sdt>
  <w:p w14:paraId="27A182A0" w14:textId="50F89B82" w:rsidR="00227D10" w:rsidRPr="00A61D89" w:rsidRDefault="00227D10" w:rsidP="00A61D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CEF4" w14:textId="79473D40" w:rsidR="00C20F05" w:rsidRDefault="00AF6F08">
    <w:pPr>
      <w:pStyle w:val="Footer"/>
    </w:pPr>
    <w:r>
      <w:rPr>
        <w:noProof/>
      </w:rPr>
      <mc:AlternateContent>
        <mc:Choice Requires="wps">
          <w:drawing>
            <wp:anchor distT="0" distB="0" distL="0" distR="0" simplePos="0" relativeHeight="251658243" behindDoc="0" locked="0" layoutInCell="1" allowOverlap="1" wp14:anchorId="3D05A747" wp14:editId="5C11933F">
              <wp:simplePos x="635" y="635"/>
              <wp:positionH relativeFrom="page">
                <wp:align>center</wp:align>
              </wp:positionH>
              <wp:positionV relativeFrom="page">
                <wp:align>bottom</wp:align>
              </wp:positionV>
              <wp:extent cx="551815" cy="452755"/>
              <wp:effectExtent l="0" t="0" r="635" b="0"/>
              <wp:wrapNone/>
              <wp:docPr id="171484856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C923090" w14:textId="2F5DC3A1"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05A747"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5.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Ap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yNT9DpoTDuVg3Le3fN1h6Q3z4Zk5XDDOgaIN&#10;T3hIBX1N4WxR0oL78Td/zEfeMUpJj4KpqUFFU6K+GdxH1NZkuMnYJaO4zcsc4+ag7wFlWOCLsDyZ&#10;6HVBTaZ0oF9RzqtYCEPMcCxX091k3odRufgcuFitUhLKyLKwMVvLI3SkK3L5MrwyZ8+EB9zUI0xq&#10;YtUb3sfceNPb1SEg+2kpkdqRyDPjKMG01vNziRr/9T9lXR/18icA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mhwKQ4CAAAc&#10;BAAADgAAAAAAAAAAAAAAAAAuAgAAZHJzL2Uyb0RvYy54bWxQSwECLQAUAAYACAAAACEA763esdsA&#10;AAADAQAADwAAAAAAAAAAAAAAAABoBAAAZHJzL2Rvd25yZXYueG1sUEsFBgAAAAAEAAQA8wAAAHAF&#10;AAAAAA==&#10;" filled="f" stroked="f">
              <v:textbox style="mso-fit-shape-to-text:t" inset="0,0,0,15pt">
                <w:txbxContent>
                  <w:p w14:paraId="1C923090" w14:textId="2F5DC3A1"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87E2" w14:textId="77777777" w:rsidR="00B52B02" w:rsidRDefault="00B52B02" w:rsidP="00BA3306">
      <w:pPr>
        <w:spacing w:before="0" w:after="0"/>
      </w:pPr>
      <w:r>
        <w:separator/>
      </w:r>
    </w:p>
    <w:p w14:paraId="7C0FAF88" w14:textId="77777777" w:rsidR="00B52B02" w:rsidRDefault="00B52B02"/>
  </w:footnote>
  <w:footnote w:type="continuationSeparator" w:id="0">
    <w:p w14:paraId="76B2677D" w14:textId="77777777" w:rsidR="00B52B02" w:rsidRDefault="00B52B02" w:rsidP="00BA3306">
      <w:pPr>
        <w:spacing w:before="0" w:after="0"/>
      </w:pPr>
      <w:r>
        <w:continuationSeparator/>
      </w:r>
    </w:p>
    <w:p w14:paraId="35390DAA" w14:textId="77777777" w:rsidR="00B52B02" w:rsidRDefault="00B52B02"/>
  </w:footnote>
  <w:footnote w:type="continuationNotice" w:id="1">
    <w:p w14:paraId="417BB5A3" w14:textId="77777777" w:rsidR="00B52B02" w:rsidRDefault="00B52B02">
      <w:pPr>
        <w:spacing w:before="0" w:after="0"/>
      </w:pPr>
    </w:p>
  </w:footnote>
  <w:footnote w:id="2">
    <w:p w14:paraId="7DB755A8" w14:textId="77777777" w:rsidR="0008002E" w:rsidRDefault="0008002E" w:rsidP="0008002E">
      <w:pPr>
        <w:pStyle w:val="FootnoteText"/>
      </w:pPr>
      <w:r>
        <w:rPr>
          <w:rStyle w:val="FootnoteReference"/>
        </w:rPr>
        <w:footnoteRef/>
      </w:r>
      <w:r>
        <w:t xml:space="preserve"> A</w:t>
      </w:r>
      <w:r w:rsidRPr="001F4173">
        <w:t>llele subtype 4 of the gene coding for apolipoprotein class E</w:t>
      </w:r>
    </w:p>
  </w:footnote>
  <w:footnote w:id="3">
    <w:p w14:paraId="5B914AE3" w14:textId="352216F6" w:rsidR="00156E71" w:rsidRDefault="00156E71">
      <w:pPr>
        <w:pStyle w:val="FootnoteText"/>
      </w:pPr>
      <w:r>
        <w:rPr>
          <w:rStyle w:val="FootnoteReference"/>
        </w:rPr>
        <w:footnoteRef/>
      </w:r>
      <w:r>
        <w:t xml:space="preserve"> </w:t>
      </w:r>
      <w:r w:rsidRPr="00156E71">
        <w:t xml:space="preserve">AusPAR 'Conclusion' </w:t>
      </w:r>
      <w:r>
        <w:t>(</w:t>
      </w:r>
      <w:r w:rsidR="001A4D71" w:rsidRPr="001A4D71">
        <w:t>https://www.tga.gov.au/resources/auspar/auspar-kisunla</w:t>
      </w:r>
      <w:r w:rsidR="001A4D71">
        <w:t>)</w:t>
      </w:r>
    </w:p>
  </w:footnote>
  <w:footnote w:id="4">
    <w:p w14:paraId="7D5E15B9" w14:textId="39B9E8A4" w:rsidR="0008002E" w:rsidRDefault="0008002E" w:rsidP="0008002E">
      <w:pPr>
        <w:pStyle w:val="FootnoteText"/>
      </w:pPr>
      <w:r>
        <w:rPr>
          <w:rStyle w:val="FootnoteReference"/>
        </w:rPr>
        <w:footnoteRef/>
      </w:r>
      <w:r w:rsidR="00DF4445">
        <w:t xml:space="preserve"> </w:t>
      </w:r>
      <w:r w:rsidRPr="00B5711F">
        <w:t>https://www.ema.europa.eu/en/documents/smop-initial/questions-answers-refusal-marketing-authorisation-kisunla-donanemab_en.pdf</w:t>
      </w:r>
    </w:p>
  </w:footnote>
  <w:footnote w:id="5">
    <w:p w14:paraId="1D74589D" w14:textId="77777777" w:rsidR="0008002E" w:rsidRDefault="0008002E" w:rsidP="0008002E">
      <w:pPr>
        <w:pStyle w:val="FootnoteText"/>
      </w:pPr>
      <w:r>
        <w:rPr>
          <w:rStyle w:val="FootnoteReference"/>
        </w:rPr>
        <w:footnoteRef/>
      </w:r>
      <w:r>
        <w:t xml:space="preserve"> </w:t>
      </w:r>
      <w:r w:rsidRPr="00CE1585">
        <w:t xml:space="preserve">The MMSE is used as a screening test for evaluating cognitive impairment in older adults. The SMMSE </w:t>
      </w:r>
      <w:r>
        <w:t xml:space="preserve">is considered to provide </w:t>
      </w:r>
      <w:r w:rsidRPr="00CE1585">
        <w:t>scoring instructions and clear and unambiguous guidelines for administration of the MMSE tool, in order to increase reliability and reduce variability</w:t>
      </w:r>
      <w:r>
        <w:t xml:space="preserve">. </w:t>
      </w:r>
      <w:r w:rsidRPr="00CE1585">
        <w:t>The MMSE/SMME is available for download from the Independent Hospital Pricing Authority website: https://www.ihpa.gov.au/what-we-do/standardised-mini-mental-state-examination-smmse</w:t>
      </w:r>
      <w:r>
        <w:t>.</w:t>
      </w:r>
    </w:p>
  </w:footnote>
  <w:footnote w:id="6">
    <w:p w14:paraId="13784300" w14:textId="77777777" w:rsidR="0008002E" w:rsidRPr="0060077D" w:rsidRDefault="0008002E" w:rsidP="0008002E">
      <w:pPr>
        <w:pStyle w:val="FootnoteText"/>
      </w:pPr>
      <w:r>
        <w:rPr>
          <w:rStyle w:val="FootnoteReference"/>
        </w:rPr>
        <w:footnoteRef/>
      </w:r>
      <w:r>
        <w:t xml:space="preserve"> </w:t>
      </w:r>
      <w:r w:rsidRPr="0060077D">
        <w:t>Doraiswamy</w:t>
      </w:r>
      <w:r>
        <w:t xml:space="preserve"> PM et al.</w:t>
      </w:r>
      <w:r w:rsidRPr="0060077D">
        <w:t xml:space="preserve"> Amyloid-β assessed by florbetapir F 18 PET and 18-month cognitive decline: a multicenter study</w:t>
      </w:r>
      <w:r>
        <w:t xml:space="preserve">. </w:t>
      </w:r>
      <w:r w:rsidRPr="0060077D">
        <w:rPr>
          <w:i/>
          <w:iCs/>
        </w:rPr>
        <w:t>Neurology</w:t>
      </w:r>
      <w:r w:rsidRPr="0060077D">
        <w:t xml:space="preserve"> 2012, Vol. 79, Issue 16; pp1636-1644.</w:t>
      </w:r>
    </w:p>
  </w:footnote>
  <w:footnote w:id="7">
    <w:p w14:paraId="07AF00D0" w14:textId="77777777" w:rsidR="0008002E" w:rsidRDefault="0008002E" w:rsidP="0008002E">
      <w:pPr>
        <w:pStyle w:val="FootnoteText"/>
      </w:pPr>
      <w:r w:rsidRPr="0060077D">
        <w:rPr>
          <w:rStyle w:val="FootnoteReference"/>
        </w:rPr>
        <w:footnoteRef/>
      </w:r>
      <w:r w:rsidRPr="0060077D">
        <w:t xml:space="preserve"> Selkoe, DJ. The origins of Alzheimer disease: a is for amyloid</w:t>
      </w:r>
      <w:r>
        <w:t xml:space="preserve">. </w:t>
      </w:r>
      <w:r w:rsidRPr="0060077D">
        <w:rPr>
          <w:i/>
          <w:iCs/>
        </w:rPr>
        <w:t>JAMA</w:t>
      </w:r>
      <w:r>
        <w:t xml:space="preserve"> </w:t>
      </w:r>
      <w:r w:rsidRPr="0060077D">
        <w:t>2000</w:t>
      </w:r>
      <w:r>
        <w:t>,</w:t>
      </w:r>
      <w:r w:rsidRPr="0060077D">
        <w:t xml:space="preserve"> Vol. 283</w:t>
      </w:r>
      <w:r>
        <w:t>,</w:t>
      </w:r>
      <w:r w:rsidRPr="0060077D">
        <w:t xml:space="preserve"> Issue 12</w:t>
      </w:r>
      <w:r>
        <w:t>,</w:t>
      </w:r>
      <w:r w:rsidRPr="0060077D">
        <w:t xml:space="preserve"> </w:t>
      </w:r>
      <w:r>
        <w:t>pp</w:t>
      </w:r>
      <w:r w:rsidRPr="0060077D">
        <w:t>1615-1617</w:t>
      </w:r>
      <w:r>
        <w:t>.</w:t>
      </w:r>
    </w:p>
  </w:footnote>
  <w:footnote w:id="8">
    <w:p w14:paraId="5FBEECAC" w14:textId="77777777" w:rsidR="0008002E" w:rsidRDefault="0008002E" w:rsidP="0008002E">
      <w:pPr>
        <w:pStyle w:val="FootnoteText"/>
      </w:pPr>
    </w:p>
  </w:footnote>
  <w:footnote w:id="9">
    <w:p w14:paraId="3A8A7CC5" w14:textId="77777777" w:rsidR="0008002E" w:rsidRDefault="0008002E" w:rsidP="0008002E">
      <w:pPr>
        <w:pStyle w:val="FootnoteText"/>
      </w:pPr>
      <w:r>
        <w:rPr>
          <w:rStyle w:val="FootnoteReference"/>
        </w:rPr>
        <w:footnoteRef/>
      </w:r>
      <w:r>
        <w:t xml:space="preserve"> </w:t>
      </w:r>
      <w:r w:rsidRPr="00DD1600">
        <w:t xml:space="preserve">Cummings et al. Appropriate use recommendations. </w:t>
      </w:r>
      <w:r w:rsidRPr="00DD1600">
        <w:rPr>
          <w:i/>
          <w:iCs/>
        </w:rPr>
        <w:t>The Journal of Prevention of Alzheimer's Disease</w:t>
      </w:r>
      <w:r w:rsidRPr="00DD1600">
        <w:t>, 2023; pp1-16</w:t>
      </w:r>
    </w:p>
  </w:footnote>
  <w:footnote w:id="10">
    <w:p w14:paraId="6DE155D3" w14:textId="77777777" w:rsidR="0008002E" w:rsidRDefault="0008002E" w:rsidP="0008002E">
      <w:pPr>
        <w:pStyle w:val="FootnoteText"/>
      </w:pPr>
      <w:r>
        <w:rPr>
          <w:rStyle w:val="FootnoteReference"/>
        </w:rPr>
        <w:footnoteRef/>
      </w:r>
      <w:r>
        <w:t xml:space="preserve"> </w:t>
      </w:r>
      <w:r w:rsidRPr="0014227E">
        <w:t xml:space="preserve">Jack Jr, CR, et al. (2024). Revised criteria for diagnosis and staging of Alzheimer's disease: Alzheimer's Association Workgroup. </w:t>
      </w:r>
      <w:r w:rsidRPr="0014227E">
        <w:rPr>
          <w:i/>
          <w:iCs/>
        </w:rPr>
        <w:t>Alzheimer's &amp; Dementia</w:t>
      </w:r>
      <w:r w:rsidRPr="0014227E">
        <w:t xml:space="preserve"> 20(8): </w:t>
      </w:r>
      <w:r>
        <w:t>pp</w:t>
      </w:r>
      <w:r w:rsidRPr="0014227E">
        <w:t>5143-5169.</w:t>
      </w:r>
    </w:p>
  </w:footnote>
  <w:footnote w:id="11">
    <w:p w14:paraId="78A66BB2" w14:textId="77777777" w:rsidR="0008002E" w:rsidRDefault="0008002E" w:rsidP="0008002E">
      <w:pPr>
        <w:pStyle w:val="FootnoteText"/>
      </w:pPr>
      <w:r>
        <w:rPr>
          <w:rStyle w:val="FootnoteReference"/>
        </w:rPr>
        <w:footnoteRef/>
      </w:r>
      <w:r>
        <w:t xml:space="preserve"> </w:t>
      </w:r>
      <w:r w:rsidRPr="000B5AB4">
        <w:t>Mertaş, B</w:t>
      </w:r>
      <w:r>
        <w:t xml:space="preserve"> et al. </w:t>
      </w:r>
      <w:r w:rsidRPr="000B5AB4">
        <w:t xml:space="preserve">The Role of Genetic, Environmental, and Dietary Factors in Alzheimer's Disease: A Narrative Review. </w:t>
      </w:r>
      <w:r w:rsidRPr="000B5AB4">
        <w:rPr>
          <w:i/>
          <w:iCs/>
        </w:rPr>
        <w:t>Int J Mol Sci</w:t>
      </w:r>
      <w:r>
        <w:rPr>
          <w:i/>
          <w:iCs/>
        </w:rPr>
        <w:t xml:space="preserve"> </w:t>
      </w:r>
      <w:r>
        <w:t>2025</w:t>
      </w:r>
      <w:r>
        <w:rPr>
          <w:i/>
          <w:iCs/>
        </w:rPr>
        <w:t>;</w:t>
      </w:r>
      <w:r w:rsidRPr="000B5AB4">
        <w:t xml:space="preserve"> 26(3).</w:t>
      </w:r>
    </w:p>
  </w:footnote>
  <w:footnote w:id="12">
    <w:p w14:paraId="237E892C" w14:textId="77777777" w:rsidR="0008002E" w:rsidRDefault="0008002E" w:rsidP="0008002E">
      <w:pPr>
        <w:pStyle w:val="FootnoteText"/>
      </w:pPr>
      <w:r>
        <w:rPr>
          <w:rStyle w:val="FootnoteReference"/>
        </w:rPr>
        <w:footnoteRef/>
      </w:r>
      <w:r>
        <w:t xml:space="preserve"> </w:t>
      </w:r>
      <w:r w:rsidRPr="009C5EDE">
        <w:t xml:space="preserve">Matsuda, H et al. Neuroimaging of Alzheimer’s disease: focus on amyloid and tau PET. </w:t>
      </w:r>
      <w:r w:rsidRPr="009C5EDE">
        <w:rPr>
          <w:i/>
          <w:iCs/>
        </w:rPr>
        <w:t>Japanese Journal of Radiology</w:t>
      </w:r>
      <w:r w:rsidRPr="009C5EDE">
        <w:t xml:space="preserve"> </w:t>
      </w:r>
      <w:r>
        <w:t xml:space="preserve">2019; </w:t>
      </w:r>
      <w:r w:rsidRPr="009C5EDE">
        <w:t>37(11): 735-749.</w:t>
      </w:r>
    </w:p>
  </w:footnote>
  <w:footnote w:id="13">
    <w:p w14:paraId="48611A0D" w14:textId="77777777" w:rsidR="0008002E" w:rsidRDefault="0008002E" w:rsidP="0008002E">
      <w:pPr>
        <w:pStyle w:val="FootnoteText"/>
      </w:pPr>
      <w:r>
        <w:rPr>
          <w:rStyle w:val="FootnoteReference"/>
        </w:rPr>
        <w:footnoteRef/>
      </w:r>
      <w:r>
        <w:t xml:space="preserve"> </w:t>
      </w:r>
      <w:r w:rsidRPr="009C5EDE">
        <w:t xml:space="preserve">Islam, S et al. Multi-functional role of apolipoprotein E in neurodegenerative diseases. </w:t>
      </w:r>
      <w:r w:rsidRPr="009C5EDE">
        <w:rPr>
          <w:i/>
          <w:iCs/>
        </w:rPr>
        <w:t>Front Aging Neurosci</w:t>
      </w:r>
      <w:r w:rsidRPr="009C5EDE">
        <w:t xml:space="preserve"> </w:t>
      </w:r>
      <w:r>
        <w:t xml:space="preserve">2025; </w:t>
      </w:r>
      <w:r w:rsidRPr="009C5EDE">
        <w:t>17: 1535280.</w:t>
      </w:r>
    </w:p>
  </w:footnote>
  <w:footnote w:id="14">
    <w:p w14:paraId="50313FFC" w14:textId="77777777" w:rsidR="0008002E" w:rsidRDefault="0008002E" w:rsidP="0008002E">
      <w:pPr>
        <w:pStyle w:val="FootnoteText"/>
      </w:pPr>
      <w:r>
        <w:rPr>
          <w:rStyle w:val="FootnoteReference"/>
        </w:rPr>
        <w:footnoteRef/>
      </w:r>
      <w:r>
        <w:t xml:space="preserve"> </w:t>
      </w:r>
      <w:r w:rsidRPr="000B5AB4">
        <w:t>Ahn, EH</w:t>
      </w:r>
      <w:r>
        <w:t xml:space="preserve"> et al.</w:t>
      </w:r>
      <w:r w:rsidRPr="000B5AB4">
        <w:t xml:space="preserve"> Molecular Mechanisms of Alzheimer's Disease Induced by Amyloid-β and Tau Phosphorylation Along with RhoA Activity: Perspective of RhoA/Rho-Associated Protein Kinase Inhibitors for Neuronal Therapy</w:t>
      </w:r>
      <w:r>
        <w:t xml:space="preserve">. </w:t>
      </w:r>
      <w:r w:rsidRPr="000B5AB4">
        <w:rPr>
          <w:i/>
          <w:iCs/>
        </w:rPr>
        <w:t>Cells</w:t>
      </w:r>
      <w:r>
        <w:rPr>
          <w:i/>
          <w:iCs/>
        </w:rPr>
        <w:t xml:space="preserve"> </w:t>
      </w:r>
      <w:r>
        <w:t>2025;</w:t>
      </w:r>
      <w:r w:rsidRPr="000B5AB4">
        <w:t xml:space="preserve"> 14(2)</w:t>
      </w:r>
      <w:r>
        <w:t>.</w:t>
      </w:r>
    </w:p>
  </w:footnote>
  <w:footnote w:id="15">
    <w:p w14:paraId="0C708988" w14:textId="77777777" w:rsidR="0008002E" w:rsidRDefault="0008002E" w:rsidP="0008002E">
      <w:pPr>
        <w:pStyle w:val="FootnoteText"/>
      </w:pPr>
      <w:r>
        <w:rPr>
          <w:rStyle w:val="FootnoteReference"/>
        </w:rPr>
        <w:footnoteRef/>
      </w:r>
      <w:r>
        <w:t xml:space="preserve"> </w:t>
      </w:r>
      <w:r w:rsidRPr="000B5AB4">
        <w:t xml:space="preserve">Ashraf, F et al. Targeting Beta-Amyloid Protein with Monoclonal Antibodies: A New Hope for Alzheimer's Treatment. </w:t>
      </w:r>
      <w:r w:rsidRPr="009C5EDE">
        <w:t xml:space="preserve">Ann </w:t>
      </w:r>
      <w:r w:rsidRPr="009C5EDE">
        <w:rPr>
          <w:i/>
          <w:iCs/>
        </w:rPr>
        <w:t>Neurosci</w:t>
      </w:r>
      <w:r w:rsidRPr="009C5EDE">
        <w:t xml:space="preserve"> </w:t>
      </w:r>
      <w:r>
        <w:t xml:space="preserve">2024; </w:t>
      </w:r>
      <w:r w:rsidRPr="009C5EDE">
        <w:t>31(4): 243-245.</w:t>
      </w:r>
    </w:p>
  </w:footnote>
  <w:footnote w:id="16">
    <w:p w14:paraId="5458D7DC" w14:textId="77777777" w:rsidR="0008002E" w:rsidRDefault="0008002E" w:rsidP="0008002E">
      <w:pPr>
        <w:pStyle w:val="FootnoteText"/>
      </w:pPr>
      <w:r>
        <w:rPr>
          <w:rStyle w:val="FootnoteReference"/>
        </w:rPr>
        <w:footnoteRef/>
      </w:r>
      <w:r>
        <w:t xml:space="preserve"> </w:t>
      </w:r>
      <w:r w:rsidRPr="009C5EDE">
        <w:t xml:space="preserve">Reddi Sree, R et al. Newer Therapeutic Approaches in Treating Alzheimer's Disease: A Comprehensive Review. </w:t>
      </w:r>
      <w:r w:rsidRPr="009C5EDE">
        <w:rPr>
          <w:i/>
          <w:iCs/>
        </w:rPr>
        <w:t>ACS Omega</w:t>
      </w:r>
      <w:r w:rsidRPr="009C5EDE">
        <w:t xml:space="preserve"> </w:t>
      </w:r>
      <w:r>
        <w:t xml:space="preserve">2025; </w:t>
      </w:r>
      <w:r w:rsidRPr="009C5EDE">
        <w:t>10(6): 5148-5171.</w:t>
      </w:r>
    </w:p>
  </w:footnote>
  <w:footnote w:id="17">
    <w:p w14:paraId="6F5DE843" w14:textId="77777777" w:rsidR="0008002E" w:rsidRPr="00CB6EE6" w:rsidRDefault="0008002E" w:rsidP="0008002E">
      <w:pPr>
        <w:pStyle w:val="FootnoteText"/>
        <w:rPr>
          <w:lang w:val="de-DE"/>
        </w:rPr>
      </w:pPr>
      <w:r>
        <w:rPr>
          <w:rStyle w:val="FootnoteReference"/>
        </w:rPr>
        <w:footnoteRef/>
      </w:r>
      <w:r>
        <w:t xml:space="preserve"> </w:t>
      </w:r>
      <w:r w:rsidRPr="0007087A">
        <w:t xml:space="preserve">Better, M. A. (2023). Alzheimer’s disease facts and figures. </w:t>
      </w:r>
      <w:r w:rsidRPr="00CB6EE6">
        <w:rPr>
          <w:i/>
          <w:iCs/>
          <w:lang w:val="de-DE"/>
        </w:rPr>
        <w:t>Alzheimers Dement</w:t>
      </w:r>
      <w:r w:rsidRPr="00CB6EE6">
        <w:rPr>
          <w:lang w:val="de-DE"/>
        </w:rPr>
        <w:t xml:space="preserve"> 19(4): pp1598-1695.</w:t>
      </w:r>
    </w:p>
  </w:footnote>
  <w:footnote w:id="18">
    <w:p w14:paraId="00A44E47" w14:textId="77777777" w:rsidR="0008002E" w:rsidRPr="00872373" w:rsidRDefault="0008002E" w:rsidP="0008002E">
      <w:pPr>
        <w:pStyle w:val="FootnoteText"/>
      </w:pPr>
      <w:r>
        <w:rPr>
          <w:rStyle w:val="FootnoteReference"/>
        </w:rPr>
        <w:footnoteRef/>
      </w:r>
      <w:r w:rsidRPr="00CB6EE6">
        <w:rPr>
          <w:lang w:val="de-DE"/>
        </w:rPr>
        <w:t xml:space="preserve"> Dementia Australia. </w:t>
      </w:r>
      <w:hyperlink r:id="rId1" w:anchor="does-mild-cognitive-impairment-lead-to-dementia" w:history="1">
        <w:r w:rsidRPr="00872373">
          <w:rPr>
            <w:rStyle w:val="Hyperlink"/>
          </w:rPr>
          <w:t>https://www.dementia.org.au/brain-health/mild-cognitive-impairment-mci#does-mild-cognitive-impairment-lead-to-dementia</w:t>
        </w:r>
      </w:hyperlink>
      <w:r w:rsidRPr="00872373">
        <w:t xml:space="preserve">. </w:t>
      </w:r>
    </w:p>
  </w:footnote>
  <w:footnote w:id="19">
    <w:p w14:paraId="3A5B97B1" w14:textId="77777777" w:rsidR="0008002E" w:rsidRDefault="0008002E" w:rsidP="0008002E">
      <w:pPr>
        <w:pStyle w:val="FootnoteText"/>
      </w:pPr>
      <w:r>
        <w:rPr>
          <w:rStyle w:val="FootnoteReference"/>
        </w:rPr>
        <w:footnoteRef/>
      </w:r>
      <w:r>
        <w:t xml:space="preserve"> </w:t>
      </w:r>
      <w:r w:rsidRPr="0097584E">
        <w:t xml:space="preserve">Wang KN, Page AT, Etherton-Beer CD. Mild cognitive impairment: To diagnose or not to diagnose. </w:t>
      </w:r>
      <w:r w:rsidRPr="0030204E">
        <w:rPr>
          <w:i/>
          <w:iCs/>
        </w:rPr>
        <w:t>Australas J Ageing</w:t>
      </w:r>
      <w:r w:rsidRPr="0097584E">
        <w:t>. 2021;40(2):111-115. doi:10.1111/ajag.12913</w:t>
      </w:r>
    </w:p>
  </w:footnote>
  <w:footnote w:id="20">
    <w:p w14:paraId="66D726FC" w14:textId="77777777" w:rsidR="0008002E" w:rsidRPr="00F90DAD" w:rsidRDefault="0008002E" w:rsidP="0008002E">
      <w:pPr>
        <w:pStyle w:val="FootnoteText"/>
        <w:rPr>
          <w:bCs/>
          <w:lang w:val="en-US"/>
        </w:rPr>
      </w:pPr>
      <w:r>
        <w:rPr>
          <w:rStyle w:val="FootnoteReference"/>
        </w:rPr>
        <w:footnoteRef/>
      </w:r>
      <w:r>
        <w:t xml:space="preserve"> </w:t>
      </w:r>
      <w:r w:rsidRPr="00F90DAD">
        <w:rPr>
          <w:bCs/>
          <w:lang w:val="en-US"/>
        </w:rPr>
        <w:t>Evohealth (2024). Diagnosis to dignity: A vision for Alzheimer’s disease in Australia. Evohealth. Canberra.</w:t>
      </w:r>
    </w:p>
    <w:p w14:paraId="66FF7400" w14:textId="77777777" w:rsidR="0008002E" w:rsidRDefault="0008002E" w:rsidP="0008002E">
      <w:pPr>
        <w:pStyle w:val="FootnoteText"/>
      </w:pPr>
    </w:p>
  </w:footnote>
  <w:footnote w:id="21">
    <w:p w14:paraId="6E6B6BB7" w14:textId="3585A9AE" w:rsidR="00834805" w:rsidRPr="00834805" w:rsidRDefault="00A756DC" w:rsidP="00834805">
      <w:pPr>
        <w:pStyle w:val="FootnoteText"/>
        <w:rPr>
          <w:lang w:val="en-GB"/>
        </w:rPr>
      </w:pPr>
      <w:r>
        <w:rPr>
          <w:rStyle w:val="FootnoteReference"/>
        </w:rPr>
        <w:footnoteRef/>
      </w:r>
      <w:r>
        <w:t xml:space="preserve"> </w:t>
      </w:r>
      <w:r w:rsidR="00834805" w:rsidRPr="00834805">
        <w:rPr>
          <w:lang w:val="en-GB"/>
        </w:rPr>
        <w:t xml:space="preserve">1. Petersen RC, Aisen PS, Andrews JS, </w:t>
      </w:r>
      <w:r w:rsidR="00A60A44">
        <w:rPr>
          <w:lang w:val="en-GB"/>
        </w:rPr>
        <w:t>et al</w:t>
      </w:r>
      <w:r w:rsidR="00834805" w:rsidRPr="00834805">
        <w:rPr>
          <w:lang w:val="en-GB"/>
        </w:rPr>
        <w:t xml:space="preserve">. Expectations and clinical meaningfulness of randomized controlled trials. Alzheimers Dement. 2023 Jun;19(6):2730-2736.  2. Brück CC, Mooldijk SS, Kuiper LM, </w:t>
      </w:r>
      <w:r w:rsidR="00A60A44">
        <w:rPr>
          <w:lang w:val="en-GB"/>
        </w:rPr>
        <w:t>et al</w:t>
      </w:r>
      <w:r w:rsidR="00834805" w:rsidRPr="00834805">
        <w:rPr>
          <w:lang w:val="en-GB"/>
        </w:rPr>
        <w:t>. Time to nursing home admission and death in people with dementia: systematic review and meta-analysis. BMJ. 2025 Jan 8;388:e080636.</w:t>
      </w:r>
    </w:p>
    <w:p w14:paraId="7C6754FF" w14:textId="2A104038" w:rsidR="00A756DC" w:rsidRDefault="00A756DC">
      <w:pPr>
        <w:pStyle w:val="FootnoteText"/>
      </w:pPr>
    </w:p>
  </w:footnote>
  <w:footnote w:id="22">
    <w:p w14:paraId="711217C3" w14:textId="77777777" w:rsidR="0008002E" w:rsidRDefault="0008002E" w:rsidP="0008002E">
      <w:pPr>
        <w:pStyle w:val="FootnoteText"/>
      </w:pPr>
      <w:r>
        <w:rPr>
          <w:rStyle w:val="FootnoteReference"/>
        </w:rPr>
        <w:footnoteRef/>
      </w:r>
      <w:r>
        <w:t xml:space="preserve"> </w:t>
      </w:r>
      <w:r w:rsidRPr="002B7CFD">
        <w:t>Low/medium tau: standardized uptake value ratio</w:t>
      </w:r>
      <w:r>
        <w:t xml:space="preserve"> (</w:t>
      </w:r>
      <w:r w:rsidRPr="002B7CFD">
        <w:t>SUVR</w:t>
      </w:r>
      <w:r>
        <w:t>)</w:t>
      </w:r>
      <w:r w:rsidRPr="002B7CFD">
        <w:t xml:space="preserve"> ≤1.46 and a topographic deposition pattern consistent with advanced AD or 1.10≤ SUVR ≤1.46 and a topographic deposition consistent with moderate AD.</w:t>
      </w:r>
      <w:r>
        <w:t xml:space="preserve"> </w:t>
      </w:r>
      <w:r w:rsidRPr="002B7CFD">
        <w:t>High tau: SUVR &gt;1.46 and a topographic deposition pattern consistent with either moderate or advanced AD.</w:t>
      </w:r>
    </w:p>
  </w:footnote>
  <w:footnote w:id="23">
    <w:p w14:paraId="5E268607" w14:textId="77777777" w:rsidR="0008002E" w:rsidRDefault="0008002E" w:rsidP="0008002E">
      <w:pPr>
        <w:pStyle w:val="FootnoteText"/>
      </w:pPr>
      <w:r>
        <w:rPr>
          <w:rStyle w:val="FootnoteReference"/>
        </w:rPr>
        <w:footnoteRef/>
      </w:r>
      <w:r>
        <w:t xml:space="preserve"> </w:t>
      </w:r>
      <w:r w:rsidRPr="00671B3B">
        <w:t>CDR-SB assesses three domains of cognition (memory, orientation, judgment/problem-solving) and three domains of function (community affairs, home/hobbies, personal care) based on an interview with the patient or caregiver. The six domains are assigned a severity score ranging from 0 (no performance disability) to 3 (severe performance disability) and summed for a total possible score that ranges from 0 to 18. Higher scores suggest greater disease severity with scores between 0.5-4.0 indicate questionable cognitive impairment, 4.5-9 mild dementia, 9.5-15.5 indicate moderate dementia, and 16.0-18.0 indicate severe dementia.</w:t>
      </w:r>
    </w:p>
  </w:footnote>
  <w:footnote w:id="24">
    <w:p w14:paraId="06F0B3DB" w14:textId="77777777" w:rsidR="0008002E" w:rsidRDefault="0008002E" w:rsidP="0008002E">
      <w:pPr>
        <w:pStyle w:val="FootnoteText"/>
      </w:pPr>
      <w:r>
        <w:rPr>
          <w:rStyle w:val="FootnoteReference"/>
        </w:rPr>
        <w:footnoteRef/>
      </w:r>
      <w:r>
        <w:t xml:space="preserve"> </w:t>
      </w:r>
      <w:r w:rsidRPr="00394329">
        <w:t>ADAS Cog13 scores range from 0 to 85, with higher scores indicating greater overall cognition deficit</w:t>
      </w:r>
    </w:p>
  </w:footnote>
  <w:footnote w:id="25">
    <w:p w14:paraId="5B308EF5" w14:textId="77777777" w:rsidR="0008002E" w:rsidRDefault="0008002E" w:rsidP="0008002E">
      <w:pPr>
        <w:pStyle w:val="FootnoteText"/>
      </w:pPr>
      <w:r>
        <w:rPr>
          <w:rStyle w:val="FootnoteReference"/>
        </w:rPr>
        <w:footnoteRef/>
      </w:r>
      <w:r>
        <w:t xml:space="preserve"> </w:t>
      </w:r>
      <w:r w:rsidRPr="00875846">
        <w:t xml:space="preserve">ADCS-iADL </w:t>
      </w:r>
      <w:r>
        <w:t xml:space="preserve">scores </w:t>
      </w:r>
      <w:r w:rsidRPr="00875846">
        <w:t>range from 0 to 59, with lower scores indicating greater impairment in daily function</w:t>
      </w:r>
    </w:p>
  </w:footnote>
  <w:footnote w:id="26">
    <w:p w14:paraId="70E921E5" w14:textId="77777777" w:rsidR="0008002E" w:rsidRDefault="0008002E" w:rsidP="0008002E">
      <w:pPr>
        <w:pStyle w:val="FootnoteText"/>
      </w:pPr>
      <w:r>
        <w:rPr>
          <w:rStyle w:val="FootnoteReference"/>
        </w:rPr>
        <w:footnoteRef/>
      </w:r>
      <w:r>
        <w:t xml:space="preserve"> </w:t>
      </w:r>
      <w:r w:rsidRPr="007A24A5">
        <w:t>A global CDR score (CDR-G [ranging from 0 to 3]) is derived by a weighted calculation of the scores on each of the 6 domains. The risk or hazard of progressing to the next stage of AD, as measured using the CDR-G score, is considered a clinically important outcome. Clinical worsening was defined as any per patient increase in CDR-G score from baseline at two consecutive visits. Time to clinical worsening using the CDR-G was a prespecified and gated (adjusted for multiplicity) endpoint</w:t>
      </w:r>
      <w:r>
        <w:t xml:space="preserve"> in the TB-2 trial.</w:t>
      </w:r>
    </w:p>
  </w:footnote>
  <w:footnote w:id="27">
    <w:p w14:paraId="3AC646AD" w14:textId="77777777" w:rsidR="0008002E" w:rsidRDefault="0008002E" w:rsidP="0008002E">
      <w:pPr>
        <w:pStyle w:val="FootnoteText"/>
      </w:pPr>
      <w:r>
        <w:rPr>
          <w:rStyle w:val="FootnoteReference"/>
        </w:rPr>
        <w:footnoteRef/>
      </w:r>
      <w:r>
        <w:t xml:space="preserve"> </w:t>
      </w:r>
      <w:r w:rsidRPr="00875846">
        <w:t xml:space="preserve">MMSE </w:t>
      </w:r>
      <w:r>
        <w:t xml:space="preserve">scores </w:t>
      </w:r>
      <w:r w:rsidRPr="00875846">
        <w:t>range from 0 to 30, with lower scores indicating greater level of impairment</w:t>
      </w:r>
    </w:p>
  </w:footnote>
  <w:footnote w:id="28">
    <w:p w14:paraId="639237AF" w14:textId="77777777" w:rsidR="0008002E" w:rsidRDefault="0008002E" w:rsidP="0008002E">
      <w:pPr>
        <w:pStyle w:val="FootnoteText"/>
      </w:pPr>
      <w:r>
        <w:rPr>
          <w:rStyle w:val="FootnoteReference"/>
        </w:rPr>
        <w:footnoteRef/>
      </w:r>
      <w:r>
        <w:t xml:space="preserve"> </w:t>
      </w:r>
      <w:r w:rsidRPr="002B7CFD">
        <w:t>In TB, a standardized uptake value ratio (SUVr) of &gt;1.46 were considered to have a high tau level and were excluded from the study. Participants with minimal tau were also excluded unless they had a visual read pattern consistent with Alzheimer’s disease.</w:t>
      </w:r>
    </w:p>
  </w:footnote>
  <w:footnote w:id="29">
    <w:p w14:paraId="7B6F106F" w14:textId="77777777" w:rsidR="0008002E" w:rsidRDefault="0008002E" w:rsidP="0008002E">
      <w:pPr>
        <w:pStyle w:val="FootnoteText"/>
      </w:pPr>
      <w:r>
        <w:rPr>
          <w:rStyle w:val="FootnoteReference"/>
        </w:rPr>
        <w:footnoteRef/>
      </w:r>
      <w:r>
        <w:t xml:space="preserve"> Van Gool et al. </w:t>
      </w:r>
      <w:r w:rsidRPr="004D4915">
        <w:t>Unblinding in the lecanemab trial in Alzheimer’s disease</w:t>
      </w:r>
      <w:r>
        <w:t xml:space="preserve">. </w:t>
      </w:r>
      <w:r w:rsidRPr="004D4915">
        <w:t>Brain</w:t>
      </w:r>
      <w:r>
        <w:t>;</w:t>
      </w:r>
      <w:r w:rsidRPr="004D4915">
        <w:t xml:space="preserve"> 2023 </w:t>
      </w:r>
      <w:r>
        <w:t>(</w:t>
      </w:r>
      <w:r w:rsidRPr="004D4915">
        <w:t>Vol. 146</w:t>
      </w:r>
      <w:r>
        <w:t>);</w:t>
      </w:r>
      <w:r w:rsidRPr="004D4915">
        <w:t xml:space="preserve"> Issue 11</w:t>
      </w:r>
      <w:r>
        <w:t>,</w:t>
      </w:r>
      <w:r w:rsidRPr="004D4915">
        <w:t xml:space="preserve"> </w:t>
      </w:r>
      <w:r>
        <w:t xml:space="preserve">pp </w:t>
      </w:r>
      <w:r w:rsidRPr="004D4915">
        <w:t>e100-e100</w:t>
      </w:r>
      <w:r>
        <w:t>.</w:t>
      </w:r>
      <w:r w:rsidRPr="004D4915">
        <w:cr/>
      </w:r>
    </w:p>
  </w:footnote>
  <w:footnote w:id="30">
    <w:p w14:paraId="6ED666AF" w14:textId="77777777" w:rsidR="0008002E" w:rsidRDefault="0008002E" w:rsidP="0008002E">
      <w:pPr>
        <w:pStyle w:val="FootnoteText"/>
      </w:pPr>
      <w:r>
        <w:rPr>
          <w:rStyle w:val="FootnoteReference"/>
        </w:rPr>
        <w:footnoteRef/>
      </w:r>
      <w:r>
        <w:t xml:space="preserve"> </w:t>
      </w:r>
      <w:r w:rsidRPr="001054F4">
        <w:t>Hastie TJ. Generalized Additive Models. In: Chambers JM, Hastie TJ, editors. Statistical Models in S. Taylor &amp; Francis Group; 1992: chapter 7; p272</w:t>
      </w:r>
      <w:r>
        <w:t>.</w:t>
      </w:r>
    </w:p>
  </w:footnote>
  <w:footnote w:id="31">
    <w:p w14:paraId="322E4B39" w14:textId="77777777" w:rsidR="0008002E" w:rsidRDefault="0008002E" w:rsidP="0008002E">
      <w:pPr>
        <w:pStyle w:val="FootnoteText"/>
      </w:pPr>
      <w:r>
        <w:rPr>
          <w:rStyle w:val="FootnoteReference"/>
        </w:rPr>
        <w:footnoteRef/>
      </w:r>
      <w:r>
        <w:t xml:space="preserve"> </w:t>
      </w:r>
      <w:r w:rsidRPr="009D6286">
        <w:t xml:space="preserve">Sims, JR. et al. (2023). Donanemab in Early Symptomatic Alzheimer Disease: The TRAILBLAZER-ALZ 2 Randomized Clinical Trial. </w:t>
      </w:r>
      <w:r>
        <w:rPr>
          <w:i/>
          <w:iCs/>
        </w:rPr>
        <w:t>JAMA</w:t>
      </w:r>
      <w:r w:rsidRPr="009D6286">
        <w:rPr>
          <w:i/>
          <w:iCs/>
        </w:rPr>
        <w:t xml:space="preserve"> </w:t>
      </w:r>
      <w:r w:rsidRPr="009D6286">
        <w:t>330(6): 512-527</w:t>
      </w:r>
    </w:p>
  </w:footnote>
  <w:footnote w:id="32">
    <w:p w14:paraId="3508A917" w14:textId="77777777" w:rsidR="0008002E" w:rsidRDefault="0008002E" w:rsidP="0008002E">
      <w:pPr>
        <w:pStyle w:val="FootnoteText"/>
      </w:pPr>
      <w:r>
        <w:rPr>
          <w:rStyle w:val="FootnoteReference"/>
        </w:rPr>
        <w:footnoteRef/>
      </w:r>
      <w:r>
        <w:t xml:space="preserve"> Petersen, R. et al (2012) Expectations and clinical meaningfulness of randomized controlled trials. </w:t>
      </w:r>
      <w:r w:rsidRPr="00480FAD">
        <w:rPr>
          <w:i/>
          <w:iCs/>
        </w:rPr>
        <w:t>Alzheimers Dement</w:t>
      </w:r>
      <w:r>
        <w:t xml:space="preserve"> 19(6):2730-2736</w:t>
      </w:r>
    </w:p>
  </w:footnote>
  <w:footnote w:id="33">
    <w:p w14:paraId="284BB9F6" w14:textId="77777777" w:rsidR="0008002E" w:rsidRDefault="0008002E" w:rsidP="0008002E">
      <w:pPr>
        <w:pStyle w:val="FootnoteText"/>
      </w:pPr>
      <w:r>
        <w:rPr>
          <w:rStyle w:val="FootnoteReference"/>
        </w:rPr>
        <w:footnoteRef/>
      </w:r>
      <w:r>
        <w:t xml:space="preserve"> </w:t>
      </w:r>
      <w:r w:rsidRPr="00FC49E4">
        <w:t>5 points decrease in iADRS for patients with MMSE at screening of 27-30 or 9 points decrease for subjects with MMSE at screening of 20-26</w:t>
      </w:r>
      <w:r>
        <w:t>.</w:t>
      </w:r>
    </w:p>
  </w:footnote>
  <w:footnote w:id="34">
    <w:p w14:paraId="7C29EDB4" w14:textId="77777777" w:rsidR="0008002E" w:rsidRDefault="0008002E" w:rsidP="0008002E">
      <w:pPr>
        <w:pStyle w:val="FootnoteText"/>
      </w:pPr>
      <w:r>
        <w:rPr>
          <w:rStyle w:val="FootnoteReference"/>
        </w:rPr>
        <w:footnoteRef/>
      </w:r>
      <w:r>
        <w:t xml:space="preserve"> </w:t>
      </w:r>
      <w:r w:rsidRPr="009D6286">
        <w:t>Lansdall, CJ., et al. (2023). Establishing clinically meaningful change on outcome assessments frequently used in trials of mild cognitive impairment due to Alzheimer’s diseas</w:t>
      </w:r>
      <w:r>
        <w:t>e.</w:t>
      </w:r>
      <w:r w:rsidRPr="009D6286">
        <w:t xml:space="preserve"> </w:t>
      </w:r>
      <w:r w:rsidRPr="009D6286">
        <w:rPr>
          <w:i/>
          <w:iCs/>
        </w:rPr>
        <w:t>The Journal of Prevention of Alzheimer's Disease</w:t>
      </w:r>
      <w:r w:rsidRPr="009D6286">
        <w:t xml:space="preserve"> 10(1): 9-18.</w:t>
      </w:r>
    </w:p>
  </w:footnote>
  <w:footnote w:id="35">
    <w:p w14:paraId="6F90FC56" w14:textId="77777777" w:rsidR="0008002E" w:rsidRPr="000B75F8" w:rsidRDefault="0008002E" w:rsidP="0008002E">
      <w:pPr>
        <w:pStyle w:val="FootnoteText"/>
      </w:pPr>
      <w:r w:rsidRPr="000B75F8">
        <w:rPr>
          <w:rStyle w:val="FootnoteReference"/>
        </w:rPr>
        <w:footnoteRef/>
      </w:r>
      <w:r w:rsidRPr="000B75F8">
        <w:t xml:space="preserve"> US Food and Drug Administration. Patient‐Focused Drug Development Guidance Public Workshop. Incorporating Clinical Outcome Assessments into Endpoints for Regulatory Decision‐Making. Accessed </w:t>
      </w:r>
      <w:r>
        <w:t>March 22</w:t>
      </w:r>
      <w:r w:rsidRPr="000B75F8">
        <w:t>, 202</w:t>
      </w:r>
      <w:r>
        <w:t>5</w:t>
      </w:r>
      <w:r w:rsidRPr="000B75F8">
        <w:t xml:space="preserve">: </w:t>
      </w:r>
      <w:hyperlink r:id="rId2" w:history="1">
        <w:r w:rsidRPr="00917030">
          <w:rPr>
            <w:rStyle w:val="Hyperlink"/>
          </w:rPr>
          <w:t>https://www.fda.gov/regulatory-information/search-fda-guidance-documents/patient-focused-drug-development-incorporating-clinical-outcome-assessments-endpoints-regulatory</w:t>
        </w:r>
      </w:hyperlink>
      <w:r>
        <w:t>.</w:t>
      </w:r>
    </w:p>
  </w:footnote>
  <w:footnote w:id="36">
    <w:p w14:paraId="282D6974" w14:textId="77777777" w:rsidR="0008002E" w:rsidRDefault="0008002E" w:rsidP="0008002E">
      <w:pPr>
        <w:pStyle w:val="FootnoteText"/>
      </w:pPr>
      <w:r>
        <w:rPr>
          <w:rStyle w:val="FootnoteReference"/>
        </w:rPr>
        <w:footnoteRef/>
      </w:r>
      <w:r>
        <w:t xml:space="preserve"> </w:t>
      </w:r>
      <w:r w:rsidRPr="00997884">
        <w:t>1 point or more increase in CDR-SB from baseline for participants with screening clinical status of MCI, or 2 points increase from baseline for participants with screening clinical status of mild AD. The clinical status at screening was defined as participants with mild AD (MMSE score of 20 to 26) and MCI (MMSE score 27 to 28). A clinical worsening event is defined as meeting the criteria at 2 consecutive visits for each of the clinical endpoints</w:t>
      </w:r>
      <w:r>
        <w:t>.</w:t>
      </w:r>
    </w:p>
  </w:footnote>
  <w:footnote w:id="37">
    <w:p w14:paraId="71334481" w14:textId="77777777" w:rsidR="0008002E" w:rsidRDefault="0008002E" w:rsidP="0008002E">
      <w:pPr>
        <w:pStyle w:val="FootnoteText"/>
      </w:pPr>
      <w:r>
        <w:rPr>
          <w:rStyle w:val="FootnoteReference"/>
        </w:rPr>
        <w:footnoteRef/>
      </w:r>
      <w:r>
        <w:t xml:space="preserve"> </w:t>
      </w:r>
      <w:r w:rsidRPr="009D6286">
        <w:t>Zimmer, JA (2024</w:t>
      </w:r>
      <w:r w:rsidRPr="002105CC">
        <w:t>). Insights from TRAILBLAZER-ALZ 2 (Donanemab): Clinical Efficacy.</w:t>
      </w:r>
      <w:r w:rsidRPr="009D6286">
        <w:t xml:space="preserve"> Alzheimer's Association International Conference, ALZ</w:t>
      </w:r>
      <w:r>
        <w:t xml:space="preserve">. </w:t>
      </w:r>
      <w:r w:rsidRPr="002105CC">
        <w:t>Philadelphia, USA, and Online</w:t>
      </w:r>
      <w:r>
        <w:t xml:space="preserve">. </w:t>
      </w:r>
      <w:r w:rsidRPr="002105CC">
        <w:t>July 28 – Aug</w:t>
      </w:r>
      <w:r>
        <w:t>ust</w:t>
      </w:r>
      <w:r w:rsidRPr="002105CC">
        <w:t xml:space="preserve"> 1, 2024</w:t>
      </w:r>
      <w:r>
        <w:t>.</w:t>
      </w:r>
    </w:p>
  </w:footnote>
  <w:footnote w:id="38">
    <w:p w14:paraId="56D80000" w14:textId="77777777" w:rsidR="0008002E" w:rsidRDefault="0008002E" w:rsidP="0008002E">
      <w:pPr>
        <w:pStyle w:val="FootnoteText"/>
      </w:pPr>
      <w:r>
        <w:rPr>
          <w:rStyle w:val="FootnoteReference"/>
        </w:rPr>
        <w:footnoteRef/>
      </w:r>
      <w:r>
        <w:t xml:space="preserve"> </w:t>
      </w:r>
      <w:r w:rsidRPr="009D6286">
        <w:t>Zimmer, JA (2024</w:t>
      </w:r>
      <w:r w:rsidRPr="002105CC">
        <w:t>). Insights from TRAILBLAZER-ALZ 2 (Donanemab): Clinical Efficacy.</w:t>
      </w:r>
      <w:r w:rsidRPr="009D6286">
        <w:t xml:space="preserve"> Alzheimer's Association International Conference, ALZ</w:t>
      </w:r>
      <w:r>
        <w:t xml:space="preserve">. </w:t>
      </w:r>
      <w:r w:rsidRPr="002105CC">
        <w:t>Philadelphia, USA, and Online</w:t>
      </w:r>
      <w:r>
        <w:t xml:space="preserve">. </w:t>
      </w:r>
      <w:r w:rsidRPr="002105CC">
        <w:t>July 28 – Aug</w:t>
      </w:r>
      <w:r>
        <w:t>ust</w:t>
      </w:r>
      <w:r w:rsidRPr="002105CC">
        <w:t xml:space="preserve"> 1, 2024</w:t>
      </w:r>
      <w:r>
        <w:t>.</w:t>
      </w:r>
    </w:p>
  </w:footnote>
  <w:footnote w:id="39">
    <w:p w14:paraId="3784D2A6" w14:textId="77777777" w:rsidR="0008002E" w:rsidRDefault="0008002E" w:rsidP="0008002E">
      <w:pPr>
        <w:pStyle w:val="FootnoteText"/>
      </w:pPr>
      <w:r>
        <w:rPr>
          <w:rStyle w:val="FootnoteReference"/>
        </w:rPr>
        <w:footnoteRef/>
      </w:r>
      <w:r>
        <w:t xml:space="preserve"> </w:t>
      </w:r>
      <w:r w:rsidRPr="009D6286">
        <w:t>Zimmer, JA (2024</w:t>
      </w:r>
      <w:r w:rsidRPr="002105CC">
        <w:t>). Insights from TRAILBLAZER-ALZ 2 (Donanemab): Clinical Efficacy.</w:t>
      </w:r>
      <w:r w:rsidRPr="009D6286">
        <w:t xml:space="preserve"> Alzheimer's Association International Conference, ALZ</w:t>
      </w:r>
      <w:r>
        <w:t xml:space="preserve">. </w:t>
      </w:r>
      <w:r w:rsidRPr="002105CC">
        <w:t>Philadelphia, USA, and Online</w:t>
      </w:r>
      <w:r>
        <w:t xml:space="preserve">. </w:t>
      </w:r>
      <w:r w:rsidRPr="002105CC">
        <w:t>July 28 – Aug</w:t>
      </w:r>
      <w:r>
        <w:t>ust</w:t>
      </w:r>
      <w:r w:rsidRPr="002105CC">
        <w:t xml:space="preserve"> 1, 2024</w:t>
      </w:r>
      <w:r>
        <w:t>.</w:t>
      </w:r>
    </w:p>
  </w:footnote>
  <w:footnote w:id="40">
    <w:p w14:paraId="61F89C2D" w14:textId="77777777" w:rsidR="0008002E" w:rsidRDefault="0008002E" w:rsidP="0008002E">
      <w:pPr>
        <w:pStyle w:val="FootnoteText"/>
      </w:pPr>
      <w:r>
        <w:rPr>
          <w:rStyle w:val="FootnoteReference"/>
        </w:rPr>
        <w:footnoteRef/>
      </w:r>
      <w:r>
        <w:t xml:space="preserve"> </w:t>
      </w:r>
      <w:r w:rsidRPr="00B32FCB">
        <w:t>For iADRS, MCID was defined as 5 points or greater decrease for MCI and 9 points or greater decrease for mild AD pa</w:t>
      </w:r>
      <w:r>
        <w:t>tients.</w:t>
      </w:r>
    </w:p>
  </w:footnote>
  <w:footnote w:id="41">
    <w:p w14:paraId="198C6169" w14:textId="77777777" w:rsidR="0008002E" w:rsidRDefault="0008002E" w:rsidP="0008002E">
      <w:pPr>
        <w:pStyle w:val="FootnoteText"/>
      </w:pPr>
      <w:r>
        <w:rPr>
          <w:rStyle w:val="FootnoteReference"/>
        </w:rPr>
        <w:footnoteRef/>
      </w:r>
      <w:r>
        <w:t xml:space="preserve"> </w:t>
      </w:r>
      <w:r w:rsidRPr="00B32FCB">
        <w:t>MCID for CDR-SB was defined as 1 point or more increase for MCI and 2 point or more increase for mild AD, respectively, at 2 consecutive visits.</w:t>
      </w:r>
    </w:p>
  </w:footnote>
  <w:footnote w:id="42">
    <w:p w14:paraId="3981C4AC" w14:textId="77777777" w:rsidR="0008002E" w:rsidRDefault="0008002E" w:rsidP="0008002E">
      <w:pPr>
        <w:pStyle w:val="FootnoteText"/>
      </w:pPr>
      <w:r>
        <w:rPr>
          <w:rStyle w:val="FootnoteReference"/>
        </w:rPr>
        <w:footnoteRef/>
      </w:r>
      <w:r>
        <w:t xml:space="preserve"> </w:t>
      </w:r>
      <w:r w:rsidRPr="00B32FCB">
        <w:t xml:space="preserve">MCID for CDR-G was defined as any increase in score </w:t>
      </w:r>
      <w:r>
        <w:t xml:space="preserve">from baseline </w:t>
      </w:r>
      <w:r w:rsidRPr="00B32FCB">
        <w:t>for 2 consecutive visits</w:t>
      </w:r>
    </w:p>
  </w:footnote>
  <w:footnote w:id="43">
    <w:p w14:paraId="4262D7EC" w14:textId="77777777" w:rsidR="0008002E" w:rsidRDefault="0008002E" w:rsidP="0008002E">
      <w:pPr>
        <w:pStyle w:val="FootnoteText"/>
      </w:pPr>
      <w:r>
        <w:rPr>
          <w:rStyle w:val="FootnoteReference"/>
        </w:rPr>
        <w:footnoteRef/>
      </w:r>
      <w:r>
        <w:t xml:space="preserve"> Intermediate tau </w:t>
      </w:r>
      <w:r w:rsidRPr="00D8548B">
        <w:t>includ</w:t>
      </w:r>
      <w:r>
        <w:t>ed</w:t>
      </w:r>
      <w:r w:rsidRPr="00D8548B">
        <w:t xml:space="preserve"> participants with baseline </w:t>
      </w:r>
      <w:r>
        <w:t>Standardised Uptake Value Ratio (</w:t>
      </w:r>
      <w:r w:rsidRPr="00D8548B">
        <w:t>SUVr</w:t>
      </w:r>
      <w:r>
        <w:t>)</w:t>
      </w:r>
      <w:r w:rsidRPr="00D8548B">
        <w:t xml:space="preserve"> ≤1.46 and a topographic deposition pattern consistent with advanced AD (AD++) or 1.10 ≤ SUVr ≤1.46 and a topographic deposition pattern consistent with moderate AD (AD+)</w:t>
      </w:r>
      <w:r>
        <w:t xml:space="preserve">. High tau included </w:t>
      </w:r>
      <w:r w:rsidRPr="00D8548B">
        <w:t>participants with baseline SUVr &gt;1.46 and a topographic deposition pattern consistent with either moderate (AD+) or advanced AD (AD++).</w:t>
      </w:r>
    </w:p>
  </w:footnote>
  <w:footnote w:id="44">
    <w:p w14:paraId="65023F9D" w14:textId="77777777" w:rsidR="0008002E" w:rsidRDefault="0008002E" w:rsidP="0008002E">
      <w:pPr>
        <w:pStyle w:val="FootnoteText"/>
      </w:pPr>
      <w:r>
        <w:rPr>
          <w:rStyle w:val="FootnoteReference"/>
        </w:rPr>
        <w:footnoteRef/>
      </w:r>
      <w:r>
        <w:t xml:space="preserve"> </w:t>
      </w:r>
      <w:r w:rsidRPr="00C02054">
        <w:t>Cummings J et al. Lecanemab: Appropriate Use Recommendations. The Journal of Prevention of Alzheimer's Disease. 2023 2023/09/01;10(3):362-77.</w:t>
      </w:r>
    </w:p>
  </w:footnote>
  <w:footnote w:id="45">
    <w:p w14:paraId="224F63CC" w14:textId="77777777" w:rsidR="0008002E" w:rsidRDefault="0008002E" w:rsidP="0008002E">
      <w:pPr>
        <w:pStyle w:val="FootnoteText"/>
      </w:pPr>
      <w:r>
        <w:rPr>
          <w:rStyle w:val="FootnoteReference"/>
        </w:rPr>
        <w:footnoteRef/>
      </w:r>
      <w:r>
        <w:t xml:space="preserve"> </w:t>
      </w:r>
      <w:r w:rsidRPr="00C02054">
        <w:t>Filippi M et al. Amyloid-related imaging abnormalities and beta-amyloid-targeting antibodies: A systematic review</w:t>
      </w:r>
      <w:r>
        <w:t xml:space="preserve">. </w:t>
      </w:r>
      <w:r w:rsidRPr="00C02054">
        <w:t>JAMA Neurol . 2022 ;79 :291–304</w:t>
      </w:r>
    </w:p>
  </w:footnote>
  <w:footnote w:id="46">
    <w:p w14:paraId="5AB442F4" w14:textId="77777777" w:rsidR="0008002E" w:rsidRDefault="0008002E" w:rsidP="0008002E">
      <w:pPr>
        <w:pStyle w:val="FootnoteText"/>
      </w:pPr>
      <w:r>
        <w:rPr>
          <w:rStyle w:val="FootnoteReference"/>
        </w:rPr>
        <w:footnoteRef/>
      </w:r>
      <w:r>
        <w:t xml:space="preserve"> </w:t>
      </w:r>
      <w:r w:rsidRPr="00567B44">
        <w:t>Progression to the next stage of disease was measured using the CDR-G score, with clinical worsening defined as any per patient increase in CDR-G score from baseline at two consecutive visits</w:t>
      </w:r>
      <w:r>
        <w:t>.</w:t>
      </w:r>
    </w:p>
  </w:footnote>
  <w:footnote w:id="47">
    <w:p w14:paraId="50796D2C" w14:textId="74B2FE79" w:rsidR="0008002E" w:rsidRDefault="0008002E" w:rsidP="0008002E">
      <w:pPr>
        <w:pStyle w:val="FootnoteText"/>
      </w:pPr>
      <w:r>
        <w:rPr>
          <w:rStyle w:val="FootnoteReference"/>
        </w:rPr>
        <w:footnoteRef/>
      </w:r>
      <w:r>
        <w:t xml:space="preserve"> </w:t>
      </w:r>
      <w:r w:rsidRPr="00B87714">
        <w:t>Office for National Statistics (ONS) Dementia and all-cause mortality and deaths involving coronavirus (COVID-19), England: 24 January 2020 to 31 December 2022. 2023.</w:t>
      </w:r>
    </w:p>
  </w:footnote>
  <w:footnote w:id="48">
    <w:p w14:paraId="5D5E055A" w14:textId="77777777" w:rsidR="0008002E" w:rsidRDefault="0008002E" w:rsidP="0008002E">
      <w:pPr>
        <w:pStyle w:val="FootnoteText"/>
      </w:pPr>
      <w:r>
        <w:rPr>
          <w:rStyle w:val="FootnoteReference"/>
        </w:rPr>
        <w:footnoteRef/>
      </w:r>
      <w:r>
        <w:t xml:space="preserve"> </w:t>
      </w:r>
      <w:r w:rsidRPr="00B87714">
        <w:t>Landeiro F, Mughal S, Walsh K, Nye E, Morton J, Williams H, et al. Health-related quality of life in people with predementia Alzheimer’s disease, mild cognitive impairment or dementia measured with preference-based instruments: a systematic literature review. Alzheimer's Research &amp; Therapy. 2020;12(1):154.</w:t>
      </w:r>
    </w:p>
  </w:footnote>
  <w:footnote w:id="49">
    <w:p w14:paraId="7B003BC3" w14:textId="77777777" w:rsidR="0008002E" w:rsidRDefault="0008002E" w:rsidP="0008002E">
      <w:pPr>
        <w:pStyle w:val="FootnoteText"/>
      </w:pPr>
      <w:r>
        <w:rPr>
          <w:rStyle w:val="FootnoteReference"/>
        </w:rPr>
        <w:footnoteRef/>
      </w:r>
      <w:r>
        <w:t xml:space="preserve"> </w:t>
      </w:r>
      <w:r w:rsidRPr="00202772">
        <w:t>Potashman M, Buessing M, Levitchi Benea M, Cummings J, Borson S, Pemberton-Ross P, Epstein AJ. Estimating Progression Rates Across the Spectrum of Alzheimer's Disease for Amyloid-Positive Individuals Using National Alzheimer's Coordinating Center Data. Neurol Ther. 2021;10(2):941-53.</w:t>
      </w:r>
    </w:p>
  </w:footnote>
  <w:footnote w:id="50">
    <w:p w14:paraId="5301A186" w14:textId="77777777" w:rsidR="0008002E" w:rsidRDefault="0008002E" w:rsidP="0008002E">
      <w:pPr>
        <w:pStyle w:val="FootnoteText"/>
      </w:pPr>
      <w:r>
        <w:rPr>
          <w:rStyle w:val="FootnoteReference"/>
        </w:rPr>
        <w:footnoteRef/>
      </w:r>
      <w:r>
        <w:t xml:space="preserve"> </w:t>
      </w:r>
      <w:r w:rsidRPr="00202772">
        <w:t>Crowell V, Reyes A, Zhou SQ, Vassilaki M, Gsteiger S, Gustavsson A. Disease severity and mortality in Alzheimer's disease: an analysis using the U.S. National Alzheimer’s Coordinating Center Uniform Data Set. BMC Neurology. 2023;23(1):302.</w:t>
      </w:r>
    </w:p>
  </w:footnote>
  <w:footnote w:id="51">
    <w:p w14:paraId="009E6AEC" w14:textId="77777777" w:rsidR="0008002E" w:rsidRDefault="0008002E" w:rsidP="0008002E">
      <w:pPr>
        <w:pStyle w:val="FootnoteText"/>
        <w:jc w:val="left"/>
      </w:pPr>
      <w:r>
        <w:rPr>
          <w:rStyle w:val="FootnoteReference"/>
        </w:rPr>
        <w:footnoteRef/>
      </w:r>
      <w:r>
        <w:t xml:space="preserve"> Australian Institute for Health and Welfare (AIHW) (2012). </w:t>
      </w:r>
      <w:r w:rsidRPr="004679CA">
        <w:t>Dementia in Australia 2012.</w:t>
      </w:r>
      <w:r>
        <w:t xml:space="preserve"> </w:t>
      </w:r>
      <w:r w:rsidRPr="004679CA">
        <w:t>https://www.aihw.gov.au/reports/dementia/dementia-in-australia</w:t>
      </w:r>
    </w:p>
  </w:footnote>
  <w:footnote w:id="52">
    <w:p w14:paraId="5878A006" w14:textId="77777777" w:rsidR="0008002E" w:rsidRDefault="0008002E" w:rsidP="0008002E">
      <w:pPr>
        <w:pStyle w:val="FootnoteText"/>
      </w:pPr>
      <w:r>
        <w:rPr>
          <w:rStyle w:val="FootnoteReference"/>
        </w:rPr>
        <w:footnoteRef/>
      </w:r>
      <w:r>
        <w:t xml:space="preserve"> AIHW (2024). Dementia in Australia. </w:t>
      </w:r>
      <w:r w:rsidRPr="00980A66">
        <w:t>https://www.aihw.gov.au/reports/dementia/dementia-in-aus</w:t>
      </w:r>
    </w:p>
  </w:footnote>
  <w:footnote w:id="53">
    <w:p w14:paraId="269FDA2D" w14:textId="77777777" w:rsidR="0008002E" w:rsidRDefault="0008002E" w:rsidP="0008002E">
      <w:pPr>
        <w:pStyle w:val="FootnoteText"/>
      </w:pPr>
      <w:r>
        <w:rPr>
          <w:rStyle w:val="FootnoteReference"/>
        </w:rPr>
        <w:footnoteRef/>
      </w:r>
      <w:r>
        <w:t xml:space="preserve"> </w:t>
      </w:r>
      <w:r w:rsidRPr="00AD3362">
        <w:t>Knapp M, Chua K-C, Broadbent M, Chang C-K, Fernandez J-L, Milea D, et al. Predictors of care home and hospital admissions and their costs for older people with Alzheimer's disease: findings from a large London case register. BMJ Open. 2016;6(11):e013591.</w:t>
      </w:r>
    </w:p>
  </w:footnote>
  <w:footnote w:id="54">
    <w:p w14:paraId="5D81C70A" w14:textId="77777777" w:rsidR="0008002E" w:rsidRDefault="0008002E" w:rsidP="0008002E">
      <w:pPr>
        <w:pStyle w:val="FootnoteText"/>
      </w:pPr>
      <w:r>
        <w:rPr>
          <w:rStyle w:val="FootnoteReference"/>
        </w:rPr>
        <w:footnoteRef/>
      </w:r>
      <w:r>
        <w:t xml:space="preserve"> </w:t>
      </w:r>
      <w:r w:rsidRPr="00AD3362">
        <w:t>Belger M, Haro JM, Reed C, Happich M, Argimon JM, Bruno G, et al. Determinants of time to institutionalisation and related healthcare and societal costs in a community-based cohort of patients with Alzheimer's disease dementia. Eur J Health Econ. 2019;20(3):343-55.</w:t>
      </w:r>
    </w:p>
  </w:footnote>
  <w:footnote w:id="55">
    <w:p w14:paraId="56BDAA8A" w14:textId="77777777" w:rsidR="0008002E" w:rsidRDefault="0008002E" w:rsidP="0008002E">
      <w:pPr>
        <w:pStyle w:val="FootnoteText"/>
      </w:pPr>
      <w:r>
        <w:rPr>
          <w:rStyle w:val="FootnoteReference"/>
        </w:rPr>
        <w:footnoteRef/>
      </w:r>
      <w:r>
        <w:t xml:space="preserve"> </w:t>
      </w:r>
      <w:r w:rsidRPr="005E09EE">
        <w:t>Redwood</w:t>
      </w:r>
      <w:r>
        <w:t xml:space="preserve"> et al</w:t>
      </w:r>
      <w:r w:rsidRPr="005E09EE">
        <w:t>.</w:t>
      </w:r>
      <w:r>
        <w:t xml:space="preserve"> (2024)</w:t>
      </w:r>
      <w:r w:rsidRPr="005E09EE">
        <w:t xml:space="preserve"> Australian population norms for health-related quality of life measured using the EQ-5D–5L, and relationships with sociodemographic characteristics. Quality of Life Research. 2024;33(3):721-33.</w:t>
      </w:r>
    </w:p>
  </w:footnote>
  <w:footnote w:id="56">
    <w:p w14:paraId="45445D27" w14:textId="77777777" w:rsidR="0008002E" w:rsidRDefault="0008002E" w:rsidP="0008002E">
      <w:pPr>
        <w:pStyle w:val="FootnoteText"/>
      </w:pPr>
      <w:r>
        <w:rPr>
          <w:rStyle w:val="FootnoteReference"/>
        </w:rPr>
        <w:footnoteRef/>
      </w:r>
      <w:r>
        <w:t xml:space="preserve"> </w:t>
      </w:r>
      <w:r w:rsidRPr="009D6AC0">
        <w:t>Brown L, Hansnata E, La HA. Economic cost of dementia in Australia 2016-2056. 2017.</w:t>
      </w:r>
    </w:p>
  </w:footnote>
  <w:footnote w:id="57">
    <w:p w14:paraId="6AB68605" w14:textId="77777777" w:rsidR="0008002E" w:rsidRDefault="0008002E" w:rsidP="0008002E">
      <w:pPr>
        <w:pStyle w:val="FootnoteText"/>
      </w:pPr>
      <w:r>
        <w:rPr>
          <w:rStyle w:val="FootnoteReference"/>
        </w:rPr>
        <w:footnoteRef/>
      </w:r>
      <w:r>
        <w:t xml:space="preserve"> </w:t>
      </w:r>
      <w:r w:rsidRPr="009D6AC0">
        <w:t>Reed C, Belger M, Dell'agnello G, Wimo A, Argimon JM, Bruno G, et al. Caregiver Burden in Alzheimer's Disease: Differential Associations in Adult-Child and Spousal Caregivers in the GERAS Observational Study. Dement Geriatr Cogn Dis Extra. 2014;4(1):51-64. Epub 20140219.</w:t>
      </w:r>
    </w:p>
  </w:footnote>
  <w:footnote w:id="58">
    <w:p w14:paraId="77405A62" w14:textId="77777777" w:rsidR="0008002E" w:rsidRDefault="0008002E" w:rsidP="0008002E">
      <w:pPr>
        <w:pStyle w:val="FootnoteText"/>
      </w:pPr>
      <w:r>
        <w:rPr>
          <w:rStyle w:val="FootnoteReference"/>
        </w:rPr>
        <w:footnoteRef/>
      </w:r>
      <w:r>
        <w:t xml:space="preserve"> </w:t>
      </w:r>
      <w:r w:rsidRPr="009D6AC0">
        <w:t>Matza LS, Howell TA, Belger M, Ritchie C, Delio PR, Johnston JA, Tockhorn-Heidenreich A. PCR294 Assessment of Health State Utilities Associated With Being a Caregiver for a Person With Alzheimer's Disease With Mild Cognitive Impairment or Dementia. Value in Health. 2024;27(12):S565</w:t>
      </w:r>
    </w:p>
  </w:footnote>
  <w:footnote w:id="59">
    <w:p w14:paraId="7AD8695E" w14:textId="4D3A5499" w:rsidR="0008002E" w:rsidRDefault="0008002E" w:rsidP="0008002E">
      <w:pPr>
        <w:pStyle w:val="FootnoteText"/>
      </w:pPr>
      <w:r>
        <w:rPr>
          <w:rStyle w:val="FootnoteReference"/>
        </w:rPr>
        <w:footnoteRef/>
      </w:r>
      <w:r>
        <w:t xml:space="preserve"> </w:t>
      </w:r>
      <w:r w:rsidRPr="008F4189">
        <w:t>Belger M, Dell’Agnello G, Enstone A, Wyn R, Tockhorn-Heidenreich A. PCR24 The Impact of Informal Caregiving in Alzheimer</w:t>
      </w:r>
      <w:r w:rsidR="007231D7">
        <w:t>’</w:t>
      </w:r>
      <w:r w:rsidRPr="008F4189">
        <w:t>s Disease Dementia: A Health Utility Study in the UK. Value in Health. 2022;25(7):S545.</w:t>
      </w:r>
    </w:p>
  </w:footnote>
  <w:footnote w:id="60">
    <w:p w14:paraId="5B4F4072" w14:textId="77777777" w:rsidR="0008002E" w:rsidRDefault="0008002E" w:rsidP="0008002E">
      <w:pPr>
        <w:pStyle w:val="FootnoteText"/>
      </w:pPr>
      <w:r>
        <w:rPr>
          <w:rStyle w:val="FootnoteReference"/>
        </w:rPr>
        <w:footnoteRef/>
      </w:r>
      <w:r>
        <w:t xml:space="preserve"> </w:t>
      </w:r>
      <w:r w:rsidRPr="005E09EE">
        <w:t>Gnanamanickam</w:t>
      </w:r>
      <w:r>
        <w:t xml:space="preserve"> </w:t>
      </w:r>
      <w:r w:rsidRPr="005E09EE">
        <w:t>et al.</w:t>
      </w:r>
      <w:r>
        <w:t xml:space="preserve"> (2018).</w:t>
      </w:r>
      <w:r w:rsidRPr="005E09EE">
        <w:t xml:space="preserve"> Direct health and residential care costs of people living with dementia in Australian residential aged care. Int J Geriatr Psychiatry. 2018;33(7):859-66.</w:t>
      </w:r>
    </w:p>
  </w:footnote>
  <w:footnote w:id="61">
    <w:p w14:paraId="0A6834A7" w14:textId="77777777" w:rsidR="0008002E" w:rsidRPr="00B7078B" w:rsidRDefault="0008002E" w:rsidP="0008002E">
      <w:pPr>
        <w:rPr>
          <w:sz w:val="18"/>
          <w:szCs w:val="20"/>
        </w:rPr>
      </w:pPr>
      <w:r w:rsidRPr="00B7078B">
        <w:rPr>
          <w:sz w:val="18"/>
          <w:szCs w:val="20"/>
          <w:vertAlign w:val="superscript"/>
        </w:rPr>
        <w:footnoteRef/>
      </w:r>
      <w:r>
        <w:rPr>
          <w:sz w:val="18"/>
          <w:szCs w:val="20"/>
          <w:vertAlign w:val="superscript"/>
        </w:rPr>
        <w:t xml:space="preserve"> </w:t>
      </w:r>
      <w:r w:rsidRPr="005E09EE">
        <w:rPr>
          <w:sz w:val="18"/>
          <w:szCs w:val="20"/>
        </w:rPr>
        <w:t>Australian Government Department of Health and Aged Care</w:t>
      </w:r>
      <w:r>
        <w:rPr>
          <w:sz w:val="18"/>
          <w:szCs w:val="20"/>
        </w:rPr>
        <w:t xml:space="preserve"> (2025).</w:t>
      </w:r>
      <w:r w:rsidRPr="005E09EE">
        <w:rPr>
          <w:sz w:val="18"/>
          <w:szCs w:val="20"/>
        </w:rPr>
        <w:t xml:space="preserve"> The Australian National Aged Care Classification (AN-ACC) Funding Guide.</w:t>
      </w:r>
      <w:r>
        <w:rPr>
          <w:sz w:val="18"/>
          <w:szCs w:val="20"/>
        </w:rPr>
        <w:t xml:space="preserve"> </w:t>
      </w:r>
      <w:r w:rsidRPr="005E09EE">
        <w:rPr>
          <w:sz w:val="18"/>
          <w:szCs w:val="20"/>
        </w:rPr>
        <w:t xml:space="preserve">https://www.health.gov.au/sites/default/files/2025-02/the-australian-national-aged-care-classification-an-acc-funding-guide_0.pdf </w:t>
      </w:r>
    </w:p>
    <w:p w14:paraId="5AB898F9" w14:textId="77777777" w:rsidR="0008002E" w:rsidRDefault="0008002E" w:rsidP="0008002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EEB4" w14:textId="29E3DD9F" w:rsidR="00C20F05" w:rsidRDefault="00AF6F08">
    <w:pPr>
      <w:pStyle w:val="Header"/>
    </w:pPr>
    <w:r>
      <w:rPr>
        <w:noProof/>
      </w:rPr>
      <mc:AlternateContent>
        <mc:Choice Requires="wps">
          <w:drawing>
            <wp:anchor distT="0" distB="0" distL="0" distR="0" simplePos="0" relativeHeight="251658241" behindDoc="0" locked="0" layoutInCell="1" allowOverlap="1" wp14:anchorId="25B9E020" wp14:editId="5B82669E">
              <wp:simplePos x="635" y="635"/>
              <wp:positionH relativeFrom="page">
                <wp:align>center</wp:align>
              </wp:positionH>
              <wp:positionV relativeFrom="page">
                <wp:align>top</wp:align>
              </wp:positionV>
              <wp:extent cx="551815" cy="452755"/>
              <wp:effectExtent l="0" t="0" r="635" b="4445"/>
              <wp:wrapNone/>
              <wp:docPr id="15904342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448C698" w14:textId="76F75FC6"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B9E02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5.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0448C698" w14:textId="76F75FC6"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2D92" w14:textId="1BC1BA96" w:rsidR="00084F23" w:rsidRDefault="00AF6F08" w:rsidP="00AC5885">
    <w:pPr>
      <w:pStyle w:val="Header"/>
      <w:jc w:val="center"/>
      <w:rPr>
        <w:i/>
        <w:iCs/>
      </w:rPr>
    </w:pPr>
    <w:r>
      <w:rPr>
        <w:i/>
        <w:iCs/>
        <w:noProof/>
      </w:rPr>
      <mc:AlternateContent>
        <mc:Choice Requires="wps">
          <w:drawing>
            <wp:anchor distT="0" distB="0" distL="0" distR="0" simplePos="0" relativeHeight="251658242" behindDoc="0" locked="0" layoutInCell="1" allowOverlap="1" wp14:anchorId="721FC3F0" wp14:editId="6AD912A1">
              <wp:simplePos x="635" y="635"/>
              <wp:positionH relativeFrom="page">
                <wp:align>center</wp:align>
              </wp:positionH>
              <wp:positionV relativeFrom="page">
                <wp:align>top</wp:align>
              </wp:positionV>
              <wp:extent cx="551815" cy="452755"/>
              <wp:effectExtent l="0" t="0" r="635" b="4445"/>
              <wp:wrapNone/>
              <wp:docPr id="2078133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8184ADF" w14:textId="66FD360F"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1FC3F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textbox style="mso-fit-shape-to-text:t" inset="0,15pt,0,0">
                <w:txbxContent>
                  <w:p w14:paraId="48184ADF" w14:textId="66FD360F"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v:textbox>
              <w10:wrap anchorx="page" anchory="page"/>
            </v:shape>
          </w:pict>
        </mc:Fallback>
      </mc:AlternateContent>
    </w:r>
  </w:p>
  <w:p w14:paraId="5BDFC60B" w14:textId="06EDB408" w:rsidR="00227D10" w:rsidRPr="00AC5885" w:rsidRDefault="00141B7F" w:rsidP="00AC5885">
    <w:pPr>
      <w:pStyle w:val="Header"/>
      <w:jc w:val="center"/>
      <w:rPr>
        <w:i/>
        <w:iCs/>
      </w:rPr>
    </w:pPr>
    <w:r>
      <w:rPr>
        <w:i/>
        <w:iCs/>
      </w:rPr>
      <w:t>Public Summary Document</w:t>
    </w:r>
    <w:r w:rsidR="00AC5885" w:rsidRPr="00AC5885">
      <w:rPr>
        <w:i/>
        <w:iCs/>
      </w:rPr>
      <w:t xml:space="preserve"> – July 2025 PBAC Meeting</w:t>
    </w:r>
  </w:p>
  <w:p w14:paraId="32E54B3F" w14:textId="77777777" w:rsidR="00AC5885" w:rsidRPr="00AC5885" w:rsidRDefault="00AC5885" w:rsidP="00AC5885">
    <w:pPr>
      <w:pStyle w:val="Heade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ADC2" w14:textId="08DD9973" w:rsidR="00C20F05" w:rsidRDefault="00AF6F08">
    <w:pPr>
      <w:pStyle w:val="Header"/>
    </w:pPr>
    <w:r>
      <w:rPr>
        <w:noProof/>
      </w:rPr>
      <mc:AlternateContent>
        <mc:Choice Requires="wps">
          <w:drawing>
            <wp:anchor distT="0" distB="0" distL="0" distR="0" simplePos="0" relativeHeight="251658240" behindDoc="0" locked="0" layoutInCell="1" allowOverlap="1" wp14:anchorId="3854763E" wp14:editId="04E90363">
              <wp:simplePos x="635" y="635"/>
              <wp:positionH relativeFrom="page">
                <wp:align>center</wp:align>
              </wp:positionH>
              <wp:positionV relativeFrom="page">
                <wp:align>top</wp:align>
              </wp:positionV>
              <wp:extent cx="551815" cy="452755"/>
              <wp:effectExtent l="0" t="0" r="635" b="4445"/>
              <wp:wrapNone/>
              <wp:docPr id="9509289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9E4075B" w14:textId="1BFB02F4"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54763E"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OgDQ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" filled="f" stroked="f">
              <v:textbox style="mso-fit-shape-to-text:t" inset="0,15pt,0,0">
                <w:txbxContent>
                  <w:p w14:paraId="59E4075B" w14:textId="1BFB02F4" w:rsidR="00AF6F08" w:rsidRPr="00AF6F08" w:rsidRDefault="00AF6F08" w:rsidP="00AF6F08">
                    <w:pPr>
                      <w:spacing w:after="0"/>
                      <w:rPr>
                        <w:rFonts w:ascii="Calibri" w:eastAsia="Calibri" w:hAnsi="Calibri" w:cs="Calibri"/>
                        <w:noProof/>
                        <w:color w:val="FF0000"/>
                        <w:szCs w:val="24"/>
                      </w:rPr>
                    </w:pPr>
                    <w:r w:rsidRPr="00AF6F08">
                      <w:rPr>
                        <w:rFonts w:ascii="Calibri" w:eastAsia="Calibri" w:hAnsi="Calibri" w:cs="Calibri"/>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DCB29C"/>
    <w:lvl w:ilvl="0">
      <w:start w:val="1"/>
      <w:numFmt w:val="bullet"/>
      <w:pStyle w:val="ListBullet"/>
      <w:lvlText w:val=""/>
      <w:lvlJc w:val="left"/>
      <w:pPr>
        <w:tabs>
          <w:tab w:val="num" w:pos="142"/>
        </w:tabs>
        <w:ind w:left="142" w:hanging="360"/>
      </w:pPr>
      <w:rPr>
        <w:rFonts w:ascii="Symbol" w:hAnsi="Symbol" w:hint="default"/>
      </w:rPr>
    </w:lvl>
  </w:abstractNum>
  <w:abstractNum w:abstractNumId="1" w15:restartNumberingAfterBreak="0">
    <w:nsid w:val="018032F3"/>
    <w:multiLevelType w:val="hybridMultilevel"/>
    <w:tmpl w:val="111A8E82"/>
    <w:lvl w:ilvl="0" w:tplc="64CA1096">
      <w:start w:val="1"/>
      <w:numFmt w:val="bullet"/>
      <w:suff w:val="space"/>
      <w:lvlText w:val=""/>
      <w:lvlJc w:val="left"/>
      <w:pPr>
        <w:ind w:left="360"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2" w15:restartNumberingAfterBreak="0">
    <w:nsid w:val="038A073C"/>
    <w:multiLevelType w:val="multilevel"/>
    <w:tmpl w:val="B156A7D0"/>
    <w:styleLink w:val="Style1"/>
    <w:lvl w:ilvl="0">
      <w:start w:val="1"/>
      <w:numFmt w:val="decimal"/>
      <w:lvlText w:val="%1"/>
      <w:lvlJc w:val="left"/>
      <w:pPr>
        <w:ind w:left="502" w:hanging="720"/>
      </w:pPr>
      <w:rPr>
        <w:rFonts w:hint="default"/>
        <w:b/>
      </w:rPr>
    </w:lvl>
    <w:lvl w:ilvl="1">
      <w:start w:val="1"/>
      <w:numFmt w:val="none"/>
      <w:suff w:val="nothing"/>
      <w:lvlText w:val=""/>
      <w:lvlJc w:val="left"/>
      <w:pPr>
        <w:ind w:left="502" w:hanging="720"/>
      </w:pPr>
      <w:rPr>
        <w:rFonts w:hint="default"/>
      </w:rPr>
    </w:lvl>
    <w:lvl w:ilvl="2">
      <w:start w:val="1"/>
      <w:numFmt w:val="none"/>
      <w:lvlRestart w:val="1"/>
      <w:suff w:val="nothing"/>
      <w:lvlText w:val=""/>
      <w:lvlJc w:val="left"/>
      <w:pPr>
        <w:ind w:left="502" w:hanging="720"/>
      </w:pPr>
      <w:rPr>
        <w:rFonts w:hint="default"/>
      </w:rPr>
    </w:lvl>
    <w:lvl w:ilvl="3">
      <w:start w:val="1"/>
      <w:numFmt w:val="none"/>
      <w:lvlRestart w:val="1"/>
      <w:suff w:val="nothing"/>
      <w:lvlText w:val=""/>
      <w:lvlJc w:val="left"/>
      <w:pPr>
        <w:ind w:left="862" w:hanging="1080"/>
      </w:pPr>
      <w:rPr>
        <w:rFonts w:hint="default"/>
      </w:rPr>
    </w:lvl>
    <w:lvl w:ilvl="4">
      <w:start w:val="1"/>
      <w:numFmt w:val="decimal"/>
      <w:lvlRestart w:val="1"/>
      <w:lvlText w:val="%1.%5"/>
      <w:lvlJc w:val="left"/>
      <w:pPr>
        <w:ind w:left="862" w:hanging="1080"/>
      </w:pPr>
      <w:rPr>
        <w:rFonts w:asciiTheme="minorHAnsi" w:hAnsiTheme="minorHAnsi" w:hint="default"/>
        <w:b w:val="0"/>
        <w:i w:val="0"/>
        <w:color w:val="auto"/>
        <w:sz w:val="24"/>
        <w:u w:val="none"/>
      </w:rPr>
    </w:lvl>
    <w:lvl w:ilvl="5">
      <w:start w:val="1"/>
      <w:numFmt w:val="decimal"/>
      <w:lvlRestart w:val="1"/>
      <w:lvlText w:val="%6"/>
      <w:lvlJc w:val="left"/>
      <w:pPr>
        <w:ind w:left="502" w:hanging="720"/>
      </w:pPr>
      <w:rPr>
        <w:rFonts w:hint="default"/>
      </w:rPr>
    </w:lvl>
    <w:lvl w:ilvl="6">
      <w:start w:val="1"/>
      <w:numFmt w:val="none"/>
      <w:suff w:val="nothing"/>
      <w:lvlText w:val=""/>
      <w:lvlJc w:val="left"/>
      <w:pPr>
        <w:ind w:left="502" w:hanging="720"/>
      </w:pPr>
      <w:rPr>
        <w:rFonts w:hint="default"/>
      </w:rPr>
    </w:lvl>
    <w:lvl w:ilvl="7">
      <w:start w:val="1"/>
      <w:numFmt w:val="decimal"/>
      <w:lvlText w:val="%1.%2.%3.%4.%5.%6.%7.%8"/>
      <w:lvlJc w:val="left"/>
      <w:pPr>
        <w:ind w:left="1582" w:hanging="1800"/>
      </w:pPr>
      <w:rPr>
        <w:rFonts w:hint="default"/>
      </w:rPr>
    </w:lvl>
    <w:lvl w:ilvl="8">
      <w:start w:val="1"/>
      <w:numFmt w:val="decimal"/>
      <w:lvlText w:val="%1.%2.%3.%4.%5.%6.%7.%8.%9"/>
      <w:lvlJc w:val="left"/>
      <w:pPr>
        <w:ind w:left="1582" w:hanging="1800"/>
      </w:pPr>
      <w:rPr>
        <w:rFonts w:hint="default"/>
      </w:rPr>
    </w:lvl>
  </w:abstractNum>
  <w:abstractNum w:abstractNumId="3"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2F07E4"/>
    <w:multiLevelType w:val="hybridMultilevel"/>
    <w:tmpl w:val="89200472"/>
    <w:lvl w:ilvl="0" w:tplc="C63EEEA2">
      <w:start w:val="1"/>
      <w:numFmt w:val="bullet"/>
      <w:lvlText w:val=""/>
      <w:lvlJc w:val="left"/>
      <w:pPr>
        <w:ind w:left="680" w:hanging="283"/>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0FFF556F"/>
    <w:multiLevelType w:val="hybridMultilevel"/>
    <w:tmpl w:val="6BC035C4"/>
    <w:lvl w:ilvl="0" w:tplc="FB942214">
      <w:start w:val="1"/>
      <w:numFmt w:val="bullet"/>
      <w:pStyle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pStyle w:val="Heading61"/>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9C71165"/>
    <w:multiLevelType w:val="multilevel"/>
    <w:tmpl w:val="F970EA3C"/>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490F8C"/>
    <w:multiLevelType w:val="multilevel"/>
    <w:tmpl w:val="7BA26C2A"/>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2836"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E2B1952"/>
    <w:multiLevelType w:val="hybridMultilevel"/>
    <w:tmpl w:val="38F43648"/>
    <w:lvl w:ilvl="0" w:tplc="4568373E">
      <w:start w:val="1"/>
      <w:numFmt w:val="decimal"/>
      <w:pStyle w:val="ListParagraph"/>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575C58"/>
    <w:multiLevelType w:val="multilevel"/>
    <w:tmpl w:val="6F9E8516"/>
    <w:lvl w:ilvl="0">
      <w:start w:val="1"/>
      <w:numFmt w:val="bullet"/>
      <w:pStyle w:val="InstructionBulletpoint"/>
      <w:lvlText w:val=""/>
      <w:lvlJc w:val="left"/>
      <w:pPr>
        <w:ind w:left="360" w:hanging="360"/>
      </w:pPr>
      <w:rPr>
        <w:rFonts w:ascii="Symbol" w:hAnsi="Symbol" w:hint="default"/>
      </w:rPr>
    </w:lvl>
    <w:lvl w:ilvl="1">
      <w:start w:val="1"/>
      <w:numFmt w:val="bullet"/>
      <w:lvlText w:val=""/>
      <w:lvlJc w:val="left"/>
      <w:pPr>
        <w:ind w:left="1080" w:hanging="476"/>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B830CD"/>
    <w:multiLevelType w:val="multilevel"/>
    <w:tmpl w:val="10C0E14C"/>
    <w:lvl w:ilvl="0">
      <w:start w:val="1"/>
      <w:numFmt w:val="bullet"/>
      <w:lvlText w:val=""/>
      <w:lvlJc w:val="left"/>
      <w:pPr>
        <w:ind w:left="1440" w:hanging="360"/>
      </w:pPr>
      <w:rPr>
        <w:rFonts w:ascii="Symbol" w:hAnsi="Symbol" w:hint="default"/>
      </w:rPr>
    </w:lvl>
    <w:lvl w:ilvl="1">
      <w:start w:val="1"/>
      <w:numFmt w:val="decimal"/>
      <w:lvlText w:val="%1.%2"/>
      <w:lvlJc w:val="left"/>
      <w:pPr>
        <w:ind w:left="1440" w:hanging="360"/>
      </w:pPr>
      <w:rPr>
        <w:rFonts w:hint="default"/>
        <w:i w:val="0"/>
        <w:iCs w:val="0"/>
        <w:color w:val="auto"/>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520" w:hanging="1440"/>
      </w:pPr>
      <w:rPr>
        <w:rFonts w:hint="default"/>
      </w:rPr>
    </w:lvl>
    <w:lvl w:ilvl="8">
      <w:start w:val="1"/>
      <w:numFmt w:val="decimal"/>
      <w:lvlText w:val="%1.%2.%3.%4.%5.%6.%7.%8.%9"/>
      <w:lvlJc w:val="left"/>
      <w:pPr>
        <w:ind w:left="2880" w:hanging="1800"/>
      </w:pPr>
      <w:rPr>
        <w:rFonts w:hint="default"/>
      </w:rPr>
    </w:lvl>
  </w:abstractNum>
  <w:abstractNum w:abstractNumId="14" w15:restartNumberingAfterBreak="0">
    <w:nsid w:val="38096A79"/>
    <w:multiLevelType w:val="multilevel"/>
    <w:tmpl w:val="54C0B3FC"/>
    <w:styleLink w:val="Style1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3D3567"/>
    <w:multiLevelType w:val="hybridMultilevel"/>
    <w:tmpl w:val="8C645968"/>
    <w:lvl w:ilvl="0" w:tplc="E7DA349C">
      <w:numFmt w:val="bullet"/>
      <w:lvlText w:val="-"/>
      <w:lvlJc w:val="left"/>
      <w:pPr>
        <w:ind w:left="360" w:hanging="360"/>
      </w:pPr>
      <w:rPr>
        <w:rFonts w:ascii="Arial Narrow" w:eastAsiaTheme="minorHAnsi" w:hAnsi="Arial Narrow"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375016"/>
    <w:multiLevelType w:val="hybridMultilevel"/>
    <w:tmpl w:val="40AC8BC0"/>
    <w:lvl w:ilvl="0" w:tplc="BD74C5E0">
      <w:start w:val="1"/>
      <w:numFmt w:val="decimal"/>
      <w:lvlText w:val="%1."/>
      <w:lvlJc w:val="left"/>
      <w:pPr>
        <w:ind w:left="360" w:hanging="360"/>
      </w:pPr>
      <w:rPr>
        <w:rFonts w:hint="default"/>
        <w:vertAlign w:val="superscrip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3FF40FC"/>
    <w:multiLevelType w:val="hybridMultilevel"/>
    <w:tmpl w:val="8CB215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4913201D"/>
    <w:multiLevelType w:val="hybridMultilevel"/>
    <w:tmpl w:val="4962C510"/>
    <w:lvl w:ilvl="0" w:tplc="08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8CC048A2">
      <w:numFmt w:val="bullet"/>
      <w:lvlText w:val="-"/>
      <w:lvlJc w:val="left"/>
      <w:pPr>
        <w:ind w:left="3600" w:hanging="360"/>
      </w:pPr>
      <w:rPr>
        <w:rFonts w:ascii="Arial Narrow" w:eastAsiaTheme="minorHAnsi" w:hAnsi="Arial Narrow" w:cstheme="minorBidi"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EF0EDC"/>
    <w:multiLevelType w:val="hybridMultilevel"/>
    <w:tmpl w:val="73E6D864"/>
    <w:lvl w:ilvl="0" w:tplc="DB4A5812">
      <w:numFmt w:val="bullet"/>
      <w:pStyle w:val="Tablebulletlist"/>
      <w:lvlText w:val="•"/>
      <w:lvlJc w:val="left"/>
      <w:pPr>
        <w:ind w:left="468" w:hanging="360"/>
      </w:pPr>
      <w:rPr>
        <w:rFonts w:ascii="Montserrat" w:eastAsia="Calibri" w:hAnsi="Montserrat" w:cs="Calibri"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23" w15:restartNumberingAfterBreak="0">
    <w:nsid w:val="4F3D1086"/>
    <w:multiLevelType w:val="multilevel"/>
    <w:tmpl w:val="4F5626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EDD0925"/>
    <w:multiLevelType w:val="multilevel"/>
    <w:tmpl w:val="77B4B58C"/>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5BC1BB1"/>
    <w:multiLevelType w:val="multilevel"/>
    <w:tmpl w:val="616E226C"/>
    <w:lvl w:ilvl="0">
      <w:start w:val="1"/>
      <w:numFmt w:val="bulle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61A2FDA"/>
    <w:multiLevelType w:val="hybridMultilevel"/>
    <w:tmpl w:val="E110CF24"/>
    <w:lvl w:ilvl="0" w:tplc="27F2F9E8">
      <w:start w:val="1"/>
      <w:numFmt w:val="bullet"/>
      <w:lvlText w:val="•"/>
      <w:lvlJc w:val="left"/>
      <w:pPr>
        <w:tabs>
          <w:tab w:val="num" w:pos="720"/>
        </w:tabs>
        <w:ind w:left="720" w:hanging="360"/>
      </w:pPr>
      <w:rPr>
        <w:rFonts w:ascii="Arial" w:hAnsi="Arial" w:hint="default"/>
      </w:rPr>
    </w:lvl>
    <w:lvl w:ilvl="1" w:tplc="E3C0E276">
      <w:start w:val="1"/>
      <w:numFmt w:val="bullet"/>
      <w:lvlText w:val="•"/>
      <w:lvlJc w:val="left"/>
      <w:pPr>
        <w:tabs>
          <w:tab w:val="num" w:pos="1440"/>
        </w:tabs>
        <w:ind w:left="1440" w:hanging="360"/>
      </w:pPr>
      <w:rPr>
        <w:rFonts w:ascii="Arial" w:hAnsi="Arial" w:hint="default"/>
      </w:rPr>
    </w:lvl>
    <w:lvl w:ilvl="2" w:tplc="7DB62D8E" w:tentative="1">
      <w:start w:val="1"/>
      <w:numFmt w:val="bullet"/>
      <w:lvlText w:val="•"/>
      <w:lvlJc w:val="left"/>
      <w:pPr>
        <w:tabs>
          <w:tab w:val="num" w:pos="2160"/>
        </w:tabs>
        <w:ind w:left="2160" w:hanging="360"/>
      </w:pPr>
      <w:rPr>
        <w:rFonts w:ascii="Arial" w:hAnsi="Arial" w:hint="default"/>
      </w:rPr>
    </w:lvl>
    <w:lvl w:ilvl="3" w:tplc="F66E8F42" w:tentative="1">
      <w:start w:val="1"/>
      <w:numFmt w:val="bullet"/>
      <w:lvlText w:val="•"/>
      <w:lvlJc w:val="left"/>
      <w:pPr>
        <w:tabs>
          <w:tab w:val="num" w:pos="2880"/>
        </w:tabs>
        <w:ind w:left="2880" w:hanging="360"/>
      </w:pPr>
      <w:rPr>
        <w:rFonts w:ascii="Arial" w:hAnsi="Arial" w:hint="default"/>
      </w:rPr>
    </w:lvl>
    <w:lvl w:ilvl="4" w:tplc="790E7E0E" w:tentative="1">
      <w:start w:val="1"/>
      <w:numFmt w:val="bullet"/>
      <w:lvlText w:val="•"/>
      <w:lvlJc w:val="left"/>
      <w:pPr>
        <w:tabs>
          <w:tab w:val="num" w:pos="3600"/>
        </w:tabs>
        <w:ind w:left="3600" w:hanging="360"/>
      </w:pPr>
      <w:rPr>
        <w:rFonts w:ascii="Arial" w:hAnsi="Arial" w:hint="default"/>
      </w:rPr>
    </w:lvl>
    <w:lvl w:ilvl="5" w:tplc="7B34D602" w:tentative="1">
      <w:start w:val="1"/>
      <w:numFmt w:val="bullet"/>
      <w:lvlText w:val="•"/>
      <w:lvlJc w:val="left"/>
      <w:pPr>
        <w:tabs>
          <w:tab w:val="num" w:pos="4320"/>
        </w:tabs>
        <w:ind w:left="4320" w:hanging="360"/>
      </w:pPr>
      <w:rPr>
        <w:rFonts w:ascii="Arial" w:hAnsi="Arial" w:hint="default"/>
      </w:rPr>
    </w:lvl>
    <w:lvl w:ilvl="6" w:tplc="B0E48C48" w:tentative="1">
      <w:start w:val="1"/>
      <w:numFmt w:val="bullet"/>
      <w:lvlText w:val="•"/>
      <w:lvlJc w:val="left"/>
      <w:pPr>
        <w:tabs>
          <w:tab w:val="num" w:pos="5040"/>
        </w:tabs>
        <w:ind w:left="5040" w:hanging="360"/>
      </w:pPr>
      <w:rPr>
        <w:rFonts w:ascii="Arial" w:hAnsi="Arial" w:hint="default"/>
      </w:rPr>
    </w:lvl>
    <w:lvl w:ilvl="7" w:tplc="30BCEB68" w:tentative="1">
      <w:start w:val="1"/>
      <w:numFmt w:val="bullet"/>
      <w:lvlText w:val="•"/>
      <w:lvlJc w:val="left"/>
      <w:pPr>
        <w:tabs>
          <w:tab w:val="num" w:pos="5760"/>
        </w:tabs>
        <w:ind w:left="5760" w:hanging="360"/>
      </w:pPr>
      <w:rPr>
        <w:rFonts w:ascii="Arial" w:hAnsi="Arial" w:hint="default"/>
      </w:rPr>
    </w:lvl>
    <w:lvl w:ilvl="8" w:tplc="9D06691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BC19B0"/>
    <w:multiLevelType w:val="multilevel"/>
    <w:tmpl w:val="8B1C2FB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EC272B"/>
    <w:multiLevelType w:val="hybridMultilevel"/>
    <w:tmpl w:val="132CF644"/>
    <w:styleLink w:val="Style3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3294745">
    <w:abstractNumId w:val="12"/>
  </w:num>
  <w:num w:numId="2" w16cid:durableId="268393627">
    <w:abstractNumId w:val="9"/>
  </w:num>
  <w:num w:numId="3" w16cid:durableId="1728722686">
    <w:abstractNumId w:val="7"/>
  </w:num>
  <w:num w:numId="4" w16cid:durableId="821584777">
    <w:abstractNumId w:val="20"/>
  </w:num>
  <w:num w:numId="5" w16cid:durableId="1831209707">
    <w:abstractNumId w:val="3"/>
  </w:num>
  <w:num w:numId="6" w16cid:durableId="1213539042">
    <w:abstractNumId w:val="11"/>
  </w:num>
  <w:num w:numId="7" w16cid:durableId="1119836982">
    <w:abstractNumId w:val="24"/>
  </w:num>
  <w:num w:numId="8" w16cid:durableId="376708755">
    <w:abstractNumId w:val="2"/>
  </w:num>
  <w:num w:numId="9" w16cid:durableId="1170438738">
    <w:abstractNumId w:val="29"/>
  </w:num>
  <w:num w:numId="10" w16cid:durableId="832525810">
    <w:abstractNumId w:val="14"/>
  </w:num>
  <w:num w:numId="11" w16cid:durableId="219446458">
    <w:abstractNumId w:val="19"/>
  </w:num>
  <w:num w:numId="12" w16cid:durableId="1707633875">
    <w:abstractNumId w:val="31"/>
  </w:num>
  <w:num w:numId="13" w16cid:durableId="1716932451">
    <w:abstractNumId w:val="5"/>
  </w:num>
  <w:num w:numId="14" w16cid:durableId="210267045">
    <w:abstractNumId w:val="18"/>
  </w:num>
  <w:num w:numId="15" w16cid:durableId="1419902980">
    <w:abstractNumId w:val="1"/>
  </w:num>
  <w:num w:numId="16" w16cid:durableId="1990401976">
    <w:abstractNumId w:val="0"/>
  </w:num>
  <w:num w:numId="17" w16cid:durableId="659389366">
    <w:abstractNumId w:val="21"/>
  </w:num>
  <w:num w:numId="18" w16cid:durableId="850028639">
    <w:abstractNumId w:val="17"/>
  </w:num>
  <w:num w:numId="19" w16cid:durableId="1458333718">
    <w:abstractNumId w:val="22"/>
  </w:num>
  <w:num w:numId="20" w16cid:durableId="1899851590">
    <w:abstractNumId w:val="4"/>
  </w:num>
  <w:num w:numId="21" w16cid:durableId="131293571">
    <w:abstractNumId w:val="27"/>
  </w:num>
  <w:num w:numId="22" w16cid:durableId="415790593">
    <w:abstractNumId w:val="30"/>
  </w:num>
  <w:num w:numId="23" w16cid:durableId="1690060539">
    <w:abstractNumId w:val="23"/>
  </w:num>
  <w:num w:numId="24" w16cid:durableId="1229341510">
    <w:abstractNumId w:val="10"/>
  </w:num>
  <w:num w:numId="25" w16cid:durableId="220360847">
    <w:abstractNumId w:val="26"/>
  </w:num>
  <w:num w:numId="26" w16cid:durableId="1906604170">
    <w:abstractNumId w:val="13"/>
  </w:num>
  <w:num w:numId="27" w16cid:durableId="2038849373">
    <w:abstractNumId w:val="25"/>
  </w:num>
  <w:num w:numId="28" w16cid:durableId="1616517352">
    <w:abstractNumId w:val="28"/>
  </w:num>
  <w:num w:numId="29" w16cid:durableId="716392565">
    <w:abstractNumId w:val="15"/>
  </w:num>
  <w:num w:numId="30" w16cid:durableId="402411207">
    <w:abstractNumId w:val="16"/>
  </w:num>
  <w:num w:numId="31" w16cid:durableId="341587399">
    <w:abstractNumId w:val="6"/>
  </w:num>
  <w:num w:numId="32" w16cid:durableId="144503116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CA" w:vendorID="64" w:dllVersion="0"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PBAC&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pavvftbds0e9e09pv52eag2zrrrxvxe20t&quot;&gt;Donanemab New Library&lt;record-ids&gt;&lt;item&gt;4&lt;/item&gt;&lt;item&gt;5&lt;/item&gt;&lt;item&gt;9&lt;/item&gt;&lt;item&gt;10&lt;/item&gt;&lt;item&gt;14&lt;/item&gt;&lt;item&gt;17&lt;/item&gt;&lt;item&gt;19&lt;/item&gt;&lt;item&gt;20&lt;/item&gt;&lt;item&gt;21&lt;/item&gt;&lt;item&gt;22&lt;/item&gt;&lt;item&gt;23&lt;/item&gt;&lt;item&gt;25&lt;/item&gt;&lt;item&gt;33&lt;/item&gt;&lt;item&gt;36&lt;/item&gt;&lt;item&gt;37&lt;/item&gt;&lt;item&gt;38&lt;/item&gt;&lt;item&gt;39&lt;/item&gt;&lt;item&gt;67&lt;/item&gt;&lt;item&gt;68&lt;/item&gt;&lt;item&gt;69&lt;/item&gt;&lt;item&gt;70&lt;/item&gt;&lt;item&gt;72&lt;/item&gt;&lt;item&gt;73&lt;/item&gt;&lt;item&gt;74&lt;/item&gt;&lt;item&gt;75&lt;/item&gt;&lt;item&gt;76&lt;/item&gt;&lt;item&gt;77&lt;/item&gt;&lt;item&gt;78&lt;/item&gt;&lt;item&gt;79&lt;/item&gt;&lt;item&gt;83&lt;/item&gt;&lt;item&gt;86&lt;/item&gt;&lt;item&gt;98&lt;/item&gt;&lt;item&gt;99&lt;/item&gt;&lt;item&gt;100&lt;/item&gt;&lt;item&gt;101&lt;/item&gt;&lt;item&gt;103&lt;/item&gt;&lt;item&gt;104&lt;/item&gt;&lt;item&gt;105&lt;/item&gt;&lt;item&gt;107&lt;/item&gt;&lt;item&gt;109&lt;/item&gt;&lt;item&gt;110&lt;/item&gt;&lt;item&gt;111&lt;/item&gt;&lt;item&gt;113&lt;/item&gt;&lt;item&gt;114&lt;/item&gt;&lt;item&gt;116&lt;/item&gt;&lt;item&gt;117&lt;/item&gt;&lt;item&gt;118&lt;/item&gt;&lt;item&gt;119&lt;/item&gt;&lt;item&gt;121&lt;/item&gt;&lt;item&gt;122&lt;/item&gt;&lt;item&gt;123&lt;/item&gt;&lt;item&gt;126&lt;/item&gt;&lt;item&gt;143&lt;/item&gt;&lt;item&gt;144&lt;/item&gt;&lt;item&gt;145&lt;/item&gt;&lt;item&gt;146&lt;/item&gt;&lt;item&gt;148&lt;/item&gt;&lt;item&gt;150&lt;/item&gt;&lt;item&gt;151&lt;/item&gt;&lt;item&gt;153&lt;/item&gt;&lt;item&gt;154&lt;/item&gt;&lt;item&gt;155&lt;/item&gt;&lt;item&gt;157&lt;/item&gt;&lt;item&gt;159&lt;/item&gt;&lt;item&gt;161&lt;/item&gt;&lt;item&gt;164&lt;/item&gt;&lt;item&gt;170&lt;/item&gt;&lt;item&gt;171&lt;/item&gt;&lt;item&gt;172&lt;/item&gt;&lt;item&gt;174&lt;/item&gt;&lt;item&gt;175&lt;/item&gt;&lt;item&gt;184&lt;/item&gt;&lt;item&gt;194&lt;/item&gt;&lt;item&gt;196&lt;/item&gt;&lt;item&gt;199&lt;/item&gt;&lt;item&gt;201&lt;/item&gt;&lt;item&gt;207&lt;/item&gt;&lt;item&gt;221&lt;/item&gt;&lt;item&gt;224&lt;/item&gt;&lt;item&gt;226&lt;/item&gt;&lt;item&gt;247&lt;/item&gt;&lt;item&gt;250&lt;/item&gt;&lt;item&gt;252&lt;/item&gt;&lt;item&gt;255&lt;/item&gt;&lt;item&gt;256&lt;/item&gt;&lt;item&gt;260&lt;/item&gt;&lt;item&gt;263&lt;/item&gt;&lt;item&gt;266&lt;/item&gt;&lt;item&gt;277&lt;/item&gt;&lt;item&gt;279&lt;/item&gt;&lt;item&gt;281&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32&lt;/item&gt;&lt;item&gt;341&lt;/item&gt;&lt;item&gt;343&lt;/item&gt;&lt;item&gt;344&lt;/item&gt;&lt;item&gt;347&lt;/item&gt;&lt;item&gt;350&lt;/item&gt;&lt;item&gt;351&lt;/item&gt;&lt;item&gt;359&lt;/item&gt;&lt;item&gt;363&lt;/item&gt;&lt;item&gt;367&lt;/item&gt;&lt;item&gt;371&lt;/item&gt;&lt;item&gt;391&lt;/item&gt;&lt;item&gt;392&lt;/item&gt;&lt;item&gt;393&lt;/item&gt;&lt;item&gt;394&lt;/item&gt;&lt;item&gt;395&lt;/item&gt;&lt;item&gt;396&lt;/item&gt;&lt;item&gt;397&lt;/item&gt;&lt;item&gt;398&lt;/item&gt;&lt;item&gt;399&lt;/item&gt;&lt;item&gt;400&lt;/item&gt;&lt;item&gt;401&lt;/item&gt;&lt;item&gt;402&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3&lt;/item&gt;&lt;item&gt;425&lt;/item&gt;&lt;item&gt;426&lt;/item&gt;&lt;item&gt;427&lt;/item&gt;&lt;item&gt;428&lt;/item&gt;&lt;item&gt;429&lt;/item&gt;&lt;item&gt;430&lt;/item&gt;&lt;item&gt;431&lt;/item&gt;&lt;item&gt;432&lt;/item&gt;&lt;item&gt;433&lt;/item&gt;&lt;item&gt;434&lt;/item&gt;&lt;item&gt;435&lt;/item&gt;&lt;item&gt;437&lt;/item&gt;&lt;item&gt;440&lt;/item&gt;&lt;item&gt;442&lt;/item&gt;&lt;item&gt;443&lt;/item&gt;&lt;item&gt;452&lt;/item&gt;&lt;item&gt;522&lt;/item&gt;&lt;item&gt;524&lt;/item&gt;&lt;item&gt;528&lt;/item&gt;&lt;item&gt;562&lt;/item&gt;&lt;item&gt;567&lt;/item&gt;&lt;item&gt;582&lt;/item&gt;&lt;item&gt;592&lt;/item&gt;&lt;item&gt;604&lt;/item&gt;&lt;item&gt;605&lt;/item&gt;&lt;item&gt;607&lt;/item&gt;&lt;item&gt;623&lt;/item&gt;&lt;item&gt;625&lt;/item&gt;&lt;item&gt;626&lt;/item&gt;&lt;item&gt;627&lt;/item&gt;&lt;item&gt;628&lt;/item&gt;&lt;item&gt;629&lt;/item&gt;&lt;item&gt;630&lt;/item&gt;&lt;item&gt;631&lt;/item&gt;&lt;/record-ids&gt;&lt;/item&gt;&lt;/Libraries&gt;"/>
  </w:docVars>
  <w:rsids>
    <w:rsidRoot w:val="00BF5482"/>
    <w:rsid w:val="00000103"/>
    <w:rsid w:val="000002CA"/>
    <w:rsid w:val="0000037D"/>
    <w:rsid w:val="000004FD"/>
    <w:rsid w:val="00000AFE"/>
    <w:rsid w:val="00000BD5"/>
    <w:rsid w:val="00000F3C"/>
    <w:rsid w:val="000012E4"/>
    <w:rsid w:val="000012EC"/>
    <w:rsid w:val="000016BF"/>
    <w:rsid w:val="000018AF"/>
    <w:rsid w:val="00001AB4"/>
    <w:rsid w:val="00001AFD"/>
    <w:rsid w:val="00001B63"/>
    <w:rsid w:val="00001E6B"/>
    <w:rsid w:val="000020D3"/>
    <w:rsid w:val="00002C80"/>
    <w:rsid w:val="00002FF5"/>
    <w:rsid w:val="00003250"/>
    <w:rsid w:val="00003D4C"/>
    <w:rsid w:val="00003ED7"/>
    <w:rsid w:val="000043F2"/>
    <w:rsid w:val="000045DA"/>
    <w:rsid w:val="00004838"/>
    <w:rsid w:val="00004A5B"/>
    <w:rsid w:val="000052B3"/>
    <w:rsid w:val="000056FA"/>
    <w:rsid w:val="00005C3E"/>
    <w:rsid w:val="00005F05"/>
    <w:rsid w:val="00005F0E"/>
    <w:rsid w:val="000062E0"/>
    <w:rsid w:val="00006368"/>
    <w:rsid w:val="00006725"/>
    <w:rsid w:val="00006761"/>
    <w:rsid w:val="000067C8"/>
    <w:rsid w:val="0000699A"/>
    <w:rsid w:val="00006B4A"/>
    <w:rsid w:val="00006CC0"/>
    <w:rsid w:val="00006D19"/>
    <w:rsid w:val="00006D46"/>
    <w:rsid w:val="00006E77"/>
    <w:rsid w:val="0000728D"/>
    <w:rsid w:val="0000731F"/>
    <w:rsid w:val="000075B8"/>
    <w:rsid w:val="00007AFA"/>
    <w:rsid w:val="00007B18"/>
    <w:rsid w:val="00007D60"/>
    <w:rsid w:val="00007EFB"/>
    <w:rsid w:val="00010427"/>
    <w:rsid w:val="0001046D"/>
    <w:rsid w:val="0001047F"/>
    <w:rsid w:val="000105A6"/>
    <w:rsid w:val="0001061C"/>
    <w:rsid w:val="0001066C"/>
    <w:rsid w:val="0001066F"/>
    <w:rsid w:val="0001081E"/>
    <w:rsid w:val="00010A9C"/>
    <w:rsid w:val="00010B2D"/>
    <w:rsid w:val="00010B97"/>
    <w:rsid w:val="00010D1B"/>
    <w:rsid w:val="00010F3A"/>
    <w:rsid w:val="000110A7"/>
    <w:rsid w:val="00011418"/>
    <w:rsid w:val="0001155B"/>
    <w:rsid w:val="0001171D"/>
    <w:rsid w:val="000119AF"/>
    <w:rsid w:val="00012027"/>
    <w:rsid w:val="00012209"/>
    <w:rsid w:val="0001227E"/>
    <w:rsid w:val="000124B9"/>
    <w:rsid w:val="0001281E"/>
    <w:rsid w:val="000129C5"/>
    <w:rsid w:val="00012D82"/>
    <w:rsid w:val="00012F3E"/>
    <w:rsid w:val="000131C9"/>
    <w:rsid w:val="00013222"/>
    <w:rsid w:val="000136AB"/>
    <w:rsid w:val="00013942"/>
    <w:rsid w:val="00013E19"/>
    <w:rsid w:val="00013EE8"/>
    <w:rsid w:val="00014247"/>
    <w:rsid w:val="000142C1"/>
    <w:rsid w:val="0001445D"/>
    <w:rsid w:val="00014E6C"/>
    <w:rsid w:val="00014F9D"/>
    <w:rsid w:val="0001509C"/>
    <w:rsid w:val="00015290"/>
    <w:rsid w:val="000153B6"/>
    <w:rsid w:val="0001543A"/>
    <w:rsid w:val="0001548D"/>
    <w:rsid w:val="00015692"/>
    <w:rsid w:val="000156C3"/>
    <w:rsid w:val="00015798"/>
    <w:rsid w:val="00015A87"/>
    <w:rsid w:val="00016129"/>
    <w:rsid w:val="00016244"/>
    <w:rsid w:val="000162E9"/>
    <w:rsid w:val="0001664F"/>
    <w:rsid w:val="000169C3"/>
    <w:rsid w:val="00016AC2"/>
    <w:rsid w:val="00016CD7"/>
    <w:rsid w:val="00016D7E"/>
    <w:rsid w:val="00016E45"/>
    <w:rsid w:val="00016F34"/>
    <w:rsid w:val="0001704E"/>
    <w:rsid w:val="000170E1"/>
    <w:rsid w:val="00017924"/>
    <w:rsid w:val="00017BC7"/>
    <w:rsid w:val="00017C53"/>
    <w:rsid w:val="00020574"/>
    <w:rsid w:val="000206BC"/>
    <w:rsid w:val="0002095B"/>
    <w:rsid w:val="00020A31"/>
    <w:rsid w:val="0002115E"/>
    <w:rsid w:val="000216AA"/>
    <w:rsid w:val="00021774"/>
    <w:rsid w:val="00021808"/>
    <w:rsid w:val="00021E9F"/>
    <w:rsid w:val="00022320"/>
    <w:rsid w:val="000223B9"/>
    <w:rsid w:val="000224FA"/>
    <w:rsid w:val="00022782"/>
    <w:rsid w:val="000228BA"/>
    <w:rsid w:val="00022A44"/>
    <w:rsid w:val="00022B50"/>
    <w:rsid w:val="00022CC6"/>
    <w:rsid w:val="00023139"/>
    <w:rsid w:val="000239BE"/>
    <w:rsid w:val="00023F61"/>
    <w:rsid w:val="0002404F"/>
    <w:rsid w:val="000243A2"/>
    <w:rsid w:val="00024579"/>
    <w:rsid w:val="00024844"/>
    <w:rsid w:val="00024B14"/>
    <w:rsid w:val="00024DE4"/>
    <w:rsid w:val="00024F82"/>
    <w:rsid w:val="0002501A"/>
    <w:rsid w:val="000250F2"/>
    <w:rsid w:val="000253EA"/>
    <w:rsid w:val="00025663"/>
    <w:rsid w:val="00025B1B"/>
    <w:rsid w:val="00025D6B"/>
    <w:rsid w:val="00025F12"/>
    <w:rsid w:val="00025FC3"/>
    <w:rsid w:val="00026042"/>
    <w:rsid w:val="00026050"/>
    <w:rsid w:val="0002638E"/>
    <w:rsid w:val="00026419"/>
    <w:rsid w:val="0002654D"/>
    <w:rsid w:val="000267E1"/>
    <w:rsid w:val="000269AF"/>
    <w:rsid w:val="00026E81"/>
    <w:rsid w:val="00027249"/>
    <w:rsid w:val="0002767C"/>
    <w:rsid w:val="000277D7"/>
    <w:rsid w:val="0002788D"/>
    <w:rsid w:val="000278A0"/>
    <w:rsid w:val="0003038A"/>
    <w:rsid w:val="00030700"/>
    <w:rsid w:val="000308D4"/>
    <w:rsid w:val="00030D9F"/>
    <w:rsid w:val="00031162"/>
    <w:rsid w:val="0003125F"/>
    <w:rsid w:val="0003157F"/>
    <w:rsid w:val="000317D7"/>
    <w:rsid w:val="00031D28"/>
    <w:rsid w:val="000321CF"/>
    <w:rsid w:val="00032527"/>
    <w:rsid w:val="00032575"/>
    <w:rsid w:val="0003298F"/>
    <w:rsid w:val="00032AA4"/>
    <w:rsid w:val="00032C50"/>
    <w:rsid w:val="00032F41"/>
    <w:rsid w:val="00033062"/>
    <w:rsid w:val="000332E8"/>
    <w:rsid w:val="000334F8"/>
    <w:rsid w:val="00033503"/>
    <w:rsid w:val="00033806"/>
    <w:rsid w:val="00033B87"/>
    <w:rsid w:val="00033CE1"/>
    <w:rsid w:val="00033EEE"/>
    <w:rsid w:val="00034220"/>
    <w:rsid w:val="00034404"/>
    <w:rsid w:val="0003493C"/>
    <w:rsid w:val="00034949"/>
    <w:rsid w:val="0003497C"/>
    <w:rsid w:val="00034A0A"/>
    <w:rsid w:val="00034B1A"/>
    <w:rsid w:val="00034CEC"/>
    <w:rsid w:val="00035215"/>
    <w:rsid w:val="000352BC"/>
    <w:rsid w:val="000355D9"/>
    <w:rsid w:val="0003574D"/>
    <w:rsid w:val="000359BA"/>
    <w:rsid w:val="00035C6D"/>
    <w:rsid w:val="00035E89"/>
    <w:rsid w:val="00035EC2"/>
    <w:rsid w:val="00035FBC"/>
    <w:rsid w:val="00036359"/>
    <w:rsid w:val="000363C6"/>
    <w:rsid w:val="00036491"/>
    <w:rsid w:val="000364FA"/>
    <w:rsid w:val="000365C8"/>
    <w:rsid w:val="000365D0"/>
    <w:rsid w:val="00036A7F"/>
    <w:rsid w:val="00036BE2"/>
    <w:rsid w:val="00036DA0"/>
    <w:rsid w:val="00036E5B"/>
    <w:rsid w:val="000372BC"/>
    <w:rsid w:val="000374BB"/>
    <w:rsid w:val="000376BE"/>
    <w:rsid w:val="000378F5"/>
    <w:rsid w:val="00037BEE"/>
    <w:rsid w:val="00037DEF"/>
    <w:rsid w:val="000404B1"/>
    <w:rsid w:val="00040603"/>
    <w:rsid w:val="00040E2A"/>
    <w:rsid w:val="0004104D"/>
    <w:rsid w:val="00041118"/>
    <w:rsid w:val="00041479"/>
    <w:rsid w:val="000419B3"/>
    <w:rsid w:val="000419BE"/>
    <w:rsid w:val="00041A36"/>
    <w:rsid w:val="00041B3C"/>
    <w:rsid w:val="00042179"/>
    <w:rsid w:val="0004233D"/>
    <w:rsid w:val="00042911"/>
    <w:rsid w:val="000429C9"/>
    <w:rsid w:val="00042B9E"/>
    <w:rsid w:val="00042FE2"/>
    <w:rsid w:val="000431B4"/>
    <w:rsid w:val="0004346E"/>
    <w:rsid w:val="000435EC"/>
    <w:rsid w:val="0004387F"/>
    <w:rsid w:val="00043ADE"/>
    <w:rsid w:val="00043CB8"/>
    <w:rsid w:val="00043D6C"/>
    <w:rsid w:val="00043E23"/>
    <w:rsid w:val="0004441D"/>
    <w:rsid w:val="00044A31"/>
    <w:rsid w:val="00044E13"/>
    <w:rsid w:val="000459DC"/>
    <w:rsid w:val="00045B36"/>
    <w:rsid w:val="00045C1B"/>
    <w:rsid w:val="00045CC1"/>
    <w:rsid w:val="00045D6E"/>
    <w:rsid w:val="00045F61"/>
    <w:rsid w:val="000461CF"/>
    <w:rsid w:val="000462CF"/>
    <w:rsid w:val="000463DE"/>
    <w:rsid w:val="000466CF"/>
    <w:rsid w:val="00046C0A"/>
    <w:rsid w:val="00046E25"/>
    <w:rsid w:val="00047184"/>
    <w:rsid w:val="0004745C"/>
    <w:rsid w:val="0004758F"/>
    <w:rsid w:val="0004775A"/>
    <w:rsid w:val="00047867"/>
    <w:rsid w:val="000479A2"/>
    <w:rsid w:val="000500EF"/>
    <w:rsid w:val="000501FB"/>
    <w:rsid w:val="0005061B"/>
    <w:rsid w:val="00050C01"/>
    <w:rsid w:val="00051023"/>
    <w:rsid w:val="00051211"/>
    <w:rsid w:val="000516FF"/>
    <w:rsid w:val="00051858"/>
    <w:rsid w:val="000518BD"/>
    <w:rsid w:val="0005193B"/>
    <w:rsid w:val="00051C6D"/>
    <w:rsid w:val="000520EE"/>
    <w:rsid w:val="00052289"/>
    <w:rsid w:val="000522EE"/>
    <w:rsid w:val="00052497"/>
    <w:rsid w:val="00052667"/>
    <w:rsid w:val="00052BCD"/>
    <w:rsid w:val="00052C24"/>
    <w:rsid w:val="00052C95"/>
    <w:rsid w:val="00053103"/>
    <w:rsid w:val="00053961"/>
    <w:rsid w:val="00053D51"/>
    <w:rsid w:val="00053EB9"/>
    <w:rsid w:val="0005413C"/>
    <w:rsid w:val="00054171"/>
    <w:rsid w:val="0005459B"/>
    <w:rsid w:val="000545E8"/>
    <w:rsid w:val="00054606"/>
    <w:rsid w:val="00054C8C"/>
    <w:rsid w:val="00054D3E"/>
    <w:rsid w:val="00054EE7"/>
    <w:rsid w:val="000552FF"/>
    <w:rsid w:val="00055301"/>
    <w:rsid w:val="00055391"/>
    <w:rsid w:val="000559E7"/>
    <w:rsid w:val="00055DCD"/>
    <w:rsid w:val="00055FEE"/>
    <w:rsid w:val="00056086"/>
    <w:rsid w:val="000561A5"/>
    <w:rsid w:val="00056297"/>
    <w:rsid w:val="000565EE"/>
    <w:rsid w:val="0005674E"/>
    <w:rsid w:val="00056933"/>
    <w:rsid w:val="00056983"/>
    <w:rsid w:val="000569B5"/>
    <w:rsid w:val="00056BC5"/>
    <w:rsid w:val="00056C92"/>
    <w:rsid w:val="00056C98"/>
    <w:rsid w:val="00056D33"/>
    <w:rsid w:val="00057368"/>
    <w:rsid w:val="000578D9"/>
    <w:rsid w:val="00057902"/>
    <w:rsid w:val="00057B97"/>
    <w:rsid w:val="00057D49"/>
    <w:rsid w:val="00057EDF"/>
    <w:rsid w:val="00057F42"/>
    <w:rsid w:val="00057F71"/>
    <w:rsid w:val="00060066"/>
    <w:rsid w:val="00060228"/>
    <w:rsid w:val="00060438"/>
    <w:rsid w:val="000606B7"/>
    <w:rsid w:val="0006089C"/>
    <w:rsid w:val="00060A82"/>
    <w:rsid w:val="00060D4E"/>
    <w:rsid w:val="00061082"/>
    <w:rsid w:val="000616D5"/>
    <w:rsid w:val="0006186B"/>
    <w:rsid w:val="00061A43"/>
    <w:rsid w:val="00062018"/>
    <w:rsid w:val="00062067"/>
    <w:rsid w:val="00062528"/>
    <w:rsid w:val="00062712"/>
    <w:rsid w:val="0006287B"/>
    <w:rsid w:val="00062B6E"/>
    <w:rsid w:val="000632E7"/>
    <w:rsid w:val="000633A9"/>
    <w:rsid w:val="000633C7"/>
    <w:rsid w:val="000638D7"/>
    <w:rsid w:val="000639D0"/>
    <w:rsid w:val="00063AEF"/>
    <w:rsid w:val="00064000"/>
    <w:rsid w:val="000643FA"/>
    <w:rsid w:val="0006442F"/>
    <w:rsid w:val="00064AA2"/>
    <w:rsid w:val="00064B21"/>
    <w:rsid w:val="00064BCC"/>
    <w:rsid w:val="00064D04"/>
    <w:rsid w:val="000652F9"/>
    <w:rsid w:val="00065379"/>
    <w:rsid w:val="0006538A"/>
    <w:rsid w:val="00065842"/>
    <w:rsid w:val="00065BD1"/>
    <w:rsid w:val="00065BD4"/>
    <w:rsid w:val="00065C62"/>
    <w:rsid w:val="00065CDE"/>
    <w:rsid w:val="00065F4A"/>
    <w:rsid w:val="00065F5F"/>
    <w:rsid w:val="000662F0"/>
    <w:rsid w:val="00066AF5"/>
    <w:rsid w:val="00066CBF"/>
    <w:rsid w:val="00066CF2"/>
    <w:rsid w:val="00067100"/>
    <w:rsid w:val="00067435"/>
    <w:rsid w:val="000675A5"/>
    <w:rsid w:val="000676E5"/>
    <w:rsid w:val="000677DE"/>
    <w:rsid w:val="000678CB"/>
    <w:rsid w:val="0006797A"/>
    <w:rsid w:val="00067A01"/>
    <w:rsid w:val="00070011"/>
    <w:rsid w:val="00070161"/>
    <w:rsid w:val="000701A7"/>
    <w:rsid w:val="0007063B"/>
    <w:rsid w:val="000708AA"/>
    <w:rsid w:val="00070D75"/>
    <w:rsid w:val="00070F2E"/>
    <w:rsid w:val="0007105C"/>
    <w:rsid w:val="0007117B"/>
    <w:rsid w:val="00071407"/>
    <w:rsid w:val="00071421"/>
    <w:rsid w:val="000718A2"/>
    <w:rsid w:val="000719AE"/>
    <w:rsid w:val="00071AB2"/>
    <w:rsid w:val="00071ABA"/>
    <w:rsid w:val="00071B28"/>
    <w:rsid w:val="00071B59"/>
    <w:rsid w:val="00071E21"/>
    <w:rsid w:val="00071F40"/>
    <w:rsid w:val="00071F7C"/>
    <w:rsid w:val="000721FB"/>
    <w:rsid w:val="000722DA"/>
    <w:rsid w:val="000722DC"/>
    <w:rsid w:val="0007232F"/>
    <w:rsid w:val="000727A1"/>
    <w:rsid w:val="0007286F"/>
    <w:rsid w:val="0007288C"/>
    <w:rsid w:val="000729B1"/>
    <w:rsid w:val="00072D6A"/>
    <w:rsid w:val="00072DBE"/>
    <w:rsid w:val="00072E25"/>
    <w:rsid w:val="00072FA5"/>
    <w:rsid w:val="000731C8"/>
    <w:rsid w:val="00073625"/>
    <w:rsid w:val="00073AC0"/>
    <w:rsid w:val="00073CC4"/>
    <w:rsid w:val="00073E2E"/>
    <w:rsid w:val="00074045"/>
    <w:rsid w:val="000740AE"/>
    <w:rsid w:val="00074165"/>
    <w:rsid w:val="00074465"/>
    <w:rsid w:val="00074880"/>
    <w:rsid w:val="000749CD"/>
    <w:rsid w:val="000749F5"/>
    <w:rsid w:val="00074A38"/>
    <w:rsid w:val="00074B97"/>
    <w:rsid w:val="00074D63"/>
    <w:rsid w:val="00075477"/>
    <w:rsid w:val="000754A6"/>
    <w:rsid w:val="000754DC"/>
    <w:rsid w:val="000756EC"/>
    <w:rsid w:val="000758E8"/>
    <w:rsid w:val="00075AF3"/>
    <w:rsid w:val="00076339"/>
    <w:rsid w:val="00076A9E"/>
    <w:rsid w:val="00076AE9"/>
    <w:rsid w:val="00076B19"/>
    <w:rsid w:val="00076B75"/>
    <w:rsid w:val="00076C25"/>
    <w:rsid w:val="00076DAA"/>
    <w:rsid w:val="00076E6F"/>
    <w:rsid w:val="0007721D"/>
    <w:rsid w:val="000774CD"/>
    <w:rsid w:val="000777AD"/>
    <w:rsid w:val="0007786E"/>
    <w:rsid w:val="0007794D"/>
    <w:rsid w:val="00077D22"/>
    <w:rsid w:val="00077F1E"/>
    <w:rsid w:val="00077F65"/>
    <w:rsid w:val="0008002E"/>
    <w:rsid w:val="000802E3"/>
    <w:rsid w:val="000807E7"/>
    <w:rsid w:val="00080813"/>
    <w:rsid w:val="0008093E"/>
    <w:rsid w:val="00080BAC"/>
    <w:rsid w:val="00080BC7"/>
    <w:rsid w:val="00080DE7"/>
    <w:rsid w:val="00080FF3"/>
    <w:rsid w:val="000814C4"/>
    <w:rsid w:val="000814D9"/>
    <w:rsid w:val="000815F3"/>
    <w:rsid w:val="0008164A"/>
    <w:rsid w:val="0008166C"/>
    <w:rsid w:val="00081691"/>
    <w:rsid w:val="000816DF"/>
    <w:rsid w:val="00081B8F"/>
    <w:rsid w:val="0008219C"/>
    <w:rsid w:val="0008224D"/>
    <w:rsid w:val="000822EF"/>
    <w:rsid w:val="000822F1"/>
    <w:rsid w:val="00082422"/>
    <w:rsid w:val="000825EF"/>
    <w:rsid w:val="00082868"/>
    <w:rsid w:val="000829F7"/>
    <w:rsid w:val="00082CB2"/>
    <w:rsid w:val="00082DF8"/>
    <w:rsid w:val="00082F68"/>
    <w:rsid w:val="00082F9E"/>
    <w:rsid w:val="000832C5"/>
    <w:rsid w:val="00083379"/>
    <w:rsid w:val="0008353C"/>
    <w:rsid w:val="0008362B"/>
    <w:rsid w:val="00083974"/>
    <w:rsid w:val="00083993"/>
    <w:rsid w:val="000839E0"/>
    <w:rsid w:val="00083CC3"/>
    <w:rsid w:val="000846BF"/>
    <w:rsid w:val="000847FE"/>
    <w:rsid w:val="00084A2B"/>
    <w:rsid w:val="00084B18"/>
    <w:rsid w:val="00084C89"/>
    <w:rsid w:val="00084F23"/>
    <w:rsid w:val="00084FA2"/>
    <w:rsid w:val="000851E3"/>
    <w:rsid w:val="0008522A"/>
    <w:rsid w:val="000852FA"/>
    <w:rsid w:val="000855EC"/>
    <w:rsid w:val="00085EBF"/>
    <w:rsid w:val="00086133"/>
    <w:rsid w:val="0008614E"/>
    <w:rsid w:val="000862EE"/>
    <w:rsid w:val="00086307"/>
    <w:rsid w:val="00086608"/>
    <w:rsid w:val="000866D7"/>
    <w:rsid w:val="0008675B"/>
    <w:rsid w:val="00086871"/>
    <w:rsid w:val="00086A8F"/>
    <w:rsid w:val="00086DD2"/>
    <w:rsid w:val="00086F1C"/>
    <w:rsid w:val="00087007"/>
    <w:rsid w:val="00087216"/>
    <w:rsid w:val="00087666"/>
    <w:rsid w:val="000877DF"/>
    <w:rsid w:val="00087E15"/>
    <w:rsid w:val="00087E1C"/>
    <w:rsid w:val="00087FD2"/>
    <w:rsid w:val="00087FE3"/>
    <w:rsid w:val="00090A6A"/>
    <w:rsid w:val="00090F45"/>
    <w:rsid w:val="00091804"/>
    <w:rsid w:val="000918D7"/>
    <w:rsid w:val="00091986"/>
    <w:rsid w:val="0009199D"/>
    <w:rsid w:val="00091F66"/>
    <w:rsid w:val="00091FBF"/>
    <w:rsid w:val="00092120"/>
    <w:rsid w:val="00092727"/>
    <w:rsid w:val="0009286C"/>
    <w:rsid w:val="00092945"/>
    <w:rsid w:val="00092C49"/>
    <w:rsid w:val="00092D65"/>
    <w:rsid w:val="00092DD7"/>
    <w:rsid w:val="00092E62"/>
    <w:rsid w:val="00093127"/>
    <w:rsid w:val="00093281"/>
    <w:rsid w:val="00093453"/>
    <w:rsid w:val="000934DD"/>
    <w:rsid w:val="0009368D"/>
    <w:rsid w:val="000939E4"/>
    <w:rsid w:val="00093DB7"/>
    <w:rsid w:val="00093F56"/>
    <w:rsid w:val="00093F81"/>
    <w:rsid w:val="00094074"/>
    <w:rsid w:val="00094280"/>
    <w:rsid w:val="000944F1"/>
    <w:rsid w:val="0009476D"/>
    <w:rsid w:val="00094A13"/>
    <w:rsid w:val="00094CDE"/>
    <w:rsid w:val="00095405"/>
    <w:rsid w:val="000957D7"/>
    <w:rsid w:val="00095A69"/>
    <w:rsid w:val="00095CCC"/>
    <w:rsid w:val="00095F6B"/>
    <w:rsid w:val="00095F71"/>
    <w:rsid w:val="00095FD4"/>
    <w:rsid w:val="0009688E"/>
    <w:rsid w:val="00096938"/>
    <w:rsid w:val="00096B26"/>
    <w:rsid w:val="00096B89"/>
    <w:rsid w:val="00096BCD"/>
    <w:rsid w:val="00096CEC"/>
    <w:rsid w:val="0009756D"/>
    <w:rsid w:val="00097989"/>
    <w:rsid w:val="00097A38"/>
    <w:rsid w:val="00097D44"/>
    <w:rsid w:val="00097D52"/>
    <w:rsid w:val="00097DB7"/>
    <w:rsid w:val="00097ECA"/>
    <w:rsid w:val="000A027E"/>
    <w:rsid w:val="000A03CA"/>
    <w:rsid w:val="000A040B"/>
    <w:rsid w:val="000A0BF4"/>
    <w:rsid w:val="000A0D2D"/>
    <w:rsid w:val="000A0E47"/>
    <w:rsid w:val="000A0ED3"/>
    <w:rsid w:val="000A0F04"/>
    <w:rsid w:val="000A1211"/>
    <w:rsid w:val="000A1F7B"/>
    <w:rsid w:val="000A2099"/>
    <w:rsid w:val="000A23B9"/>
    <w:rsid w:val="000A2694"/>
    <w:rsid w:val="000A27BF"/>
    <w:rsid w:val="000A28DF"/>
    <w:rsid w:val="000A295A"/>
    <w:rsid w:val="000A2BC1"/>
    <w:rsid w:val="000A2EF1"/>
    <w:rsid w:val="000A2F55"/>
    <w:rsid w:val="000A2FCB"/>
    <w:rsid w:val="000A3122"/>
    <w:rsid w:val="000A3150"/>
    <w:rsid w:val="000A3274"/>
    <w:rsid w:val="000A346A"/>
    <w:rsid w:val="000A3810"/>
    <w:rsid w:val="000A3976"/>
    <w:rsid w:val="000A3B23"/>
    <w:rsid w:val="000A3D99"/>
    <w:rsid w:val="000A3E44"/>
    <w:rsid w:val="000A3F4C"/>
    <w:rsid w:val="000A436C"/>
    <w:rsid w:val="000A4926"/>
    <w:rsid w:val="000A4979"/>
    <w:rsid w:val="000A4A2E"/>
    <w:rsid w:val="000A4CCC"/>
    <w:rsid w:val="000A5065"/>
    <w:rsid w:val="000A526A"/>
    <w:rsid w:val="000A52D9"/>
    <w:rsid w:val="000A537D"/>
    <w:rsid w:val="000A5642"/>
    <w:rsid w:val="000A583F"/>
    <w:rsid w:val="000A5BEC"/>
    <w:rsid w:val="000A5D44"/>
    <w:rsid w:val="000A5E06"/>
    <w:rsid w:val="000A6005"/>
    <w:rsid w:val="000A6078"/>
    <w:rsid w:val="000A63CA"/>
    <w:rsid w:val="000A646D"/>
    <w:rsid w:val="000A64B0"/>
    <w:rsid w:val="000A67F0"/>
    <w:rsid w:val="000A68B2"/>
    <w:rsid w:val="000A6E61"/>
    <w:rsid w:val="000A6F6D"/>
    <w:rsid w:val="000A6FBD"/>
    <w:rsid w:val="000A713A"/>
    <w:rsid w:val="000A71B9"/>
    <w:rsid w:val="000A7333"/>
    <w:rsid w:val="000A73B9"/>
    <w:rsid w:val="000A745A"/>
    <w:rsid w:val="000A762B"/>
    <w:rsid w:val="000A7713"/>
    <w:rsid w:val="000A777A"/>
    <w:rsid w:val="000A798E"/>
    <w:rsid w:val="000A7EA5"/>
    <w:rsid w:val="000B00A6"/>
    <w:rsid w:val="000B0370"/>
    <w:rsid w:val="000B047A"/>
    <w:rsid w:val="000B076A"/>
    <w:rsid w:val="000B0A84"/>
    <w:rsid w:val="000B0FD3"/>
    <w:rsid w:val="000B0FE1"/>
    <w:rsid w:val="000B111E"/>
    <w:rsid w:val="000B11AF"/>
    <w:rsid w:val="000B12EC"/>
    <w:rsid w:val="000B14B0"/>
    <w:rsid w:val="000B190B"/>
    <w:rsid w:val="000B1ADA"/>
    <w:rsid w:val="000B1E5A"/>
    <w:rsid w:val="000B2225"/>
    <w:rsid w:val="000B2252"/>
    <w:rsid w:val="000B22D5"/>
    <w:rsid w:val="000B241E"/>
    <w:rsid w:val="000B2420"/>
    <w:rsid w:val="000B2654"/>
    <w:rsid w:val="000B2677"/>
    <w:rsid w:val="000B2926"/>
    <w:rsid w:val="000B2AC9"/>
    <w:rsid w:val="000B2BE3"/>
    <w:rsid w:val="000B2E06"/>
    <w:rsid w:val="000B30A8"/>
    <w:rsid w:val="000B35B5"/>
    <w:rsid w:val="000B35EA"/>
    <w:rsid w:val="000B38CF"/>
    <w:rsid w:val="000B3929"/>
    <w:rsid w:val="000B3B81"/>
    <w:rsid w:val="000B3BB2"/>
    <w:rsid w:val="000B3CEB"/>
    <w:rsid w:val="000B3D51"/>
    <w:rsid w:val="000B4284"/>
    <w:rsid w:val="000B46C7"/>
    <w:rsid w:val="000B4ED4"/>
    <w:rsid w:val="000B5138"/>
    <w:rsid w:val="000B5476"/>
    <w:rsid w:val="000B56CD"/>
    <w:rsid w:val="000B5AB4"/>
    <w:rsid w:val="000B5B36"/>
    <w:rsid w:val="000B6717"/>
    <w:rsid w:val="000B6AE1"/>
    <w:rsid w:val="000B6B69"/>
    <w:rsid w:val="000B6E68"/>
    <w:rsid w:val="000B6EAA"/>
    <w:rsid w:val="000B6FFF"/>
    <w:rsid w:val="000B705B"/>
    <w:rsid w:val="000B725C"/>
    <w:rsid w:val="000B763F"/>
    <w:rsid w:val="000B7647"/>
    <w:rsid w:val="000B77AE"/>
    <w:rsid w:val="000B7894"/>
    <w:rsid w:val="000B7AED"/>
    <w:rsid w:val="000B7C6B"/>
    <w:rsid w:val="000C0142"/>
    <w:rsid w:val="000C0464"/>
    <w:rsid w:val="000C0809"/>
    <w:rsid w:val="000C0A65"/>
    <w:rsid w:val="000C0ACD"/>
    <w:rsid w:val="000C0BDC"/>
    <w:rsid w:val="000C0CC3"/>
    <w:rsid w:val="000C0D11"/>
    <w:rsid w:val="000C0E16"/>
    <w:rsid w:val="000C0E9E"/>
    <w:rsid w:val="000C1035"/>
    <w:rsid w:val="000C11CC"/>
    <w:rsid w:val="000C1328"/>
    <w:rsid w:val="000C181D"/>
    <w:rsid w:val="000C198B"/>
    <w:rsid w:val="000C2016"/>
    <w:rsid w:val="000C240F"/>
    <w:rsid w:val="000C249D"/>
    <w:rsid w:val="000C2702"/>
    <w:rsid w:val="000C27F1"/>
    <w:rsid w:val="000C2F69"/>
    <w:rsid w:val="000C30A5"/>
    <w:rsid w:val="000C31B2"/>
    <w:rsid w:val="000C3542"/>
    <w:rsid w:val="000C397F"/>
    <w:rsid w:val="000C40DC"/>
    <w:rsid w:val="000C4861"/>
    <w:rsid w:val="000C4A20"/>
    <w:rsid w:val="000C4B2A"/>
    <w:rsid w:val="000C4DFD"/>
    <w:rsid w:val="000C4E3D"/>
    <w:rsid w:val="000C513E"/>
    <w:rsid w:val="000C5276"/>
    <w:rsid w:val="000C5552"/>
    <w:rsid w:val="000C597C"/>
    <w:rsid w:val="000C5CB8"/>
    <w:rsid w:val="000C5EE4"/>
    <w:rsid w:val="000C61A5"/>
    <w:rsid w:val="000C61E5"/>
    <w:rsid w:val="000C630E"/>
    <w:rsid w:val="000C6350"/>
    <w:rsid w:val="000C6654"/>
    <w:rsid w:val="000C668E"/>
    <w:rsid w:val="000C67B8"/>
    <w:rsid w:val="000C683B"/>
    <w:rsid w:val="000C696F"/>
    <w:rsid w:val="000C69B5"/>
    <w:rsid w:val="000C6A40"/>
    <w:rsid w:val="000C6F66"/>
    <w:rsid w:val="000C727D"/>
    <w:rsid w:val="000C72D3"/>
    <w:rsid w:val="000C74FC"/>
    <w:rsid w:val="000C7612"/>
    <w:rsid w:val="000C779F"/>
    <w:rsid w:val="000C7883"/>
    <w:rsid w:val="000C7938"/>
    <w:rsid w:val="000C793A"/>
    <w:rsid w:val="000C7B1E"/>
    <w:rsid w:val="000D0023"/>
    <w:rsid w:val="000D0208"/>
    <w:rsid w:val="000D0A81"/>
    <w:rsid w:val="000D0D68"/>
    <w:rsid w:val="000D117F"/>
    <w:rsid w:val="000D169F"/>
    <w:rsid w:val="000D16AA"/>
    <w:rsid w:val="000D1A9E"/>
    <w:rsid w:val="000D1AB4"/>
    <w:rsid w:val="000D1EDD"/>
    <w:rsid w:val="000D21B1"/>
    <w:rsid w:val="000D241F"/>
    <w:rsid w:val="000D24D3"/>
    <w:rsid w:val="000D2533"/>
    <w:rsid w:val="000D2A92"/>
    <w:rsid w:val="000D32C9"/>
    <w:rsid w:val="000D39EF"/>
    <w:rsid w:val="000D3EFA"/>
    <w:rsid w:val="000D4051"/>
    <w:rsid w:val="000D4793"/>
    <w:rsid w:val="000D4BC4"/>
    <w:rsid w:val="000D4F46"/>
    <w:rsid w:val="000D4FB4"/>
    <w:rsid w:val="000D504A"/>
    <w:rsid w:val="000D5375"/>
    <w:rsid w:val="000D5418"/>
    <w:rsid w:val="000D5426"/>
    <w:rsid w:val="000D5744"/>
    <w:rsid w:val="000D5927"/>
    <w:rsid w:val="000D5A63"/>
    <w:rsid w:val="000D5B69"/>
    <w:rsid w:val="000D601B"/>
    <w:rsid w:val="000D6325"/>
    <w:rsid w:val="000D6437"/>
    <w:rsid w:val="000D6699"/>
    <w:rsid w:val="000D685E"/>
    <w:rsid w:val="000D6959"/>
    <w:rsid w:val="000D6CAA"/>
    <w:rsid w:val="000D6FEC"/>
    <w:rsid w:val="000D72D3"/>
    <w:rsid w:val="000D76F8"/>
    <w:rsid w:val="000D77E4"/>
    <w:rsid w:val="000D7A9C"/>
    <w:rsid w:val="000D7E97"/>
    <w:rsid w:val="000E0135"/>
    <w:rsid w:val="000E02A5"/>
    <w:rsid w:val="000E07CD"/>
    <w:rsid w:val="000E0CF4"/>
    <w:rsid w:val="000E0E6C"/>
    <w:rsid w:val="000E1070"/>
    <w:rsid w:val="000E122D"/>
    <w:rsid w:val="000E1238"/>
    <w:rsid w:val="000E14FC"/>
    <w:rsid w:val="000E1614"/>
    <w:rsid w:val="000E1B32"/>
    <w:rsid w:val="000E1C68"/>
    <w:rsid w:val="000E2169"/>
    <w:rsid w:val="000E218B"/>
    <w:rsid w:val="000E246D"/>
    <w:rsid w:val="000E27D5"/>
    <w:rsid w:val="000E283E"/>
    <w:rsid w:val="000E29A0"/>
    <w:rsid w:val="000E2B93"/>
    <w:rsid w:val="000E2C8F"/>
    <w:rsid w:val="000E2E82"/>
    <w:rsid w:val="000E3104"/>
    <w:rsid w:val="000E31EC"/>
    <w:rsid w:val="000E32DC"/>
    <w:rsid w:val="000E3706"/>
    <w:rsid w:val="000E3805"/>
    <w:rsid w:val="000E39AB"/>
    <w:rsid w:val="000E3A1B"/>
    <w:rsid w:val="000E3D7F"/>
    <w:rsid w:val="000E3F11"/>
    <w:rsid w:val="000E4031"/>
    <w:rsid w:val="000E4790"/>
    <w:rsid w:val="000E4B93"/>
    <w:rsid w:val="000E4F62"/>
    <w:rsid w:val="000E55C3"/>
    <w:rsid w:val="000E5679"/>
    <w:rsid w:val="000E58A5"/>
    <w:rsid w:val="000E5B5E"/>
    <w:rsid w:val="000E5B96"/>
    <w:rsid w:val="000E5C6D"/>
    <w:rsid w:val="000E5EC0"/>
    <w:rsid w:val="000E5F4B"/>
    <w:rsid w:val="000E664A"/>
    <w:rsid w:val="000E6B1D"/>
    <w:rsid w:val="000E6B59"/>
    <w:rsid w:val="000E6CCE"/>
    <w:rsid w:val="000E6EF5"/>
    <w:rsid w:val="000E6F98"/>
    <w:rsid w:val="000E7019"/>
    <w:rsid w:val="000E7206"/>
    <w:rsid w:val="000E734E"/>
    <w:rsid w:val="000E78F0"/>
    <w:rsid w:val="000F0208"/>
    <w:rsid w:val="000F0426"/>
    <w:rsid w:val="000F0700"/>
    <w:rsid w:val="000F07B8"/>
    <w:rsid w:val="000F08AD"/>
    <w:rsid w:val="000F0CC6"/>
    <w:rsid w:val="000F11BE"/>
    <w:rsid w:val="000F193F"/>
    <w:rsid w:val="000F19A6"/>
    <w:rsid w:val="000F1C8F"/>
    <w:rsid w:val="000F221D"/>
    <w:rsid w:val="000F22BE"/>
    <w:rsid w:val="000F2427"/>
    <w:rsid w:val="000F243A"/>
    <w:rsid w:val="000F24CC"/>
    <w:rsid w:val="000F2534"/>
    <w:rsid w:val="000F27B2"/>
    <w:rsid w:val="000F2823"/>
    <w:rsid w:val="000F2A46"/>
    <w:rsid w:val="000F2D59"/>
    <w:rsid w:val="000F313A"/>
    <w:rsid w:val="000F33EC"/>
    <w:rsid w:val="000F3490"/>
    <w:rsid w:val="000F350C"/>
    <w:rsid w:val="000F3556"/>
    <w:rsid w:val="000F3596"/>
    <w:rsid w:val="000F3652"/>
    <w:rsid w:val="000F3987"/>
    <w:rsid w:val="000F39C4"/>
    <w:rsid w:val="000F3E83"/>
    <w:rsid w:val="000F3FD1"/>
    <w:rsid w:val="000F4109"/>
    <w:rsid w:val="000F4A13"/>
    <w:rsid w:val="000F4A1A"/>
    <w:rsid w:val="000F4BE7"/>
    <w:rsid w:val="000F4BE8"/>
    <w:rsid w:val="000F5771"/>
    <w:rsid w:val="000F5E1C"/>
    <w:rsid w:val="000F6323"/>
    <w:rsid w:val="000F63E0"/>
    <w:rsid w:val="000F6580"/>
    <w:rsid w:val="000F6BED"/>
    <w:rsid w:val="000F6C6F"/>
    <w:rsid w:val="000F6D79"/>
    <w:rsid w:val="000F6D7D"/>
    <w:rsid w:val="000F6E16"/>
    <w:rsid w:val="000F7545"/>
    <w:rsid w:val="000F77EA"/>
    <w:rsid w:val="000F7B24"/>
    <w:rsid w:val="000F7C72"/>
    <w:rsid w:val="000F7D5B"/>
    <w:rsid w:val="000F7E5C"/>
    <w:rsid w:val="0010002A"/>
    <w:rsid w:val="00100063"/>
    <w:rsid w:val="00100299"/>
    <w:rsid w:val="00100463"/>
    <w:rsid w:val="00100626"/>
    <w:rsid w:val="0010086D"/>
    <w:rsid w:val="00100EEF"/>
    <w:rsid w:val="001012DA"/>
    <w:rsid w:val="001018A8"/>
    <w:rsid w:val="00101B7F"/>
    <w:rsid w:val="00101D81"/>
    <w:rsid w:val="00101E39"/>
    <w:rsid w:val="00101ED5"/>
    <w:rsid w:val="00102B15"/>
    <w:rsid w:val="00102B80"/>
    <w:rsid w:val="00103149"/>
    <w:rsid w:val="00103427"/>
    <w:rsid w:val="00103554"/>
    <w:rsid w:val="0010361F"/>
    <w:rsid w:val="00103A09"/>
    <w:rsid w:val="00103D8A"/>
    <w:rsid w:val="001042AD"/>
    <w:rsid w:val="001048DB"/>
    <w:rsid w:val="00104A1D"/>
    <w:rsid w:val="0010538B"/>
    <w:rsid w:val="0010540B"/>
    <w:rsid w:val="001054F7"/>
    <w:rsid w:val="001059A2"/>
    <w:rsid w:val="001059D6"/>
    <w:rsid w:val="00105B83"/>
    <w:rsid w:val="001069A7"/>
    <w:rsid w:val="00106C0A"/>
    <w:rsid w:val="00106D51"/>
    <w:rsid w:val="00106F7E"/>
    <w:rsid w:val="0010709D"/>
    <w:rsid w:val="001076B7"/>
    <w:rsid w:val="00107DC1"/>
    <w:rsid w:val="001106FC"/>
    <w:rsid w:val="001108FD"/>
    <w:rsid w:val="001109AC"/>
    <w:rsid w:val="00110A8D"/>
    <w:rsid w:val="00110F5D"/>
    <w:rsid w:val="0011115E"/>
    <w:rsid w:val="001111DA"/>
    <w:rsid w:val="0011137D"/>
    <w:rsid w:val="0011147A"/>
    <w:rsid w:val="00111667"/>
    <w:rsid w:val="00111904"/>
    <w:rsid w:val="00111951"/>
    <w:rsid w:val="00111C11"/>
    <w:rsid w:val="00111D4C"/>
    <w:rsid w:val="00111E6B"/>
    <w:rsid w:val="00111F29"/>
    <w:rsid w:val="00111FDE"/>
    <w:rsid w:val="00112146"/>
    <w:rsid w:val="001121B6"/>
    <w:rsid w:val="00112334"/>
    <w:rsid w:val="001123FE"/>
    <w:rsid w:val="00112A55"/>
    <w:rsid w:val="00112B6A"/>
    <w:rsid w:val="00112E69"/>
    <w:rsid w:val="00112EAC"/>
    <w:rsid w:val="00112F1A"/>
    <w:rsid w:val="00113190"/>
    <w:rsid w:val="001134D9"/>
    <w:rsid w:val="001136A7"/>
    <w:rsid w:val="00113933"/>
    <w:rsid w:val="00113A76"/>
    <w:rsid w:val="00113BD4"/>
    <w:rsid w:val="00113C27"/>
    <w:rsid w:val="00113E18"/>
    <w:rsid w:val="00113E77"/>
    <w:rsid w:val="001141EE"/>
    <w:rsid w:val="00114BDF"/>
    <w:rsid w:val="00114CE8"/>
    <w:rsid w:val="0011520E"/>
    <w:rsid w:val="00115380"/>
    <w:rsid w:val="0011587E"/>
    <w:rsid w:val="0011594F"/>
    <w:rsid w:val="00115B12"/>
    <w:rsid w:val="00115BAA"/>
    <w:rsid w:val="00115C74"/>
    <w:rsid w:val="00115D20"/>
    <w:rsid w:val="00115F68"/>
    <w:rsid w:val="0011632C"/>
    <w:rsid w:val="0011633F"/>
    <w:rsid w:val="00116401"/>
    <w:rsid w:val="001169F1"/>
    <w:rsid w:val="00116AB9"/>
    <w:rsid w:val="00116CF9"/>
    <w:rsid w:val="00116D48"/>
    <w:rsid w:val="00116F28"/>
    <w:rsid w:val="00116FEE"/>
    <w:rsid w:val="001172AF"/>
    <w:rsid w:val="00117754"/>
    <w:rsid w:val="00117A02"/>
    <w:rsid w:val="00117DB9"/>
    <w:rsid w:val="00117DDD"/>
    <w:rsid w:val="0012035D"/>
    <w:rsid w:val="0012081F"/>
    <w:rsid w:val="001213F4"/>
    <w:rsid w:val="001217E5"/>
    <w:rsid w:val="00121878"/>
    <w:rsid w:val="00121CB9"/>
    <w:rsid w:val="0012216D"/>
    <w:rsid w:val="001221C9"/>
    <w:rsid w:val="001221E3"/>
    <w:rsid w:val="0012271C"/>
    <w:rsid w:val="001227E3"/>
    <w:rsid w:val="00122A67"/>
    <w:rsid w:val="00122C04"/>
    <w:rsid w:val="00122C75"/>
    <w:rsid w:val="00122CE7"/>
    <w:rsid w:val="00122E09"/>
    <w:rsid w:val="00122F30"/>
    <w:rsid w:val="001233E4"/>
    <w:rsid w:val="0012344A"/>
    <w:rsid w:val="00123737"/>
    <w:rsid w:val="001237D5"/>
    <w:rsid w:val="00123897"/>
    <w:rsid w:val="00123D6A"/>
    <w:rsid w:val="00123E81"/>
    <w:rsid w:val="00123EB9"/>
    <w:rsid w:val="00123F7F"/>
    <w:rsid w:val="00124191"/>
    <w:rsid w:val="00124ABC"/>
    <w:rsid w:val="00125034"/>
    <w:rsid w:val="0012508B"/>
    <w:rsid w:val="001251CF"/>
    <w:rsid w:val="0012523C"/>
    <w:rsid w:val="001253FF"/>
    <w:rsid w:val="00125630"/>
    <w:rsid w:val="00125673"/>
    <w:rsid w:val="001259F7"/>
    <w:rsid w:val="00125D6A"/>
    <w:rsid w:val="00125FD0"/>
    <w:rsid w:val="0012606E"/>
    <w:rsid w:val="001261FC"/>
    <w:rsid w:val="0012625F"/>
    <w:rsid w:val="00126361"/>
    <w:rsid w:val="0012641C"/>
    <w:rsid w:val="001265C7"/>
    <w:rsid w:val="00126675"/>
    <w:rsid w:val="00126D74"/>
    <w:rsid w:val="00126FD0"/>
    <w:rsid w:val="0012701F"/>
    <w:rsid w:val="0012714E"/>
    <w:rsid w:val="00127768"/>
    <w:rsid w:val="001279AE"/>
    <w:rsid w:val="001279F6"/>
    <w:rsid w:val="00127DA8"/>
    <w:rsid w:val="00127E8F"/>
    <w:rsid w:val="00130E97"/>
    <w:rsid w:val="0013102F"/>
    <w:rsid w:val="00131043"/>
    <w:rsid w:val="001317F0"/>
    <w:rsid w:val="00131C43"/>
    <w:rsid w:val="0013209E"/>
    <w:rsid w:val="00132211"/>
    <w:rsid w:val="001323D6"/>
    <w:rsid w:val="00132402"/>
    <w:rsid w:val="001325B9"/>
    <w:rsid w:val="001325CA"/>
    <w:rsid w:val="00132677"/>
    <w:rsid w:val="001326A9"/>
    <w:rsid w:val="00132A5B"/>
    <w:rsid w:val="00132B85"/>
    <w:rsid w:val="00132C7E"/>
    <w:rsid w:val="00132FB5"/>
    <w:rsid w:val="0013304F"/>
    <w:rsid w:val="00133062"/>
    <w:rsid w:val="00133670"/>
    <w:rsid w:val="00133908"/>
    <w:rsid w:val="001339DF"/>
    <w:rsid w:val="00133A6F"/>
    <w:rsid w:val="00133B1C"/>
    <w:rsid w:val="00133D7C"/>
    <w:rsid w:val="00134040"/>
    <w:rsid w:val="00134049"/>
    <w:rsid w:val="0013443A"/>
    <w:rsid w:val="00134493"/>
    <w:rsid w:val="001344D5"/>
    <w:rsid w:val="00134796"/>
    <w:rsid w:val="00134DEF"/>
    <w:rsid w:val="00134F05"/>
    <w:rsid w:val="00135050"/>
    <w:rsid w:val="001354CF"/>
    <w:rsid w:val="0013595F"/>
    <w:rsid w:val="00135E71"/>
    <w:rsid w:val="00135E74"/>
    <w:rsid w:val="00135E8C"/>
    <w:rsid w:val="00135FFC"/>
    <w:rsid w:val="00136399"/>
    <w:rsid w:val="001364F6"/>
    <w:rsid w:val="001368C3"/>
    <w:rsid w:val="00136AF5"/>
    <w:rsid w:val="00136E76"/>
    <w:rsid w:val="00136EED"/>
    <w:rsid w:val="00136F0F"/>
    <w:rsid w:val="00137614"/>
    <w:rsid w:val="001402BE"/>
    <w:rsid w:val="0014034E"/>
    <w:rsid w:val="001405A2"/>
    <w:rsid w:val="00140635"/>
    <w:rsid w:val="0014079E"/>
    <w:rsid w:val="001407F0"/>
    <w:rsid w:val="001408CF"/>
    <w:rsid w:val="00140A20"/>
    <w:rsid w:val="00140C54"/>
    <w:rsid w:val="00140E31"/>
    <w:rsid w:val="00140E98"/>
    <w:rsid w:val="00141403"/>
    <w:rsid w:val="00141819"/>
    <w:rsid w:val="00141B7F"/>
    <w:rsid w:val="00141B8C"/>
    <w:rsid w:val="00141BDD"/>
    <w:rsid w:val="00141C24"/>
    <w:rsid w:val="00141C9E"/>
    <w:rsid w:val="00141E12"/>
    <w:rsid w:val="00141ECE"/>
    <w:rsid w:val="00141EFB"/>
    <w:rsid w:val="0014229A"/>
    <w:rsid w:val="0014255F"/>
    <w:rsid w:val="00142666"/>
    <w:rsid w:val="0014266D"/>
    <w:rsid w:val="00142799"/>
    <w:rsid w:val="00142A4C"/>
    <w:rsid w:val="00142A50"/>
    <w:rsid w:val="00142E92"/>
    <w:rsid w:val="00142F50"/>
    <w:rsid w:val="00143179"/>
    <w:rsid w:val="001432CF"/>
    <w:rsid w:val="00143523"/>
    <w:rsid w:val="00143685"/>
    <w:rsid w:val="00143708"/>
    <w:rsid w:val="00143749"/>
    <w:rsid w:val="001439BF"/>
    <w:rsid w:val="001439E0"/>
    <w:rsid w:val="00143A72"/>
    <w:rsid w:val="00143AAB"/>
    <w:rsid w:val="00143B75"/>
    <w:rsid w:val="00143BBC"/>
    <w:rsid w:val="00143C64"/>
    <w:rsid w:val="00143EBF"/>
    <w:rsid w:val="00143F3E"/>
    <w:rsid w:val="001448B7"/>
    <w:rsid w:val="00144BE5"/>
    <w:rsid w:val="00144C83"/>
    <w:rsid w:val="00144D00"/>
    <w:rsid w:val="00145254"/>
    <w:rsid w:val="00145350"/>
    <w:rsid w:val="0014559B"/>
    <w:rsid w:val="0014570E"/>
    <w:rsid w:val="00145783"/>
    <w:rsid w:val="00145945"/>
    <w:rsid w:val="00146100"/>
    <w:rsid w:val="0014631E"/>
    <w:rsid w:val="001467C0"/>
    <w:rsid w:val="001468C6"/>
    <w:rsid w:val="0014699C"/>
    <w:rsid w:val="00146C47"/>
    <w:rsid w:val="00146C48"/>
    <w:rsid w:val="00146C95"/>
    <w:rsid w:val="0014703E"/>
    <w:rsid w:val="0014756B"/>
    <w:rsid w:val="001476C6"/>
    <w:rsid w:val="00147872"/>
    <w:rsid w:val="00147FE9"/>
    <w:rsid w:val="0015007C"/>
    <w:rsid w:val="001505C2"/>
    <w:rsid w:val="0015091B"/>
    <w:rsid w:val="0015096B"/>
    <w:rsid w:val="00150C31"/>
    <w:rsid w:val="0015150F"/>
    <w:rsid w:val="0015156D"/>
    <w:rsid w:val="001515D3"/>
    <w:rsid w:val="00151603"/>
    <w:rsid w:val="00151978"/>
    <w:rsid w:val="001519D0"/>
    <w:rsid w:val="00151B65"/>
    <w:rsid w:val="00151F75"/>
    <w:rsid w:val="0015247C"/>
    <w:rsid w:val="00152635"/>
    <w:rsid w:val="001527BE"/>
    <w:rsid w:val="00152B4C"/>
    <w:rsid w:val="00152C9C"/>
    <w:rsid w:val="00152D19"/>
    <w:rsid w:val="00153155"/>
    <w:rsid w:val="001533FD"/>
    <w:rsid w:val="001535F8"/>
    <w:rsid w:val="0015395D"/>
    <w:rsid w:val="00153A3C"/>
    <w:rsid w:val="00153E0E"/>
    <w:rsid w:val="00153F16"/>
    <w:rsid w:val="00154068"/>
    <w:rsid w:val="0015443E"/>
    <w:rsid w:val="00154735"/>
    <w:rsid w:val="00154A3F"/>
    <w:rsid w:val="0015510F"/>
    <w:rsid w:val="00155322"/>
    <w:rsid w:val="001558D6"/>
    <w:rsid w:val="0015595E"/>
    <w:rsid w:val="00155C4B"/>
    <w:rsid w:val="00155F12"/>
    <w:rsid w:val="00155F36"/>
    <w:rsid w:val="00156396"/>
    <w:rsid w:val="001563C1"/>
    <w:rsid w:val="001566B1"/>
    <w:rsid w:val="001568CE"/>
    <w:rsid w:val="00156A35"/>
    <w:rsid w:val="00156C1D"/>
    <w:rsid w:val="00156E62"/>
    <w:rsid w:val="00156E71"/>
    <w:rsid w:val="00157073"/>
    <w:rsid w:val="001570CE"/>
    <w:rsid w:val="0015715E"/>
    <w:rsid w:val="00157220"/>
    <w:rsid w:val="00157506"/>
    <w:rsid w:val="0015760D"/>
    <w:rsid w:val="00157649"/>
    <w:rsid w:val="0015789D"/>
    <w:rsid w:val="001579CA"/>
    <w:rsid w:val="00157D2A"/>
    <w:rsid w:val="0016061A"/>
    <w:rsid w:val="001606CB"/>
    <w:rsid w:val="001608EA"/>
    <w:rsid w:val="00160933"/>
    <w:rsid w:val="001609A4"/>
    <w:rsid w:val="001609BC"/>
    <w:rsid w:val="00161140"/>
    <w:rsid w:val="0016114A"/>
    <w:rsid w:val="001611E5"/>
    <w:rsid w:val="001613EF"/>
    <w:rsid w:val="001615F5"/>
    <w:rsid w:val="0016186A"/>
    <w:rsid w:val="00161B3B"/>
    <w:rsid w:val="00161CDB"/>
    <w:rsid w:val="00161E50"/>
    <w:rsid w:val="00161F1B"/>
    <w:rsid w:val="001621AB"/>
    <w:rsid w:val="001621E4"/>
    <w:rsid w:val="00162298"/>
    <w:rsid w:val="001624B5"/>
    <w:rsid w:val="00162612"/>
    <w:rsid w:val="001629A3"/>
    <w:rsid w:val="00162ACC"/>
    <w:rsid w:val="00162C39"/>
    <w:rsid w:val="00162FD1"/>
    <w:rsid w:val="00163282"/>
    <w:rsid w:val="00163287"/>
    <w:rsid w:val="00163598"/>
    <w:rsid w:val="001635A3"/>
    <w:rsid w:val="00163622"/>
    <w:rsid w:val="00163640"/>
    <w:rsid w:val="00163762"/>
    <w:rsid w:val="0016388C"/>
    <w:rsid w:val="0016393F"/>
    <w:rsid w:val="00163A74"/>
    <w:rsid w:val="00163DAE"/>
    <w:rsid w:val="00163DCC"/>
    <w:rsid w:val="00163E6C"/>
    <w:rsid w:val="0016449F"/>
    <w:rsid w:val="00164562"/>
    <w:rsid w:val="00164673"/>
    <w:rsid w:val="0016467B"/>
    <w:rsid w:val="001649DB"/>
    <w:rsid w:val="00164AF9"/>
    <w:rsid w:val="0016520D"/>
    <w:rsid w:val="001654A2"/>
    <w:rsid w:val="00165572"/>
    <w:rsid w:val="001655D7"/>
    <w:rsid w:val="00165681"/>
    <w:rsid w:val="0016569B"/>
    <w:rsid w:val="00165719"/>
    <w:rsid w:val="001659D0"/>
    <w:rsid w:val="00165A49"/>
    <w:rsid w:val="00165A8D"/>
    <w:rsid w:val="00165B9D"/>
    <w:rsid w:val="00165F5D"/>
    <w:rsid w:val="00165FFB"/>
    <w:rsid w:val="001665E7"/>
    <w:rsid w:val="001667A9"/>
    <w:rsid w:val="00166889"/>
    <w:rsid w:val="00166989"/>
    <w:rsid w:val="00166C1E"/>
    <w:rsid w:val="00166FE4"/>
    <w:rsid w:val="001671C7"/>
    <w:rsid w:val="0016731F"/>
    <w:rsid w:val="00167424"/>
    <w:rsid w:val="001674E8"/>
    <w:rsid w:val="0016766A"/>
    <w:rsid w:val="001676BB"/>
    <w:rsid w:val="001677B6"/>
    <w:rsid w:val="00167F33"/>
    <w:rsid w:val="00167FC6"/>
    <w:rsid w:val="0017031F"/>
    <w:rsid w:val="00170409"/>
    <w:rsid w:val="001705D8"/>
    <w:rsid w:val="00170625"/>
    <w:rsid w:val="0017065B"/>
    <w:rsid w:val="001709D4"/>
    <w:rsid w:val="00170A3B"/>
    <w:rsid w:val="00170D36"/>
    <w:rsid w:val="00170D73"/>
    <w:rsid w:val="001717C8"/>
    <w:rsid w:val="00171AB5"/>
    <w:rsid w:val="00171B01"/>
    <w:rsid w:val="00171E23"/>
    <w:rsid w:val="00172512"/>
    <w:rsid w:val="00172697"/>
    <w:rsid w:val="00172D9D"/>
    <w:rsid w:val="00172E8B"/>
    <w:rsid w:val="001731DF"/>
    <w:rsid w:val="001732A4"/>
    <w:rsid w:val="00173372"/>
    <w:rsid w:val="00173577"/>
    <w:rsid w:val="0017359C"/>
    <w:rsid w:val="001735B2"/>
    <w:rsid w:val="00173E55"/>
    <w:rsid w:val="00173E69"/>
    <w:rsid w:val="00173F4E"/>
    <w:rsid w:val="00173F82"/>
    <w:rsid w:val="00174058"/>
    <w:rsid w:val="001743EC"/>
    <w:rsid w:val="00174424"/>
    <w:rsid w:val="001749A1"/>
    <w:rsid w:val="00175004"/>
    <w:rsid w:val="00175024"/>
    <w:rsid w:val="0017505F"/>
    <w:rsid w:val="0017530C"/>
    <w:rsid w:val="0017538D"/>
    <w:rsid w:val="001754A4"/>
    <w:rsid w:val="0017564E"/>
    <w:rsid w:val="00175B6D"/>
    <w:rsid w:val="00176143"/>
    <w:rsid w:val="001762A1"/>
    <w:rsid w:val="001765E2"/>
    <w:rsid w:val="00176658"/>
    <w:rsid w:val="0017688F"/>
    <w:rsid w:val="00176AA5"/>
    <w:rsid w:val="00176BB1"/>
    <w:rsid w:val="00176D35"/>
    <w:rsid w:val="00176D7F"/>
    <w:rsid w:val="001770A7"/>
    <w:rsid w:val="001770E4"/>
    <w:rsid w:val="00177164"/>
    <w:rsid w:val="0017720E"/>
    <w:rsid w:val="001772CC"/>
    <w:rsid w:val="00177893"/>
    <w:rsid w:val="00177D3C"/>
    <w:rsid w:val="00177F44"/>
    <w:rsid w:val="001801F0"/>
    <w:rsid w:val="00180217"/>
    <w:rsid w:val="00180F0A"/>
    <w:rsid w:val="00180FB9"/>
    <w:rsid w:val="00181052"/>
    <w:rsid w:val="00181093"/>
    <w:rsid w:val="001811EF"/>
    <w:rsid w:val="001813DD"/>
    <w:rsid w:val="001813EF"/>
    <w:rsid w:val="0018141A"/>
    <w:rsid w:val="0018181B"/>
    <w:rsid w:val="00181B11"/>
    <w:rsid w:val="00181BD5"/>
    <w:rsid w:val="00181E16"/>
    <w:rsid w:val="00181F0D"/>
    <w:rsid w:val="00182701"/>
    <w:rsid w:val="001829A4"/>
    <w:rsid w:val="00182CA2"/>
    <w:rsid w:val="00182F0D"/>
    <w:rsid w:val="0018322C"/>
    <w:rsid w:val="001832D6"/>
    <w:rsid w:val="0018333E"/>
    <w:rsid w:val="001834C1"/>
    <w:rsid w:val="00183660"/>
    <w:rsid w:val="0018373E"/>
    <w:rsid w:val="001837C8"/>
    <w:rsid w:val="00183997"/>
    <w:rsid w:val="001839C0"/>
    <w:rsid w:val="00183A87"/>
    <w:rsid w:val="00184221"/>
    <w:rsid w:val="0018443E"/>
    <w:rsid w:val="0018459E"/>
    <w:rsid w:val="001848D5"/>
    <w:rsid w:val="00184E8C"/>
    <w:rsid w:val="001851EF"/>
    <w:rsid w:val="0018539F"/>
    <w:rsid w:val="001856D7"/>
    <w:rsid w:val="001857D7"/>
    <w:rsid w:val="0018594D"/>
    <w:rsid w:val="00185A01"/>
    <w:rsid w:val="00185C35"/>
    <w:rsid w:val="00185DF4"/>
    <w:rsid w:val="00185EAF"/>
    <w:rsid w:val="0018613E"/>
    <w:rsid w:val="0018629B"/>
    <w:rsid w:val="001862C4"/>
    <w:rsid w:val="00186307"/>
    <w:rsid w:val="001863A0"/>
    <w:rsid w:val="001863C0"/>
    <w:rsid w:val="001863F7"/>
    <w:rsid w:val="001865EC"/>
    <w:rsid w:val="001866C3"/>
    <w:rsid w:val="00186926"/>
    <w:rsid w:val="0018697B"/>
    <w:rsid w:val="00186A7A"/>
    <w:rsid w:val="00186B4D"/>
    <w:rsid w:val="00186D67"/>
    <w:rsid w:val="00186EBC"/>
    <w:rsid w:val="00186F3F"/>
    <w:rsid w:val="00186FA2"/>
    <w:rsid w:val="00187010"/>
    <w:rsid w:val="0018702C"/>
    <w:rsid w:val="00187063"/>
    <w:rsid w:val="001875CB"/>
    <w:rsid w:val="001877BC"/>
    <w:rsid w:val="0018785E"/>
    <w:rsid w:val="00187861"/>
    <w:rsid w:val="0019010E"/>
    <w:rsid w:val="0019061F"/>
    <w:rsid w:val="00190927"/>
    <w:rsid w:val="00190996"/>
    <w:rsid w:val="00190A91"/>
    <w:rsid w:val="00190FA9"/>
    <w:rsid w:val="001911BE"/>
    <w:rsid w:val="00191391"/>
    <w:rsid w:val="001916C0"/>
    <w:rsid w:val="001918CF"/>
    <w:rsid w:val="00191967"/>
    <w:rsid w:val="00191B1A"/>
    <w:rsid w:val="00191B1E"/>
    <w:rsid w:val="00191F43"/>
    <w:rsid w:val="00191FE1"/>
    <w:rsid w:val="001920D1"/>
    <w:rsid w:val="00192185"/>
    <w:rsid w:val="00192308"/>
    <w:rsid w:val="001925B6"/>
    <w:rsid w:val="00192704"/>
    <w:rsid w:val="00192D26"/>
    <w:rsid w:val="00192E69"/>
    <w:rsid w:val="00192FA5"/>
    <w:rsid w:val="0019329B"/>
    <w:rsid w:val="00193480"/>
    <w:rsid w:val="001935C3"/>
    <w:rsid w:val="00193616"/>
    <w:rsid w:val="00193762"/>
    <w:rsid w:val="0019377C"/>
    <w:rsid w:val="001938E6"/>
    <w:rsid w:val="00193BA5"/>
    <w:rsid w:val="00193DC3"/>
    <w:rsid w:val="00193E17"/>
    <w:rsid w:val="001941A2"/>
    <w:rsid w:val="0019466A"/>
    <w:rsid w:val="00194748"/>
    <w:rsid w:val="001947DA"/>
    <w:rsid w:val="00194BA8"/>
    <w:rsid w:val="00195241"/>
    <w:rsid w:val="00195283"/>
    <w:rsid w:val="001952BB"/>
    <w:rsid w:val="00195DA4"/>
    <w:rsid w:val="0019608B"/>
    <w:rsid w:val="001962F6"/>
    <w:rsid w:val="0019689C"/>
    <w:rsid w:val="00196A22"/>
    <w:rsid w:val="00196B8A"/>
    <w:rsid w:val="00196BC2"/>
    <w:rsid w:val="001971FF"/>
    <w:rsid w:val="0019742C"/>
    <w:rsid w:val="001977DE"/>
    <w:rsid w:val="00197A11"/>
    <w:rsid w:val="00197A16"/>
    <w:rsid w:val="00197CB9"/>
    <w:rsid w:val="00197D31"/>
    <w:rsid w:val="001A003F"/>
    <w:rsid w:val="001A0142"/>
    <w:rsid w:val="001A05DD"/>
    <w:rsid w:val="001A06A2"/>
    <w:rsid w:val="001A0935"/>
    <w:rsid w:val="001A0B38"/>
    <w:rsid w:val="001A0C3F"/>
    <w:rsid w:val="001A0E59"/>
    <w:rsid w:val="001A0E7D"/>
    <w:rsid w:val="001A0ED4"/>
    <w:rsid w:val="001A1355"/>
    <w:rsid w:val="001A1938"/>
    <w:rsid w:val="001A1B38"/>
    <w:rsid w:val="001A1C28"/>
    <w:rsid w:val="001A1EFA"/>
    <w:rsid w:val="001A1F1C"/>
    <w:rsid w:val="001A20DC"/>
    <w:rsid w:val="001A21EC"/>
    <w:rsid w:val="001A2651"/>
    <w:rsid w:val="001A2D52"/>
    <w:rsid w:val="001A31DB"/>
    <w:rsid w:val="001A327F"/>
    <w:rsid w:val="001A331B"/>
    <w:rsid w:val="001A3375"/>
    <w:rsid w:val="001A3AC7"/>
    <w:rsid w:val="001A3CED"/>
    <w:rsid w:val="001A3DC9"/>
    <w:rsid w:val="001A3EF7"/>
    <w:rsid w:val="001A3F84"/>
    <w:rsid w:val="001A4071"/>
    <w:rsid w:val="001A424C"/>
    <w:rsid w:val="001A448B"/>
    <w:rsid w:val="001A46A5"/>
    <w:rsid w:val="001A48E3"/>
    <w:rsid w:val="001A49FB"/>
    <w:rsid w:val="001A4BA0"/>
    <w:rsid w:val="001A4D71"/>
    <w:rsid w:val="001A527A"/>
    <w:rsid w:val="001A52A1"/>
    <w:rsid w:val="001A5302"/>
    <w:rsid w:val="001A549D"/>
    <w:rsid w:val="001A5670"/>
    <w:rsid w:val="001A5777"/>
    <w:rsid w:val="001A57A8"/>
    <w:rsid w:val="001A5ADB"/>
    <w:rsid w:val="001A5B41"/>
    <w:rsid w:val="001A5BCF"/>
    <w:rsid w:val="001A5CC4"/>
    <w:rsid w:val="001A5F11"/>
    <w:rsid w:val="001A5F54"/>
    <w:rsid w:val="001A64E7"/>
    <w:rsid w:val="001A6649"/>
    <w:rsid w:val="001A6A12"/>
    <w:rsid w:val="001A6ADD"/>
    <w:rsid w:val="001A6B3E"/>
    <w:rsid w:val="001A6D23"/>
    <w:rsid w:val="001A6F82"/>
    <w:rsid w:val="001A707A"/>
    <w:rsid w:val="001B00CE"/>
    <w:rsid w:val="001B02B9"/>
    <w:rsid w:val="001B0BC0"/>
    <w:rsid w:val="001B0BD4"/>
    <w:rsid w:val="001B0D0F"/>
    <w:rsid w:val="001B0F2D"/>
    <w:rsid w:val="001B113E"/>
    <w:rsid w:val="001B114D"/>
    <w:rsid w:val="001B1263"/>
    <w:rsid w:val="001B12A9"/>
    <w:rsid w:val="001B1468"/>
    <w:rsid w:val="001B174B"/>
    <w:rsid w:val="001B1A56"/>
    <w:rsid w:val="001B1A72"/>
    <w:rsid w:val="001B1BB3"/>
    <w:rsid w:val="001B1C10"/>
    <w:rsid w:val="001B22E6"/>
    <w:rsid w:val="001B2429"/>
    <w:rsid w:val="001B262C"/>
    <w:rsid w:val="001B2994"/>
    <w:rsid w:val="001B29FE"/>
    <w:rsid w:val="001B2C56"/>
    <w:rsid w:val="001B2F43"/>
    <w:rsid w:val="001B3256"/>
    <w:rsid w:val="001B3704"/>
    <w:rsid w:val="001B39BF"/>
    <w:rsid w:val="001B3AB6"/>
    <w:rsid w:val="001B3B68"/>
    <w:rsid w:val="001B3BB0"/>
    <w:rsid w:val="001B40F5"/>
    <w:rsid w:val="001B4510"/>
    <w:rsid w:val="001B456D"/>
    <w:rsid w:val="001B4745"/>
    <w:rsid w:val="001B4D60"/>
    <w:rsid w:val="001B4DB8"/>
    <w:rsid w:val="001B50A0"/>
    <w:rsid w:val="001B5387"/>
    <w:rsid w:val="001B54DD"/>
    <w:rsid w:val="001B5B6B"/>
    <w:rsid w:val="001B5D05"/>
    <w:rsid w:val="001B5F17"/>
    <w:rsid w:val="001B5FD2"/>
    <w:rsid w:val="001B6389"/>
    <w:rsid w:val="001B65A7"/>
    <w:rsid w:val="001B66D6"/>
    <w:rsid w:val="001B6959"/>
    <w:rsid w:val="001B69DA"/>
    <w:rsid w:val="001B6D7F"/>
    <w:rsid w:val="001B70E4"/>
    <w:rsid w:val="001B7320"/>
    <w:rsid w:val="001B73B1"/>
    <w:rsid w:val="001B76C0"/>
    <w:rsid w:val="001B7B76"/>
    <w:rsid w:val="001B7C4A"/>
    <w:rsid w:val="001B7DD2"/>
    <w:rsid w:val="001B7E75"/>
    <w:rsid w:val="001C04CC"/>
    <w:rsid w:val="001C051E"/>
    <w:rsid w:val="001C0597"/>
    <w:rsid w:val="001C06AA"/>
    <w:rsid w:val="001C09DD"/>
    <w:rsid w:val="001C0B4B"/>
    <w:rsid w:val="001C0FA0"/>
    <w:rsid w:val="001C19F5"/>
    <w:rsid w:val="001C1FEC"/>
    <w:rsid w:val="001C21C8"/>
    <w:rsid w:val="001C221F"/>
    <w:rsid w:val="001C225B"/>
    <w:rsid w:val="001C26E0"/>
    <w:rsid w:val="001C30A7"/>
    <w:rsid w:val="001C37C2"/>
    <w:rsid w:val="001C3939"/>
    <w:rsid w:val="001C3ACF"/>
    <w:rsid w:val="001C3AD4"/>
    <w:rsid w:val="001C3C8F"/>
    <w:rsid w:val="001C40A1"/>
    <w:rsid w:val="001C41CB"/>
    <w:rsid w:val="001C4534"/>
    <w:rsid w:val="001C46E4"/>
    <w:rsid w:val="001C4C19"/>
    <w:rsid w:val="001C513A"/>
    <w:rsid w:val="001C51D0"/>
    <w:rsid w:val="001C53F9"/>
    <w:rsid w:val="001C54B5"/>
    <w:rsid w:val="001C55F2"/>
    <w:rsid w:val="001C5E39"/>
    <w:rsid w:val="001C6115"/>
    <w:rsid w:val="001C61C7"/>
    <w:rsid w:val="001C62E0"/>
    <w:rsid w:val="001C6509"/>
    <w:rsid w:val="001C69D7"/>
    <w:rsid w:val="001C6BC8"/>
    <w:rsid w:val="001C6E55"/>
    <w:rsid w:val="001C6ED7"/>
    <w:rsid w:val="001C7497"/>
    <w:rsid w:val="001C74B9"/>
    <w:rsid w:val="001C7752"/>
    <w:rsid w:val="001C790E"/>
    <w:rsid w:val="001C796E"/>
    <w:rsid w:val="001C7D17"/>
    <w:rsid w:val="001C7D1B"/>
    <w:rsid w:val="001D0410"/>
    <w:rsid w:val="001D0991"/>
    <w:rsid w:val="001D0E8D"/>
    <w:rsid w:val="001D0EA8"/>
    <w:rsid w:val="001D1340"/>
    <w:rsid w:val="001D1506"/>
    <w:rsid w:val="001D18F3"/>
    <w:rsid w:val="001D1D22"/>
    <w:rsid w:val="001D1DE0"/>
    <w:rsid w:val="001D1E3C"/>
    <w:rsid w:val="001D259F"/>
    <w:rsid w:val="001D2A02"/>
    <w:rsid w:val="001D2A96"/>
    <w:rsid w:val="001D2AB4"/>
    <w:rsid w:val="001D2B9D"/>
    <w:rsid w:val="001D2FB4"/>
    <w:rsid w:val="001D30F2"/>
    <w:rsid w:val="001D388F"/>
    <w:rsid w:val="001D3EC6"/>
    <w:rsid w:val="001D4507"/>
    <w:rsid w:val="001D457C"/>
    <w:rsid w:val="001D484F"/>
    <w:rsid w:val="001D4E4B"/>
    <w:rsid w:val="001D4F9D"/>
    <w:rsid w:val="001D512B"/>
    <w:rsid w:val="001D5194"/>
    <w:rsid w:val="001D5219"/>
    <w:rsid w:val="001D53C1"/>
    <w:rsid w:val="001D5692"/>
    <w:rsid w:val="001D5874"/>
    <w:rsid w:val="001D5954"/>
    <w:rsid w:val="001D59B3"/>
    <w:rsid w:val="001D5D47"/>
    <w:rsid w:val="001D5DE3"/>
    <w:rsid w:val="001D600F"/>
    <w:rsid w:val="001D6103"/>
    <w:rsid w:val="001D64B6"/>
    <w:rsid w:val="001D67A7"/>
    <w:rsid w:val="001D6815"/>
    <w:rsid w:val="001D6916"/>
    <w:rsid w:val="001D6CFA"/>
    <w:rsid w:val="001D6CFB"/>
    <w:rsid w:val="001D6F1D"/>
    <w:rsid w:val="001D74A3"/>
    <w:rsid w:val="001D7606"/>
    <w:rsid w:val="001D7711"/>
    <w:rsid w:val="001D7A15"/>
    <w:rsid w:val="001D7A3B"/>
    <w:rsid w:val="001D7AE1"/>
    <w:rsid w:val="001D7C7C"/>
    <w:rsid w:val="001D7CF1"/>
    <w:rsid w:val="001D7F0D"/>
    <w:rsid w:val="001E01A7"/>
    <w:rsid w:val="001E021B"/>
    <w:rsid w:val="001E03D1"/>
    <w:rsid w:val="001E06BD"/>
    <w:rsid w:val="001E079A"/>
    <w:rsid w:val="001E07CA"/>
    <w:rsid w:val="001E0994"/>
    <w:rsid w:val="001E09E1"/>
    <w:rsid w:val="001E0B0D"/>
    <w:rsid w:val="001E0C9F"/>
    <w:rsid w:val="001E1007"/>
    <w:rsid w:val="001E11CA"/>
    <w:rsid w:val="001E1407"/>
    <w:rsid w:val="001E1488"/>
    <w:rsid w:val="001E1517"/>
    <w:rsid w:val="001E1822"/>
    <w:rsid w:val="001E1827"/>
    <w:rsid w:val="001E1B96"/>
    <w:rsid w:val="001E1C5D"/>
    <w:rsid w:val="001E1E45"/>
    <w:rsid w:val="001E258B"/>
    <w:rsid w:val="001E25EC"/>
    <w:rsid w:val="001E28FA"/>
    <w:rsid w:val="001E29C4"/>
    <w:rsid w:val="001E2BF6"/>
    <w:rsid w:val="001E2ED8"/>
    <w:rsid w:val="001E321B"/>
    <w:rsid w:val="001E326B"/>
    <w:rsid w:val="001E3443"/>
    <w:rsid w:val="001E3587"/>
    <w:rsid w:val="001E36B7"/>
    <w:rsid w:val="001E37EE"/>
    <w:rsid w:val="001E3909"/>
    <w:rsid w:val="001E3ACF"/>
    <w:rsid w:val="001E4019"/>
    <w:rsid w:val="001E4280"/>
    <w:rsid w:val="001E48C8"/>
    <w:rsid w:val="001E48FE"/>
    <w:rsid w:val="001E49A6"/>
    <w:rsid w:val="001E4AEC"/>
    <w:rsid w:val="001E4B10"/>
    <w:rsid w:val="001E4E98"/>
    <w:rsid w:val="001E5228"/>
    <w:rsid w:val="001E556D"/>
    <w:rsid w:val="001E5896"/>
    <w:rsid w:val="001E5918"/>
    <w:rsid w:val="001E5BA9"/>
    <w:rsid w:val="001E60BA"/>
    <w:rsid w:val="001E6501"/>
    <w:rsid w:val="001E665E"/>
    <w:rsid w:val="001E6BBF"/>
    <w:rsid w:val="001E6E0D"/>
    <w:rsid w:val="001E701E"/>
    <w:rsid w:val="001E709F"/>
    <w:rsid w:val="001E7287"/>
    <w:rsid w:val="001E7311"/>
    <w:rsid w:val="001E76C0"/>
    <w:rsid w:val="001E78CC"/>
    <w:rsid w:val="001E799D"/>
    <w:rsid w:val="001F072E"/>
    <w:rsid w:val="001F073C"/>
    <w:rsid w:val="001F0820"/>
    <w:rsid w:val="001F088D"/>
    <w:rsid w:val="001F08BB"/>
    <w:rsid w:val="001F0CA8"/>
    <w:rsid w:val="001F0D0A"/>
    <w:rsid w:val="001F117C"/>
    <w:rsid w:val="001F126A"/>
    <w:rsid w:val="001F12AD"/>
    <w:rsid w:val="001F12FE"/>
    <w:rsid w:val="001F1430"/>
    <w:rsid w:val="001F146B"/>
    <w:rsid w:val="001F154B"/>
    <w:rsid w:val="001F17DD"/>
    <w:rsid w:val="001F17DF"/>
    <w:rsid w:val="001F1B57"/>
    <w:rsid w:val="001F1CB5"/>
    <w:rsid w:val="001F1D70"/>
    <w:rsid w:val="001F1FC9"/>
    <w:rsid w:val="001F26C8"/>
    <w:rsid w:val="001F2797"/>
    <w:rsid w:val="001F2912"/>
    <w:rsid w:val="001F2B9D"/>
    <w:rsid w:val="001F2DA0"/>
    <w:rsid w:val="001F2F47"/>
    <w:rsid w:val="001F333C"/>
    <w:rsid w:val="001F37E5"/>
    <w:rsid w:val="001F39D3"/>
    <w:rsid w:val="001F3BEF"/>
    <w:rsid w:val="001F3E8E"/>
    <w:rsid w:val="001F43C3"/>
    <w:rsid w:val="001F469A"/>
    <w:rsid w:val="001F46D7"/>
    <w:rsid w:val="001F4790"/>
    <w:rsid w:val="001F4A72"/>
    <w:rsid w:val="001F5016"/>
    <w:rsid w:val="001F51BB"/>
    <w:rsid w:val="001F5245"/>
    <w:rsid w:val="001F5285"/>
    <w:rsid w:val="001F5482"/>
    <w:rsid w:val="001F54D3"/>
    <w:rsid w:val="001F5533"/>
    <w:rsid w:val="001F5670"/>
    <w:rsid w:val="001F5B3E"/>
    <w:rsid w:val="001F5F6E"/>
    <w:rsid w:val="001F6813"/>
    <w:rsid w:val="001F6896"/>
    <w:rsid w:val="001F68D2"/>
    <w:rsid w:val="001F6AF5"/>
    <w:rsid w:val="001F6AF9"/>
    <w:rsid w:val="001F6CF5"/>
    <w:rsid w:val="001F6CFB"/>
    <w:rsid w:val="001F7100"/>
    <w:rsid w:val="001F7495"/>
    <w:rsid w:val="001F7951"/>
    <w:rsid w:val="001F7CA2"/>
    <w:rsid w:val="001F7CC2"/>
    <w:rsid w:val="00200296"/>
    <w:rsid w:val="00200330"/>
    <w:rsid w:val="00200366"/>
    <w:rsid w:val="002009EA"/>
    <w:rsid w:val="00200D53"/>
    <w:rsid w:val="00200D7C"/>
    <w:rsid w:val="00201927"/>
    <w:rsid w:val="00201ADB"/>
    <w:rsid w:val="00202377"/>
    <w:rsid w:val="002024D3"/>
    <w:rsid w:val="00202529"/>
    <w:rsid w:val="002025C9"/>
    <w:rsid w:val="00202772"/>
    <w:rsid w:val="002027FD"/>
    <w:rsid w:val="002029C4"/>
    <w:rsid w:val="00202AF3"/>
    <w:rsid w:val="00202D4F"/>
    <w:rsid w:val="00202F13"/>
    <w:rsid w:val="00203054"/>
    <w:rsid w:val="00203242"/>
    <w:rsid w:val="00203987"/>
    <w:rsid w:val="00203B25"/>
    <w:rsid w:val="00203D66"/>
    <w:rsid w:val="00203D8B"/>
    <w:rsid w:val="00204A5E"/>
    <w:rsid w:val="00204B6C"/>
    <w:rsid w:val="00204D5B"/>
    <w:rsid w:val="0020516C"/>
    <w:rsid w:val="002051C5"/>
    <w:rsid w:val="002055C2"/>
    <w:rsid w:val="002057A6"/>
    <w:rsid w:val="002058E5"/>
    <w:rsid w:val="00205F54"/>
    <w:rsid w:val="00206442"/>
    <w:rsid w:val="00206455"/>
    <w:rsid w:val="002064F3"/>
    <w:rsid w:val="00206928"/>
    <w:rsid w:val="00206F8E"/>
    <w:rsid w:val="0020708D"/>
    <w:rsid w:val="002071DC"/>
    <w:rsid w:val="002075BB"/>
    <w:rsid w:val="00207D07"/>
    <w:rsid w:val="00207E35"/>
    <w:rsid w:val="00207E74"/>
    <w:rsid w:val="00207EE5"/>
    <w:rsid w:val="0021005B"/>
    <w:rsid w:val="00210094"/>
    <w:rsid w:val="002102EB"/>
    <w:rsid w:val="00210589"/>
    <w:rsid w:val="00210620"/>
    <w:rsid w:val="002108DB"/>
    <w:rsid w:val="00210A35"/>
    <w:rsid w:val="00210B6A"/>
    <w:rsid w:val="00210DD4"/>
    <w:rsid w:val="00210FAA"/>
    <w:rsid w:val="00211340"/>
    <w:rsid w:val="002113EE"/>
    <w:rsid w:val="00211733"/>
    <w:rsid w:val="00211A16"/>
    <w:rsid w:val="00211F51"/>
    <w:rsid w:val="00212180"/>
    <w:rsid w:val="0021285C"/>
    <w:rsid w:val="00212C8D"/>
    <w:rsid w:val="0021339B"/>
    <w:rsid w:val="00213500"/>
    <w:rsid w:val="0021373E"/>
    <w:rsid w:val="00213C5B"/>
    <w:rsid w:val="00214017"/>
    <w:rsid w:val="00214438"/>
    <w:rsid w:val="0021454A"/>
    <w:rsid w:val="00214A02"/>
    <w:rsid w:val="00214CFF"/>
    <w:rsid w:val="00215787"/>
    <w:rsid w:val="002157C7"/>
    <w:rsid w:val="00215B76"/>
    <w:rsid w:val="00215C68"/>
    <w:rsid w:val="00215EC6"/>
    <w:rsid w:val="0021670F"/>
    <w:rsid w:val="00216723"/>
    <w:rsid w:val="00216816"/>
    <w:rsid w:val="00216948"/>
    <w:rsid w:val="00216ACE"/>
    <w:rsid w:val="00216CF2"/>
    <w:rsid w:val="00216E94"/>
    <w:rsid w:val="00217078"/>
    <w:rsid w:val="00217182"/>
    <w:rsid w:val="00217582"/>
    <w:rsid w:val="002179D1"/>
    <w:rsid w:val="00217F37"/>
    <w:rsid w:val="0022004F"/>
    <w:rsid w:val="00220132"/>
    <w:rsid w:val="00220282"/>
    <w:rsid w:val="002202C9"/>
    <w:rsid w:val="002205EB"/>
    <w:rsid w:val="00220C65"/>
    <w:rsid w:val="00220CDC"/>
    <w:rsid w:val="00220DD3"/>
    <w:rsid w:val="00220F4D"/>
    <w:rsid w:val="00220FE5"/>
    <w:rsid w:val="0022112C"/>
    <w:rsid w:val="002211FA"/>
    <w:rsid w:val="00221272"/>
    <w:rsid w:val="0022166E"/>
    <w:rsid w:val="002216F1"/>
    <w:rsid w:val="002218BE"/>
    <w:rsid w:val="00221C69"/>
    <w:rsid w:val="00221D05"/>
    <w:rsid w:val="00221FC5"/>
    <w:rsid w:val="0022222A"/>
    <w:rsid w:val="0022254D"/>
    <w:rsid w:val="00222635"/>
    <w:rsid w:val="002228B8"/>
    <w:rsid w:val="00222C06"/>
    <w:rsid w:val="00222CE3"/>
    <w:rsid w:val="00222CEF"/>
    <w:rsid w:val="0022322C"/>
    <w:rsid w:val="00223326"/>
    <w:rsid w:val="0022336E"/>
    <w:rsid w:val="002234A6"/>
    <w:rsid w:val="00223649"/>
    <w:rsid w:val="00223988"/>
    <w:rsid w:val="00223A8B"/>
    <w:rsid w:val="00223F5D"/>
    <w:rsid w:val="00224503"/>
    <w:rsid w:val="00224617"/>
    <w:rsid w:val="002246AB"/>
    <w:rsid w:val="00224782"/>
    <w:rsid w:val="00224C07"/>
    <w:rsid w:val="002250C2"/>
    <w:rsid w:val="002250C9"/>
    <w:rsid w:val="00225347"/>
    <w:rsid w:val="00225349"/>
    <w:rsid w:val="00225546"/>
    <w:rsid w:val="002255D0"/>
    <w:rsid w:val="00225705"/>
    <w:rsid w:val="00225A87"/>
    <w:rsid w:val="00225E60"/>
    <w:rsid w:val="00225FCB"/>
    <w:rsid w:val="00226063"/>
    <w:rsid w:val="0022607C"/>
    <w:rsid w:val="0022617E"/>
    <w:rsid w:val="002263D3"/>
    <w:rsid w:val="002266CB"/>
    <w:rsid w:val="002267D6"/>
    <w:rsid w:val="00226881"/>
    <w:rsid w:val="00226B08"/>
    <w:rsid w:val="00226D5A"/>
    <w:rsid w:val="00226E7F"/>
    <w:rsid w:val="0022718D"/>
    <w:rsid w:val="00227661"/>
    <w:rsid w:val="00227866"/>
    <w:rsid w:val="00227A4F"/>
    <w:rsid w:val="00227D10"/>
    <w:rsid w:val="00227EDE"/>
    <w:rsid w:val="00230533"/>
    <w:rsid w:val="0023088B"/>
    <w:rsid w:val="002308B8"/>
    <w:rsid w:val="002308C7"/>
    <w:rsid w:val="002309D0"/>
    <w:rsid w:val="00230B8C"/>
    <w:rsid w:val="002311B4"/>
    <w:rsid w:val="002311C5"/>
    <w:rsid w:val="0023137E"/>
    <w:rsid w:val="002313AF"/>
    <w:rsid w:val="002314BB"/>
    <w:rsid w:val="002315CA"/>
    <w:rsid w:val="00231896"/>
    <w:rsid w:val="00231F8F"/>
    <w:rsid w:val="00232078"/>
    <w:rsid w:val="00232487"/>
    <w:rsid w:val="00232588"/>
    <w:rsid w:val="00232C97"/>
    <w:rsid w:val="00232EF8"/>
    <w:rsid w:val="00233296"/>
    <w:rsid w:val="002333F3"/>
    <w:rsid w:val="00233714"/>
    <w:rsid w:val="00233814"/>
    <w:rsid w:val="00233A55"/>
    <w:rsid w:val="00233B8E"/>
    <w:rsid w:val="00233F16"/>
    <w:rsid w:val="00234259"/>
    <w:rsid w:val="0023477F"/>
    <w:rsid w:val="00234A44"/>
    <w:rsid w:val="00234B7F"/>
    <w:rsid w:val="00234DCA"/>
    <w:rsid w:val="00234E54"/>
    <w:rsid w:val="00234E6E"/>
    <w:rsid w:val="002350F9"/>
    <w:rsid w:val="0023539A"/>
    <w:rsid w:val="00235986"/>
    <w:rsid w:val="00235EAE"/>
    <w:rsid w:val="00235F57"/>
    <w:rsid w:val="00236156"/>
    <w:rsid w:val="00236492"/>
    <w:rsid w:val="002369E3"/>
    <w:rsid w:val="00236A1F"/>
    <w:rsid w:val="00236AD7"/>
    <w:rsid w:val="00236BAE"/>
    <w:rsid w:val="00236BB7"/>
    <w:rsid w:val="00236BCC"/>
    <w:rsid w:val="00236DAC"/>
    <w:rsid w:val="00236F45"/>
    <w:rsid w:val="0023735F"/>
    <w:rsid w:val="002373CB"/>
    <w:rsid w:val="002374E2"/>
    <w:rsid w:val="0023754E"/>
    <w:rsid w:val="00237C98"/>
    <w:rsid w:val="00237DED"/>
    <w:rsid w:val="00240796"/>
    <w:rsid w:val="002407C7"/>
    <w:rsid w:val="00240A7A"/>
    <w:rsid w:val="00240A87"/>
    <w:rsid w:val="00240D28"/>
    <w:rsid w:val="00240FB8"/>
    <w:rsid w:val="0024111A"/>
    <w:rsid w:val="0024146D"/>
    <w:rsid w:val="002414AA"/>
    <w:rsid w:val="00241812"/>
    <w:rsid w:val="00241884"/>
    <w:rsid w:val="00241AEB"/>
    <w:rsid w:val="00242193"/>
    <w:rsid w:val="00242333"/>
    <w:rsid w:val="0024238C"/>
    <w:rsid w:val="002425EA"/>
    <w:rsid w:val="00242B4B"/>
    <w:rsid w:val="00242D19"/>
    <w:rsid w:val="00242EA0"/>
    <w:rsid w:val="00242F46"/>
    <w:rsid w:val="00243040"/>
    <w:rsid w:val="0024341F"/>
    <w:rsid w:val="002435B0"/>
    <w:rsid w:val="00243685"/>
    <w:rsid w:val="0024379B"/>
    <w:rsid w:val="00243AEA"/>
    <w:rsid w:val="00243E2D"/>
    <w:rsid w:val="00243F24"/>
    <w:rsid w:val="00244352"/>
    <w:rsid w:val="0024440F"/>
    <w:rsid w:val="0024459C"/>
    <w:rsid w:val="002446CE"/>
    <w:rsid w:val="002447A5"/>
    <w:rsid w:val="00244C5F"/>
    <w:rsid w:val="00244F4C"/>
    <w:rsid w:val="00245036"/>
    <w:rsid w:val="002452DD"/>
    <w:rsid w:val="002455E3"/>
    <w:rsid w:val="002456A1"/>
    <w:rsid w:val="00245795"/>
    <w:rsid w:val="00245AD1"/>
    <w:rsid w:val="00245AD9"/>
    <w:rsid w:val="00245D0A"/>
    <w:rsid w:val="00245F70"/>
    <w:rsid w:val="002463DB"/>
    <w:rsid w:val="00246965"/>
    <w:rsid w:val="0024698A"/>
    <w:rsid w:val="00246BDF"/>
    <w:rsid w:val="002470BB"/>
    <w:rsid w:val="00247128"/>
    <w:rsid w:val="00247680"/>
    <w:rsid w:val="0024790C"/>
    <w:rsid w:val="002479B7"/>
    <w:rsid w:val="00247ED7"/>
    <w:rsid w:val="00250047"/>
    <w:rsid w:val="00250711"/>
    <w:rsid w:val="00250D28"/>
    <w:rsid w:val="00250DB4"/>
    <w:rsid w:val="00250E4E"/>
    <w:rsid w:val="00250FBF"/>
    <w:rsid w:val="00251236"/>
    <w:rsid w:val="00251385"/>
    <w:rsid w:val="002514C6"/>
    <w:rsid w:val="00251A32"/>
    <w:rsid w:val="00251C55"/>
    <w:rsid w:val="00251E59"/>
    <w:rsid w:val="002520D1"/>
    <w:rsid w:val="0025237B"/>
    <w:rsid w:val="002527C8"/>
    <w:rsid w:val="00252AFD"/>
    <w:rsid w:val="00252D2A"/>
    <w:rsid w:val="00252D61"/>
    <w:rsid w:val="002530E7"/>
    <w:rsid w:val="0025325B"/>
    <w:rsid w:val="002532AC"/>
    <w:rsid w:val="002532B4"/>
    <w:rsid w:val="0025345C"/>
    <w:rsid w:val="002539BA"/>
    <w:rsid w:val="002539EC"/>
    <w:rsid w:val="00253AFF"/>
    <w:rsid w:val="00253C98"/>
    <w:rsid w:val="002541C1"/>
    <w:rsid w:val="002541F8"/>
    <w:rsid w:val="00254637"/>
    <w:rsid w:val="002546B4"/>
    <w:rsid w:val="0025487C"/>
    <w:rsid w:val="00254AE2"/>
    <w:rsid w:val="00254B38"/>
    <w:rsid w:val="00254BF6"/>
    <w:rsid w:val="00254C0A"/>
    <w:rsid w:val="00254D31"/>
    <w:rsid w:val="00254D63"/>
    <w:rsid w:val="00254DC0"/>
    <w:rsid w:val="00254EEB"/>
    <w:rsid w:val="002552AC"/>
    <w:rsid w:val="0025577F"/>
    <w:rsid w:val="00255900"/>
    <w:rsid w:val="00255A57"/>
    <w:rsid w:val="00255C59"/>
    <w:rsid w:val="002560AA"/>
    <w:rsid w:val="002560FF"/>
    <w:rsid w:val="0025613F"/>
    <w:rsid w:val="00256296"/>
    <w:rsid w:val="00256427"/>
    <w:rsid w:val="0025669B"/>
    <w:rsid w:val="00256BA1"/>
    <w:rsid w:val="00257309"/>
    <w:rsid w:val="00257C43"/>
    <w:rsid w:val="00257CCF"/>
    <w:rsid w:val="00257D68"/>
    <w:rsid w:val="00257F91"/>
    <w:rsid w:val="0026008F"/>
    <w:rsid w:val="002600AC"/>
    <w:rsid w:val="002601E8"/>
    <w:rsid w:val="0026079E"/>
    <w:rsid w:val="00260AB7"/>
    <w:rsid w:val="00260C07"/>
    <w:rsid w:val="00260F66"/>
    <w:rsid w:val="00261032"/>
    <w:rsid w:val="00261679"/>
    <w:rsid w:val="00261A3B"/>
    <w:rsid w:val="00261C03"/>
    <w:rsid w:val="00261DC6"/>
    <w:rsid w:val="00261E77"/>
    <w:rsid w:val="00262021"/>
    <w:rsid w:val="00262112"/>
    <w:rsid w:val="0026214B"/>
    <w:rsid w:val="00262363"/>
    <w:rsid w:val="0026298F"/>
    <w:rsid w:val="00262B92"/>
    <w:rsid w:val="00262C13"/>
    <w:rsid w:val="0026323F"/>
    <w:rsid w:val="0026345C"/>
    <w:rsid w:val="002634B3"/>
    <w:rsid w:val="0026380F"/>
    <w:rsid w:val="00263A45"/>
    <w:rsid w:val="00264623"/>
    <w:rsid w:val="00264773"/>
    <w:rsid w:val="00264A46"/>
    <w:rsid w:val="00264C10"/>
    <w:rsid w:val="00264E52"/>
    <w:rsid w:val="002654F8"/>
    <w:rsid w:val="00265967"/>
    <w:rsid w:val="00265B6C"/>
    <w:rsid w:val="00265DC1"/>
    <w:rsid w:val="00265E5C"/>
    <w:rsid w:val="00265E82"/>
    <w:rsid w:val="00266321"/>
    <w:rsid w:val="0026654D"/>
    <w:rsid w:val="00266671"/>
    <w:rsid w:val="002666D5"/>
    <w:rsid w:val="00266CDE"/>
    <w:rsid w:val="00266DD6"/>
    <w:rsid w:val="00267524"/>
    <w:rsid w:val="00267C67"/>
    <w:rsid w:val="00267CC5"/>
    <w:rsid w:val="00270155"/>
    <w:rsid w:val="00270663"/>
    <w:rsid w:val="0027070B"/>
    <w:rsid w:val="00270758"/>
    <w:rsid w:val="00270ABC"/>
    <w:rsid w:val="00270BBC"/>
    <w:rsid w:val="00270D99"/>
    <w:rsid w:val="00270EF3"/>
    <w:rsid w:val="00271760"/>
    <w:rsid w:val="00271B2C"/>
    <w:rsid w:val="00271C69"/>
    <w:rsid w:val="00271E8B"/>
    <w:rsid w:val="00272171"/>
    <w:rsid w:val="002721CB"/>
    <w:rsid w:val="002724FC"/>
    <w:rsid w:val="002726FA"/>
    <w:rsid w:val="00272BF8"/>
    <w:rsid w:val="00272C6B"/>
    <w:rsid w:val="00273065"/>
    <w:rsid w:val="0027331C"/>
    <w:rsid w:val="0027347B"/>
    <w:rsid w:val="002736B8"/>
    <w:rsid w:val="00274225"/>
    <w:rsid w:val="00274344"/>
    <w:rsid w:val="0027449A"/>
    <w:rsid w:val="00274753"/>
    <w:rsid w:val="00274823"/>
    <w:rsid w:val="0027509D"/>
    <w:rsid w:val="002751F1"/>
    <w:rsid w:val="002751F7"/>
    <w:rsid w:val="002755A2"/>
    <w:rsid w:val="002755C0"/>
    <w:rsid w:val="0027575E"/>
    <w:rsid w:val="00275790"/>
    <w:rsid w:val="00275C28"/>
    <w:rsid w:val="00275CDB"/>
    <w:rsid w:val="00276486"/>
    <w:rsid w:val="0027661C"/>
    <w:rsid w:val="00276C8A"/>
    <w:rsid w:val="00276C8F"/>
    <w:rsid w:val="00276EC9"/>
    <w:rsid w:val="002770CE"/>
    <w:rsid w:val="00277A5E"/>
    <w:rsid w:val="00277AFB"/>
    <w:rsid w:val="00277D40"/>
    <w:rsid w:val="00277F8C"/>
    <w:rsid w:val="00277FC5"/>
    <w:rsid w:val="00280073"/>
    <w:rsid w:val="002801F4"/>
    <w:rsid w:val="00280340"/>
    <w:rsid w:val="00280382"/>
    <w:rsid w:val="0028056B"/>
    <w:rsid w:val="00280B5B"/>
    <w:rsid w:val="00280BB7"/>
    <w:rsid w:val="00280D8D"/>
    <w:rsid w:val="00280EE9"/>
    <w:rsid w:val="00281293"/>
    <w:rsid w:val="0028148E"/>
    <w:rsid w:val="00281708"/>
    <w:rsid w:val="00281AF9"/>
    <w:rsid w:val="00281DCF"/>
    <w:rsid w:val="00281E34"/>
    <w:rsid w:val="00281EEF"/>
    <w:rsid w:val="00281FF3"/>
    <w:rsid w:val="0028286C"/>
    <w:rsid w:val="002829C8"/>
    <w:rsid w:val="002833A8"/>
    <w:rsid w:val="002833C9"/>
    <w:rsid w:val="0028350F"/>
    <w:rsid w:val="00283630"/>
    <w:rsid w:val="002836DF"/>
    <w:rsid w:val="00283E0B"/>
    <w:rsid w:val="0028401E"/>
    <w:rsid w:val="0028425A"/>
    <w:rsid w:val="00284D10"/>
    <w:rsid w:val="00284D53"/>
    <w:rsid w:val="00285293"/>
    <w:rsid w:val="002853A2"/>
    <w:rsid w:val="002854DE"/>
    <w:rsid w:val="002855CD"/>
    <w:rsid w:val="00285ACB"/>
    <w:rsid w:val="00285F13"/>
    <w:rsid w:val="002861AB"/>
    <w:rsid w:val="00286637"/>
    <w:rsid w:val="002866F0"/>
    <w:rsid w:val="00286942"/>
    <w:rsid w:val="00286B34"/>
    <w:rsid w:val="00286D14"/>
    <w:rsid w:val="00287242"/>
    <w:rsid w:val="002872C2"/>
    <w:rsid w:val="00287596"/>
    <w:rsid w:val="002875C0"/>
    <w:rsid w:val="0028777E"/>
    <w:rsid w:val="00287937"/>
    <w:rsid w:val="00287955"/>
    <w:rsid w:val="00287B5A"/>
    <w:rsid w:val="00287BD4"/>
    <w:rsid w:val="00287C4E"/>
    <w:rsid w:val="00287C71"/>
    <w:rsid w:val="00287C72"/>
    <w:rsid w:val="00287D5B"/>
    <w:rsid w:val="00287E1E"/>
    <w:rsid w:val="00287E77"/>
    <w:rsid w:val="00290315"/>
    <w:rsid w:val="0029043E"/>
    <w:rsid w:val="0029086A"/>
    <w:rsid w:val="00290CD3"/>
    <w:rsid w:val="002910B2"/>
    <w:rsid w:val="002910EA"/>
    <w:rsid w:val="002915D5"/>
    <w:rsid w:val="002916BB"/>
    <w:rsid w:val="00291928"/>
    <w:rsid w:val="002923DF"/>
    <w:rsid w:val="0029257E"/>
    <w:rsid w:val="0029289C"/>
    <w:rsid w:val="002928F4"/>
    <w:rsid w:val="00292AC7"/>
    <w:rsid w:val="00293A1D"/>
    <w:rsid w:val="00293C15"/>
    <w:rsid w:val="00293C19"/>
    <w:rsid w:val="00293CC2"/>
    <w:rsid w:val="00293E72"/>
    <w:rsid w:val="0029402E"/>
    <w:rsid w:val="0029439B"/>
    <w:rsid w:val="00294430"/>
    <w:rsid w:val="002944B6"/>
    <w:rsid w:val="002945CA"/>
    <w:rsid w:val="00294C5A"/>
    <w:rsid w:val="00294D9B"/>
    <w:rsid w:val="00295005"/>
    <w:rsid w:val="00295430"/>
    <w:rsid w:val="00295AC7"/>
    <w:rsid w:val="00295E1D"/>
    <w:rsid w:val="00295EFA"/>
    <w:rsid w:val="0029625A"/>
    <w:rsid w:val="0029643E"/>
    <w:rsid w:val="002964E5"/>
    <w:rsid w:val="0029657E"/>
    <w:rsid w:val="00296683"/>
    <w:rsid w:val="00296C40"/>
    <w:rsid w:val="002972D5"/>
    <w:rsid w:val="00297600"/>
    <w:rsid w:val="0029782C"/>
    <w:rsid w:val="00297D25"/>
    <w:rsid w:val="00297E69"/>
    <w:rsid w:val="002A003D"/>
    <w:rsid w:val="002A03BC"/>
    <w:rsid w:val="002A042A"/>
    <w:rsid w:val="002A05A8"/>
    <w:rsid w:val="002A0B68"/>
    <w:rsid w:val="002A0E13"/>
    <w:rsid w:val="002A103B"/>
    <w:rsid w:val="002A11BF"/>
    <w:rsid w:val="002A15F6"/>
    <w:rsid w:val="002A1C77"/>
    <w:rsid w:val="002A22AD"/>
    <w:rsid w:val="002A232A"/>
    <w:rsid w:val="002A24AA"/>
    <w:rsid w:val="002A2606"/>
    <w:rsid w:val="002A2B0A"/>
    <w:rsid w:val="002A2C50"/>
    <w:rsid w:val="002A2CC6"/>
    <w:rsid w:val="002A30EF"/>
    <w:rsid w:val="002A3282"/>
    <w:rsid w:val="002A3416"/>
    <w:rsid w:val="002A355D"/>
    <w:rsid w:val="002A391F"/>
    <w:rsid w:val="002A3A85"/>
    <w:rsid w:val="002A3AE2"/>
    <w:rsid w:val="002A3E6D"/>
    <w:rsid w:val="002A3F02"/>
    <w:rsid w:val="002A3F3C"/>
    <w:rsid w:val="002A41AD"/>
    <w:rsid w:val="002A44A6"/>
    <w:rsid w:val="002A4503"/>
    <w:rsid w:val="002A49FB"/>
    <w:rsid w:val="002A4ACF"/>
    <w:rsid w:val="002A4B16"/>
    <w:rsid w:val="002A4B35"/>
    <w:rsid w:val="002A4BB8"/>
    <w:rsid w:val="002A4D71"/>
    <w:rsid w:val="002A4F23"/>
    <w:rsid w:val="002A5259"/>
    <w:rsid w:val="002A5283"/>
    <w:rsid w:val="002A54F4"/>
    <w:rsid w:val="002A5A12"/>
    <w:rsid w:val="002A5C75"/>
    <w:rsid w:val="002A5CDB"/>
    <w:rsid w:val="002A6017"/>
    <w:rsid w:val="002A6032"/>
    <w:rsid w:val="002A60BC"/>
    <w:rsid w:val="002A60E9"/>
    <w:rsid w:val="002A6651"/>
    <w:rsid w:val="002A67F1"/>
    <w:rsid w:val="002A6CFC"/>
    <w:rsid w:val="002A6E6D"/>
    <w:rsid w:val="002A7186"/>
    <w:rsid w:val="002A7224"/>
    <w:rsid w:val="002A7229"/>
    <w:rsid w:val="002A74EF"/>
    <w:rsid w:val="002A75B5"/>
    <w:rsid w:val="002A7897"/>
    <w:rsid w:val="002A78B9"/>
    <w:rsid w:val="002A7963"/>
    <w:rsid w:val="002A7B2E"/>
    <w:rsid w:val="002A7BD1"/>
    <w:rsid w:val="002A7E2E"/>
    <w:rsid w:val="002B032F"/>
    <w:rsid w:val="002B05B8"/>
    <w:rsid w:val="002B0839"/>
    <w:rsid w:val="002B092D"/>
    <w:rsid w:val="002B0DC3"/>
    <w:rsid w:val="002B0DD3"/>
    <w:rsid w:val="002B1041"/>
    <w:rsid w:val="002B1186"/>
    <w:rsid w:val="002B1BBF"/>
    <w:rsid w:val="002B1EDE"/>
    <w:rsid w:val="002B2003"/>
    <w:rsid w:val="002B206B"/>
    <w:rsid w:val="002B20CB"/>
    <w:rsid w:val="002B2490"/>
    <w:rsid w:val="002B24BD"/>
    <w:rsid w:val="002B2680"/>
    <w:rsid w:val="002B28F4"/>
    <w:rsid w:val="002B2B11"/>
    <w:rsid w:val="002B2EA1"/>
    <w:rsid w:val="002B3160"/>
    <w:rsid w:val="002B3656"/>
    <w:rsid w:val="002B3A6C"/>
    <w:rsid w:val="002B3DAA"/>
    <w:rsid w:val="002B4941"/>
    <w:rsid w:val="002B4E13"/>
    <w:rsid w:val="002B510B"/>
    <w:rsid w:val="002B534F"/>
    <w:rsid w:val="002B5435"/>
    <w:rsid w:val="002B57A7"/>
    <w:rsid w:val="002B5C07"/>
    <w:rsid w:val="002B5D74"/>
    <w:rsid w:val="002B5DCA"/>
    <w:rsid w:val="002B5E4D"/>
    <w:rsid w:val="002B6483"/>
    <w:rsid w:val="002B66FF"/>
    <w:rsid w:val="002B67A4"/>
    <w:rsid w:val="002B67CA"/>
    <w:rsid w:val="002B6817"/>
    <w:rsid w:val="002B6A48"/>
    <w:rsid w:val="002B6C00"/>
    <w:rsid w:val="002B6EEC"/>
    <w:rsid w:val="002B70D3"/>
    <w:rsid w:val="002B70FE"/>
    <w:rsid w:val="002B7310"/>
    <w:rsid w:val="002B798F"/>
    <w:rsid w:val="002B7A10"/>
    <w:rsid w:val="002B7ADB"/>
    <w:rsid w:val="002B7B64"/>
    <w:rsid w:val="002B7C3C"/>
    <w:rsid w:val="002B7CD9"/>
    <w:rsid w:val="002B7E8B"/>
    <w:rsid w:val="002B7EDD"/>
    <w:rsid w:val="002B7F6A"/>
    <w:rsid w:val="002B7F8C"/>
    <w:rsid w:val="002B7F8E"/>
    <w:rsid w:val="002C00F5"/>
    <w:rsid w:val="002C02BF"/>
    <w:rsid w:val="002C04C2"/>
    <w:rsid w:val="002C078A"/>
    <w:rsid w:val="002C0937"/>
    <w:rsid w:val="002C0A80"/>
    <w:rsid w:val="002C0DAF"/>
    <w:rsid w:val="002C0E10"/>
    <w:rsid w:val="002C1543"/>
    <w:rsid w:val="002C17C7"/>
    <w:rsid w:val="002C191B"/>
    <w:rsid w:val="002C1D12"/>
    <w:rsid w:val="002C1D2F"/>
    <w:rsid w:val="002C1E29"/>
    <w:rsid w:val="002C1F4A"/>
    <w:rsid w:val="002C2016"/>
    <w:rsid w:val="002C2250"/>
    <w:rsid w:val="002C22E9"/>
    <w:rsid w:val="002C2479"/>
    <w:rsid w:val="002C24BF"/>
    <w:rsid w:val="002C29AA"/>
    <w:rsid w:val="002C2BCF"/>
    <w:rsid w:val="002C2D54"/>
    <w:rsid w:val="002C2DFB"/>
    <w:rsid w:val="002C2E9A"/>
    <w:rsid w:val="002C349E"/>
    <w:rsid w:val="002C358E"/>
    <w:rsid w:val="002C35D8"/>
    <w:rsid w:val="002C366E"/>
    <w:rsid w:val="002C3683"/>
    <w:rsid w:val="002C398E"/>
    <w:rsid w:val="002C3C75"/>
    <w:rsid w:val="002C3EE1"/>
    <w:rsid w:val="002C3FCB"/>
    <w:rsid w:val="002C478E"/>
    <w:rsid w:val="002C47DF"/>
    <w:rsid w:val="002C4938"/>
    <w:rsid w:val="002C531E"/>
    <w:rsid w:val="002C54E1"/>
    <w:rsid w:val="002C562C"/>
    <w:rsid w:val="002C566D"/>
    <w:rsid w:val="002C5B7E"/>
    <w:rsid w:val="002C5F90"/>
    <w:rsid w:val="002C5F98"/>
    <w:rsid w:val="002C60E6"/>
    <w:rsid w:val="002C6380"/>
    <w:rsid w:val="002C63D0"/>
    <w:rsid w:val="002C6619"/>
    <w:rsid w:val="002C6686"/>
    <w:rsid w:val="002C68D7"/>
    <w:rsid w:val="002C6C13"/>
    <w:rsid w:val="002C6DB6"/>
    <w:rsid w:val="002C6DCC"/>
    <w:rsid w:val="002C719E"/>
    <w:rsid w:val="002C7C13"/>
    <w:rsid w:val="002C7D02"/>
    <w:rsid w:val="002D019E"/>
    <w:rsid w:val="002D0344"/>
    <w:rsid w:val="002D0514"/>
    <w:rsid w:val="002D07C5"/>
    <w:rsid w:val="002D0980"/>
    <w:rsid w:val="002D0B97"/>
    <w:rsid w:val="002D0D15"/>
    <w:rsid w:val="002D0EF2"/>
    <w:rsid w:val="002D0F15"/>
    <w:rsid w:val="002D1242"/>
    <w:rsid w:val="002D1322"/>
    <w:rsid w:val="002D17A1"/>
    <w:rsid w:val="002D1836"/>
    <w:rsid w:val="002D19D9"/>
    <w:rsid w:val="002D23E6"/>
    <w:rsid w:val="002D24AC"/>
    <w:rsid w:val="002D2FCA"/>
    <w:rsid w:val="002D304D"/>
    <w:rsid w:val="002D305B"/>
    <w:rsid w:val="002D3166"/>
    <w:rsid w:val="002D331A"/>
    <w:rsid w:val="002D3374"/>
    <w:rsid w:val="002D347D"/>
    <w:rsid w:val="002D35D3"/>
    <w:rsid w:val="002D365A"/>
    <w:rsid w:val="002D37C7"/>
    <w:rsid w:val="002D37CF"/>
    <w:rsid w:val="002D37F0"/>
    <w:rsid w:val="002D3A9C"/>
    <w:rsid w:val="002D3F2E"/>
    <w:rsid w:val="002D3F3A"/>
    <w:rsid w:val="002D4712"/>
    <w:rsid w:val="002D4757"/>
    <w:rsid w:val="002D48AC"/>
    <w:rsid w:val="002D48C4"/>
    <w:rsid w:val="002D496D"/>
    <w:rsid w:val="002D4D61"/>
    <w:rsid w:val="002D4E40"/>
    <w:rsid w:val="002D4E97"/>
    <w:rsid w:val="002D5215"/>
    <w:rsid w:val="002D57A4"/>
    <w:rsid w:val="002D5CAF"/>
    <w:rsid w:val="002D6010"/>
    <w:rsid w:val="002D6C60"/>
    <w:rsid w:val="002D6C75"/>
    <w:rsid w:val="002D6DA0"/>
    <w:rsid w:val="002D72A6"/>
    <w:rsid w:val="002D730C"/>
    <w:rsid w:val="002D7391"/>
    <w:rsid w:val="002D7625"/>
    <w:rsid w:val="002D7709"/>
    <w:rsid w:val="002D7823"/>
    <w:rsid w:val="002D7922"/>
    <w:rsid w:val="002D7961"/>
    <w:rsid w:val="002D7C76"/>
    <w:rsid w:val="002D7E66"/>
    <w:rsid w:val="002E00E5"/>
    <w:rsid w:val="002E01C9"/>
    <w:rsid w:val="002E026D"/>
    <w:rsid w:val="002E0686"/>
    <w:rsid w:val="002E06D3"/>
    <w:rsid w:val="002E0886"/>
    <w:rsid w:val="002E15E4"/>
    <w:rsid w:val="002E1A4A"/>
    <w:rsid w:val="002E1C45"/>
    <w:rsid w:val="002E1EAB"/>
    <w:rsid w:val="002E259B"/>
    <w:rsid w:val="002E283A"/>
    <w:rsid w:val="002E295F"/>
    <w:rsid w:val="002E298D"/>
    <w:rsid w:val="002E29C5"/>
    <w:rsid w:val="002E2D5E"/>
    <w:rsid w:val="002E2DA9"/>
    <w:rsid w:val="002E3172"/>
    <w:rsid w:val="002E34D8"/>
    <w:rsid w:val="002E3631"/>
    <w:rsid w:val="002E389F"/>
    <w:rsid w:val="002E3E7F"/>
    <w:rsid w:val="002E3F6B"/>
    <w:rsid w:val="002E3F9A"/>
    <w:rsid w:val="002E4293"/>
    <w:rsid w:val="002E4AC8"/>
    <w:rsid w:val="002E4C03"/>
    <w:rsid w:val="002E4C2D"/>
    <w:rsid w:val="002E4DFD"/>
    <w:rsid w:val="002E4FE2"/>
    <w:rsid w:val="002E51D5"/>
    <w:rsid w:val="002E5285"/>
    <w:rsid w:val="002E55DB"/>
    <w:rsid w:val="002E578A"/>
    <w:rsid w:val="002E5996"/>
    <w:rsid w:val="002E5A1C"/>
    <w:rsid w:val="002E5DEA"/>
    <w:rsid w:val="002E5E7C"/>
    <w:rsid w:val="002E5EFA"/>
    <w:rsid w:val="002E60E0"/>
    <w:rsid w:val="002E6432"/>
    <w:rsid w:val="002E6562"/>
    <w:rsid w:val="002E668A"/>
    <w:rsid w:val="002E6AF1"/>
    <w:rsid w:val="002E6C44"/>
    <w:rsid w:val="002E70E3"/>
    <w:rsid w:val="002E724A"/>
    <w:rsid w:val="002E758D"/>
    <w:rsid w:val="002E76E3"/>
    <w:rsid w:val="002E799F"/>
    <w:rsid w:val="002E7D02"/>
    <w:rsid w:val="002E7D04"/>
    <w:rsid w:val="002E7D51"/>
    <w:rsid w:val="002E7FE1"/>
    <w:rsid w:val="002F03DD"/>
    <w:rsid w:val="002F04A2"/>
    <w:rsid w:val="002F0505"/>
    <w:rsid w:val="002F076E"/>
    <w:rsid w:val="002F078A"/>
    <w:rsid w:val="002F07DE"/>
    <w:rsid w:val="002F0ADF"/>
    <w:rsid w:val="002F0B38"/>
    <w:rsid w:val="002F0BE3"/>
    <w:rsid w:val="002F165E"/>
    <w:rsid w:val="002F1688"/>
    <w:rsid w:val="002F16CB"/>
    <w:rsid w:val="002F1C0C"/>
    <w:rsid w:val="002F1DF5"/>
    <w:rsid w:val="002F1FD5"/>
    <w:rsid w:val="002F2360"/>
    <w:rsid w:val="002F2614"/>
    <w:rsid w:val="002F26E6"/>
    <w:rsid w:val="002F282A"/>
    <w:rsid w:val="002F28CA"/>
    <w:rsid w:val="002F2929"/>
    <w:rsid w:val="002F2BE5"/>
    <w:rsid w:val="002F2C33"/>
    <w:rsid w:val="002F2D04"/>
    <w:rsid w:val="002F311E"/>
    <w:rsid w:val="002F313A"/>
    <w:rsid w:val="002F3140"/>
    <w:rsid w:val="002F345B"/>
    <w:rsid w:val="002F380E"/>
    <w:rsid w:val="002F3AD2"/>
    <w:rsid w:val="002F3BE9"/>
    <w:rsid w:val="002F3DF1"/>
    <w:rsid w:val="002F410A"/>
    <w:rsid w:val="002F43C1"/>
    <w:rsid w:val="002F4515"/>
    <w:rsid w:val="002F455D"/>
    <w:rsid w:val="002F4B12"/>
    <w:rsid w:val="002F5188"/>
    <w:rsid w:val="002F51BB"/>
    <w:rsid w:val="002F52D3"/>
    <w:rsid w:val="002F5FEC"/>
    <w:rsid w:val="002F61D3"/>
    <w:rsid w:val="002F61D6"/>
    <w:rsid w:val="002F6606"/>
    <w:rsid w:val="002F6E66"/>
    <w:rsid w:val="002F7194"/>
    <w:rsid w:val="002F71B8"/>
    <w:rsid w:val="002F71F4"/>
    <w:rsid w:val="002F73DF"/>
    <w:rsid w:val="002F73EC"/>
    <w:rsid w:val="002F760E"/>
    <w:rsid w:val="002F7987"/>
    <w:rsid w:val="00300148"/>
    <w:rsid w:val="00300668"/>
    <w:rsid w:val="00300718"/>
    <w:rsid w:val="00300920"/>
    <w:rsid w:val="00300CED"/>
    <w:rsid w:val="00301A51"/>
    <w:rsid w:val="00301C88"/>
    <w:rsid w:val="00301EA1"/>
    <w:rsid w:val="00301F26"/>
    <w:rsid w:val="0030215A"/>
    <w:rsid w:val="003021C2"/>
    <w:rsid w:val="0030272A"/>
    <w:rsid w:val="00302AA6"/>
    <w:rsid w:val="00302CC1"/>
    <w:rsid w:val="00302D86"/>
    <w:rsid w:val="00302F4E"/>
    <w:rsid w:val="00302FCC"/>
    <w:rsid w:val="00302FF8"/>
    <w:rsid w:val="0030363E"/>
    <w:rsid w:val="003038A5"/>
    <w:rsid w:val="00303974"/>
    <w:rsid w:val="00303AFB"/>
    <w:rsid w:val="00303E88"/>
    <w:rsid w:val="00304708"/>
    <w:rsid w:val="00304872"/>
    <w:rsid w:val="00304A54"/>
    <w:rsid w:val="00304AE5"/>
    <w:rsid w:val="00304C2D"/>
    <w:rsid w:val="00304E0C"/>
    <w:rsid w:val="00304F67"/>
    <w:rsid w:val="00305369"/>
    <w:rsid w:val="003054F8"/>
    <w:rsid w:val="00305862"/>
    <w:rsid w:val="00305879"/>
    <w:rsid w:val="0030589B"/>
    <w:rsid w:val="00305B85"/>
    <w:rsid w:val="003062A3"/>
    <w:rsid w:val="003062AE"/>
    <w:rsid w:val="0030648A"/>
    <w:rsid w:val="00306918"/>
    <w:rsid w:val="003069C5"/>
    <w:rsid w:val="00306A05"/>
    <w:rsid w:val="00306A9A"/>
    <w:rsid w:val="00306DBD"/>
    <w:rsid w:val="003072C5"/>
    <w:rsid w:val="003077D4"/>
    <w:rsid w:val="00307A61"/>
    <w:rsid w:val="00307BB1"/>
    <w:rsid w:val="00307C6B"/>
    <w:rsid w:val="00307ED4"/>
    <w:rsid w:val="00307FBC"/>
    <w:rsid w:val="0031005A"/>
    <w:rsid w:val="0031013A"/>
    <w:rsid w:val="003102DC"/>
    <w:rsid w:val="0031033B"/>
    <w:rsid w:val="00310418"/>
    <w:rsid w:val="00310687"/>
    <w:rsid w:val="00310894"/>
    <w:rsid w:val="00310E37"/>
    <w:rsid w:val="00310F0C"/>
    <w:rsid w:val="00310F6D"/>
    <w:rsid w:val="00310F70"/>
    <w:rsid w:val="003114D2"/>
    <w:rsid w:val="00311756"/>
    <w:rsid w:val="00311B82"/>
    <w:rsid w:val="00311FD6"/>
    <w:rsid w:val="0031200F"/>
    <w:rsid w:val="0031205A"/>
    <w:rsid w:val="00312825"/>
    <w:rsid w:val="003128BF"/>
    <w:rsid w:val="0031296D"/>
    <w:rsid w:val="00312995"/>
    <w:rsid w:val="00312A82"/>
    <w:rsid w:val="00312AC2"/>
    <w:rsid w:val="00312D0B"/>
    <w:rsid w:val="00313321"/>
    <w:rsid w:val="003137DF"/>
    <w:rsid w:val="00313DC3"/>
    <w:rsid w:val="00313F0A"/>
    <w:rsid w:val="00313F57"/>
    <w:rsid w:val="00314238"/>
    <w:rsid w:val="00314660"/>
    <w:rsid w:val="0031480D"/>
    <w:rsid w:val="00314BFC"/>
    <w:rsid w:val="00314EED"/>
    <w:rsid w:val="00315072"/>
    <w:rsid w:val="003150B4"/>
    <w:rsid w:val="00315235"/>
    <w:rsid w:val="00315514"/>
    <w:rsid w:val="00315572"/>
    <w:rsid w:val="00315667"/>
    <w:rsid w:val="00315C97"/>
    <w:rsid w:val="00315D4F"/>
    <w:rsid w:val="003162EB"/>
    <w:rsid w:val="0031631B"/>
    <w:rsid w:val="00316446"/>
    <w:rsid w:val="00316872"/>
    <w:rsid w:val="00316A2F"/>
    <w:rsid w:val="00316B72"/>
    <w:rsid w:val="00316BCE"/>
    <w:rsid w:val="00317163"/>
    <w:rsid w:val="0031777B"/>
    <w:rsid w:val="00317940"/>
    <w:rsid w:val="00317A1B"/>
    <w:rsid w:val="00317D24"/>
    <w:rsid w:val="00317E18"/>
    <w:rsid w:val="0032013D"/>
    <w:rsid w:val="0032015A"/>
    <w:rsid w:val="00320265"/>
    <w:rsid w:val="003208AE"/>
    <w:rsid w:val="00320D28"/>
    <w:rsid w:val="00321256"/>
    <w:rsid w:val="00321631"/>
    <w:rsid w:val="00321667"/>
    <w:rsid w:val="00321AB0"/>
    <w:rsid w:val="00321D68"/>
    <w:rsid w:val="00321F7C"/>
    <w:rsid w:val="00322013"/>
    <w:rsid w:val="0032227C"/>
    <w:rsid w:val="003224B4"/>
    <w:rsid w:val="00322694"/>
    <w:rsid w:val="00322B48"/>
    <w:rsid w:val="00322C5B"/>
    <w:rsid w:val="00323295"/>
    <w:rsid w:val="00323344"/>
    <w:rsid w:val="0032335D"/>
    <w:rsid w:val="00323463"/>
    <w:rsid w:val="003235F9"/>
    <w:rsid w:val="00323645"/>
    <w:rsid w:val="003236CF"/>
    <w:rsid w:val="0032373E"/>
    <w:rsid w:val="00323C33"/>
    <w:rsid w:val="00323CDD"/>
    <w:rsid w:val="00323E28"/>
    <w:rsid w:val="00323FDE"/>
    <w:rsid w:val="00324102"/>
    <w:rsid w:val="00324141"/>
    <w:rsid w:val="0032414E"/>
    <w:rsid w:val="003242B0"/>
    <w:rsid w:val="003243F3"/>
    <w:rsid w:val="00324631"/>
    <w:rsid w:val="003246E0"/>
    <w:rsid w:val="00324898"/>
    <w:rsid w:val="003249D2"/>
    <w:rsid w:val="00324B79"/>
    <w:rsid w:val="00324F06"/>
    <w:rsid w:val="0032514C"/>
    <w:rsid w:val="00325323"/>
    <w:rsid w:val="00325B3F"/>
    <w:rsid w:val="00325CD1"/>
    <w:rsid w:val="00325EEC"/>
    <w:rsid w:val="00326407"/>
    <w:rsid w:val="00326634"/>
    <w:rsid w:val="00326868"/>
    <w:rsid w:val="0032706C"/>
    <w:rsid w:val="0032739B"/>
    <w:rsid w:val="003273BC"/>
    <w:rsid w:val="00327499"/>
    <w:rsid w:val="003275AC"/>
    <w:rsid w:val="00327AAA"/>
    <w:rsid w:val="00327AEC"/>
    <w:rsid w:val="00327B73"/>
    <w:rsid w:val="00327F01"/>
    <w:rsid w:val="00330199"/>
    <w:rsid w:val="003305FD"/>
    <w:rsid w:val="00330601"/>
    <w:rsid w:val="00330753"/>
    <w:rsid w:val="003308AD"/>
    <w:rsid w:val="00330A46"/>
    <w:rsid w:val="00330C50"/>
    <w:rsid w:val="003313BF"/>
    <w:rsid w:val="00331522"/>
    <w:rsid w:val="003317DF"/>
    <w:rsid w:val="00331A16"/>
    <w:rsid w:val="00331F5A"/>
    <w:rsid w:val="003325D6"/>
    <w:rsid w:val="00332719"/>
    <w:rsid w:val="00332DFF"/>
    <w:rsid w:val="00332FD2"/>
    <w:rsid w:val="0033328D"/>
    <w:rsid w:val="003337CE"/>
    <w:rsid w:val="00333A60"/>
    <w:rsid w:val="00333C84"/>
    <w:rsid w:val="00333F75"/>
    <w:rsid w:val="00333FE2"/>
    <w:rsid w:val="003342D4"/>
    <w:rsid w:val="00334365"/>
    <w:rsid w:val="00334776"/>
    <w:rsid w:val="0033491A"/>
    <w:rsid w:val="0033496A"/>
    <w:rsid w:val="00334994"/>
    <w:rsid w:val="00334ACF"/>
    <w:rsid w:val="00334D7C"/>
    <w:rsid w:val="00334D8A"/>
    <w:rsid w:val="003350EF"/>
    <w:rsid w:val="00335BF5"/>
    <w:rsid w:val="00335D85"/>
    <w:rsid w:val="00335E6E"/>
    <w:rsid w:val="003363D3"/>
    <w:rsid w:val="0033659A"/>
    <w:rsid w:val="00336BD4"/>
    <w:rsid w:val="00336E9E"/>
    <w:rsid w:val="003371AE"/>
    <w:rsid w:val="00337290"/>
    <w:rsid w:val="003374DB"/>
    <w:rsid w:val="003374DF"/>
    <w:rsid w:val="00337A71"/>
    <w:rsid w:val="00337B66"/>
    <w:rsid w:val="00337E90"/>
    <w:rsid w:val="00340A70"/>
    <w:rsid w:val="00340F72"/>
    <w:rsid w:val="00340F9A"/>
    <w:rsid w:val="00340FC8"/>
    <w:rsid w:val="0034102C"/>
    <w:rsid w:val="0034133A"/>
    <w:rsid w:val="00341578"/>
    <w:rsid w:val="0034185F"/>
    <w:rsid w:val="00341876"/>
    <w:rsid w:val="00341A14"/>
    <w:rsid w:val="00341B8B"/>
    <w:rsid w:val="00341CCA"/>
    <w:rsid w:val="00342003"/>
    <w:rsid w:val="003422E1"/>
    <w:rsid w:val="0034251D"/>
    <w:rsid w:val="00342912"/>
    <w:rsid w:val="003429D1"/>
    <w:rsid w:val="00342E4B"/>
    <w:rsid w:val="003430CC"/>
    <w:rsid w:val="00343178"/>
    <w:rsid w:val="003433EA"/>
    <w:rsid w:val="00343580"/>
    <w:rsid w:val="00343619"/>
    <w:rsid w:val="00343720"/>
    <w:rsid w:val="00343893"/>
    <w:rsid w:val="00343AAC"/>
    <w:rsid w:val="00343AE2"/>
    <w:rsid w:val="00343C85"/>
    <w:rsid w:val="00343E47"/>
    <w:rsid w:val="00343EAE"/>
    <w:rsid w:val="00343EDE"/>
    <w:rsid w:val="00344018"/>
    <w:rsid w:val="0034429A"/>
    <w:rsid w:val="00344432"/>
    <w:rsid w:val="00344A21"/>
    <w:rsid w:val="00344A4F"/>
    <w:rsid w:val="00344AEB"/>
    <w:rsid w:val="00344B68"/>
    <w:rsid w:val="00345206"/>
    <w:rsid w:val="003454C6"/>
    <w:rsid w:val="003458B5"/>
    <w:rsid w:val="00345A47"/>
    <w:rsid w:val="00345B1D"/>
    <w:rsid w:val="00345B81"/>
    <w:rsid w:val="00345D2A"/>
    <w:rsid w:val="00345E01"/>
    <w:rsid w:val="00346081"/>
    <w:rsid w:val="003460C4"/>
    <w:rsid w:val="0034614B"/>
    <w:rsid w:val="00346D0F"/>
    <w:rsid w:val="00347229"/>
    <w:rsid w:val="003476C9"/>
    <w:rsid w:val="00347D60"/>
    <w:rsid w:val="00347E67"/>
    <w:rsid w:val="0035045D"/>
    <w:rsid w:val="00350552"/>
    <w:rsid w:val="00350884"/>
    <w:rsid w:val="003508BA"/>
    <w:rsid w:val="00350962"/>
    <w:rsid w:val="00350977"/>
    <w:rsid w:val="00350ACB"/>
    <w:rsid w:val="0035128D"/>
    <w:rsid w:val="00351381"/>
    <w:rsid w:val="003514F8"/>
    <w:rsid w:val="003523C6"/>
    <w:rsid w:val="003526B6"/>
    <w:rsid w:val="00352C5D"/>
    <w:rsid w:val="00352D69"/>
    <w:rsid w:val="00352EC0"/>
    <w:rsid w:val="003530A6"/>
    <w:rsid w:val="0035343D"/>
    <w:rsid w:val="003535B4"/>
    <w:rsid w:val="00353627"/>
    <w:rsid w:val="00353731"/>
    <w:rsid w:val="003539A5"/>
    <w:rsid w:val="00353CF6"/>
    <w:rsid w:val="00353F15"/>
    <w:rsid w:val="00354395"/>
    <w:rsid w:val="0035482E"/>
    <w:rsid w:val="00354E0B"/>
    <w:rsid w:val="00354EAA"/>
    <w:rsid w:val="00354F24"/>
    <w:rsid w:val="00355384"/>
    <w:rsid w:val="00355591"/>
    <w:rsid w:val="00355773"/>
    <w:rsid w:val="0035599E"/>
    <w:rsid w:val="003559B9"/>
    <w:rsid w:val="003559CC"/>
    <w:rsid w:val="00355A4E"/>
    <w:rsid w:val="00355B54"/>
    <w:rsid w:val="00355CAD"/>
    <w:rsid w:val="00355D47"/>
    <w:rsid w:val="00355F72"/>
    <w:rsid w:val="00356250"/>
    <w:rsid w:val="003565EE"/>
    <w:rsid w:val="00356718"/>
    <w:rsid w:val="003567AE"/>
    <w:rsid w:val="003569E6"/>
    <w:rsid w:val="00356BAF"/>
    <w:rsid w:val="00356DD3"/>
    <w:rsid w:val="0035720F"/>
    <w:rsid w:val="0035734F"/>
    <w:rsid w:val="0035750E"/>
    <w:rsid w:val="00357657"/>
    <w:rsid w:val="00357797"/>
    <w:rsid w:val="00357833"/>
    <w:rsid w:val="003578A5"/>
    <w:rsid w:val="0035794D"/>
    <w:rsid w:val="00357A44"/>
    <w:rsid w:val="00357C8E"/>
    <w:rsid w:val="00357E32"/>
    <w:rsid w:val="00360096"/>
    <w:rsid w:val="00360380"/>
    <w:rsid w:val="0036046C"/>
    <w:rsid w:val="00360ABE"/>
    <w:rsid w:val="00360D3B"/>
    <w:rsid w:val="00360F28"/>
    <w:rsid w:val="00361427"/>
    <w:rsid w:val="003615CC"/>
    <w:rsid w:val="003616BC"/>
    <w:rsid w:val="00361BFB"/>
    <w:rsid w:val="00362147"/>
    <w:rsid w:val="003623A8"/>
    <w:rsid w:val="0036240B"/>
    <w:rsid w:val="00362424"/>
    <w:rsid w:val="003625BA"/>
    <w:rsid w:val="00362898"/>
    <w:rsid w:val="00362CA3"/>
    <w:rsid w:val="0036300D"/>
    <w:rsid w:val="00363120"/>
    <w:rsid w:val="00363407"/>
    <w:rsid w:val="00363487"/>
    <w:rsid w:val="00363611"/>
    <w:rsid w:val="003639A6"/>
    <w:rsid w:val="00363BEA"/>
    <w:rsid w:val="00363CA7"/>
    <w:rsid w:val="00363F03"/>
    <w:rsid w:val="00363F7F"/>
    <w:rsid w:val="00363F9F"/>
    <w:rsid w:val="003640EE"/>
    <w:rsid w:val="003645D5"/>
    <w:rsid w:val="003647D3"/>
    <w:rsid w:val="00364926"/>
    <w:rsid w:val="00364CEE"/>
    <w:rsid w:val="00364EB3"/>
    <w:rsid w:val="0036528E"/>
    <w:rsid w:val="0036548A"/>
    <w:rsid w:val="00365502"/>
    <w:rsid w:val="003656BA"/>
    <w:rsid w:val="003659B3"/>
    <w:rsid w:val="003659CD"/>
    <w:rsid w:val="00365A55"/>
    <w:rsid w:val="00365A6C"/>
    <w:rsid w:val="00365C8D"/>
    <w:rsid w:val="0036614C"/>
    <w:rsid w:val="00366328"/>
    <w:rsid w:val="00366471"/>
    <w:rsid w:val="00366755"/>
    <w:rsid w:val="00366E17"/>
    <w:rsid w:val="00366FC8"/>
    <w:rsid w:val="00367192"/>
    <w:rsid w:val="00367337"/>
    <w:rsid w:val="003675B2"/>
    <w:rsid w:val="00367645"/>
    <w:rsid w:val="00367691"/>
    <w:rsid w:val="003679AE"/>
    <w:rsid w:val="00367B69"/>
    <w:rsid w:val="00370126"/>
    <w:rsid w:val="003702A2"/>
    <w:rsid w:val="0037054C"/>
    <w:rsid w:val="00370688"/>
    <w:rsid w:val="00370752"/>
    <w:rsid w:val="003707D6"/>
    <w:rsid w:val="00370C7E"/>
    <w:rsid w:val="00370D87"/>
    <w:rsid w:val="00370EFA"/>
    <w:rsid w:val="003710E5"/>
    <w:rsid w:val="003714BA"/>
    <w:rsid w:val="0037174E"/>
    <w:rsid w:val="0037192C"/>
    <w:rsid w:val="00371C6F"/>
    <w:rsid w:val="00371D11"/>
    <w:rsid w:val="00371D53"/>
    <w:rsid w:val="00371D7A"/>
    <w:rsid w:val="00371E75"/>
    <w:rsid w:val="00372569"/>
    <w:rsid w:val="003725F8"/>
    <w:rsid w:val="0037298F"/>
    <w:rsid w:val="003729B5"/>
    <w:rsid w:val="003729F5"/>
    <w:rsid w:val="00372B04"/>
    <w:rsid w:val="00372C7D"/>
    <w:rsid w:val="00373A07"/>
    <w:rsid w:val="00373A71"/>
    <w:rsid w:val="00373D22"/>
    <w:rsid w:val="00373E87"/>
    <w:rsid w:val="00373FF3"/>
    <w:rsid w:val="0037425F"/>
    <w:rsid w:val="00374502"/>
    <w:rsid w:val="00374768"/>
    <w:rsid w:val="003747ED"/>
    <w:rsid w:val="00374AD8"/>
    <w:rsid w:val="00374BC8"/>
    <w:rsid w:val="00374C4C"/>
    <w:rsid w:val="00374D40"/>
    <w:rsid w:val="0037513D"/>
    <w:rsid w:val="003751A3"/>
    <w:rsid w:val="00375298"/>
    <w:rsid w:val="003754C3"/>
    <w:rsid w:val="0037564C"/>
    <w:rsid w:val="003757AC"/>
    <w:rsid w:val="00375989"/>
    <w:rsid w:val="003759A8"/>
    <w:rsid w:val="00375B5C"/>
    <w:rsid w:val="00376372"/>
    <w:rsid w:val="0037646F"/>
    <w:rsid w:val="003767BD"/>
    <w:rsid w:val="0037683F"/>
    <w:rsid w:val="00376F1E"/>
    <w:rsid w:val="00376FB0"/>
    <w:rsid w:val="003770C9"/>
    <w:rsid w:val="00377368"/>
    <w:rsid w:val="0037755C"/>
    <w:rsid w:val="003778AD"/>
    <w:rsid w:val="0037797A"/>
    <w:rsid w:val="00377B40"/>
    <w:rsid w:val="0038021F"/>
    <w:rsid w:val="003802AE"/>
    <w:rsid w:val="003808C3"/>
    <w:rsid w:val="00380CC5"/>
    <w:rsid w:val="0038130E"/>
    <w:rsid w:val="00381402"/>
    <w:rsid w:val="00381422"/>
    <w:rsid w:val="0038182C"/>
    <w:rsid w:val="0038189D"/>
    <w:rsid w:val="00382053"/>
    <w:rsid w:val="00382111"/>
    <w:rsid w:val="0038236B"/>
    <w:rsid w:val="00382531"/>
    <w:rsid w:val="00382590"/>
    <w:rsid w:val="00382694"/>
    <w:rsid w:val="0038281C"/>
    <w:rsid w:val="00382D69"/>
    <w:rsid w:val="00382F6E"/>
    <w:rsid w:val="003830E1"/>
    <w:rsid w:val="003831FB"/>
    <w:rsid w:val="0038328D"/>
    <w:rsid w:val="00383874"/>
    <w:rsid w:val="003839B9"/>
    <w:rsid w:val="00383A82"/>
    <w:rsid w:val="0038457B"/>
    <w:rsid w:val="003849B9"/>
    <w:rsid w:val="00384A38"/>
    <w:rsid w:val="00384DF7"/>
    <w:rsid w:val="003850DC"/>
    <w:rsid w:val="0038516B"/>
    <w:rsid w:val="003852D3"/>
    <w:rsid w:val="003857B9"/>
    <w:rsid w:val="0038599F"/>
    <w:rsid w:val="00385A64"/>
    <w:rsid w:val="00385B18"/>
    <w:rsid w:val="00385BC6"/>
    <w:rsid w:val="00385CA7"/>
    <w:rsid w:val="00385D20"/>
    <w:rsid w:val="00385E7C"/>
    <w:rsid w:val="003862B9"/>
    <w:rsid w:val="003868CF"/>
    <w:rsid w:val="00386D1A"/>
    <w:rsid w:val="0038717A"/>
    <w:rsid w:val="00387409"/>
    <w:rsid w:val="003874FE"/>
    <w:rsid w:val="0038760B"/>
    <w:rsid w:val="003901BE"/>
    <w:rsid w:val="0039035F"/>
    <w:rsid w:val="0039045D"/>
    <w:rsid w:val="00390A7C"/>
    <w:rsid w:val="00390C16"/>
    <w:rsid w:val="00391479"/>
    <w:rsid w:val="0039182E"/>
    <w:rsid w:val="00391913"/>
    <w:rsid w:val="003919E5"/>
    <w:rsid w:val="00391BE4"/>
    <w:rsid w:val="00391C4B"/>
    <w:rsid w:val="00391CB8"/>
    <w:rsid w:val="00391DD1"/>
    <w:rsid w:val="00391E4E"/>
    <w:rsid w:val="00391F8E"/>
    <w:rsid w:val="00392423"/>
    <w:rsid w:val="00392544"/>
    <w:rsid w:val="00392767"/>
    <w:rsid w:val="00392AE5"/>
    <w:rsid w:val="00392B11"/>
    <w:rsid w:val="00392D13"/>
    <w:rsid w:val="00392EBF"/>
    <w:rsid w:val="00392F69"/>
    <w:rsid w:val="00393264"/>
    <w:rsid w:val="003933EC"/>
    <w:rsid w:val="0039342B"/>
    <w:rsid w:val="0039343F"/>
    <w:rsid w:val="00393839"/>
    <w:rsid w:val="00393B35"/>
    <w:rsid w:val="00393E84"/>
    <w:rsid w:val="00393F1A"/>
    <w:rsid w:val="00393F90"/>
    <w:rsid w:val="003941E2"/>
    <w:rsid w:val="003947D8"/>
    <w:rsid w:val="0039483E"/>
    <w:rsid w:val="00394961"/>
    <w:rsid w:val="00394C83"/>
    <w:rsid w:val="00394F69"/>
    <w:rsid w:val="00395081"/>
    <w:rsid w:val="0039520D"/>
    <w:rsid w:val="003956BB"/>
    <w:rsid w:val="003957B8"/>
    <w:rsid w:val="00395D10"/>
    <w:rsid w:val="00395DC5"/>
    <w:rsid w:val="00396294"/>
    <w:rsid w:val="003962D3"/>
    <w:rsid w:val="00396339"/>
    <w:rsid w:val="00396551"/>
    <w:rsid w:val="0039673E"/>
    <w:rsid w:val="0039681B"/>
    <w:rsid w:val="00396A9D"/>
    <w:rsid w:val="00396C41"/>
    <w:rsid w:val="00396E88"/>
    <w:rsid w:val="00396E94"/>
    <w:rsid w:val="00396EB1"/>
    <w:rsid w:val="00396EBF"/>
    <w:rsid w:val="0039715F"/>
    <w:rsid w:val="00397163"/>
    <w:rsid w:val="00397170"/>
    <w:rsid w:val="0039754E"/>
    <w:rsid w:val="003979C8"/>
    <w:rsid w:val="00397B00"/>
    <w:rsid w:val="003A0050"/>
    <w:rsid w:val="003A0202"/>
    <w:rsid w:val="003A0249"/>
    <w:rsid w:val="003A04B8"/>
    <w:rsid w:val="003A0680"/>
    <w:rsid w:val="003A096A"/>
    <w:rsid w:val="003A097A"/>
    <w:rsid w:val="003A09CE"/>
    <w:rsid w:val="003A0E80"/>
    <w:rsid w:val="003A0FB9"/>
    <w:rsid w:val="003A119A"/>
    <w:rsid w:val="003A12AC"/>
    <w:rsid w:val="003A14C4"/>
    <w:rsid w:val="003A16CB"/>
    <w:rsid w:val="003A1845"/>
    <w:rsid w:val="003A1C85"/>
    <w:rsid w:val="003A2152"/>
    <w:rsid w:val="003A234C"/>
    <w:rsid w:val="003A251B"/>
    <w:rsid w:val="003A2EE8"/>
    <w:rsid w:val="003A30A8"/>
    <w:rsid w:val="003A3433"/>
    <w:rsid w:val="003A3707"/>
    <w:rsid w:val="003A3918"/>
    <w:rsid w:val="003A3D42"/>
    <w:rsid w:val="003A41BA"/>
    <w:rsid w:val="003A44B4"/>
    <w:rsid w:val="003A4546"/>
    <w:rsid w:val="003A45ED"/>
    <w:rsid w:val="003A4620"/>
    <w:rsid w:val="003A4927"/>
    <w:rsid w:val="003A4B64"/>
    <w:rsid w:val="003A4C32"/>
    <w:rsid w:val="003A4D27"/>
    <w:rsid w:val="003A4ED9"/>
    <w:rsid w:val="003A51C9"/>
    <w:rsid w:val="003A51F5"/>
    <w:rsid w:val="003A537E"/>
    <w:rsid w:val="003A55AC"/>
    <w:rsid w:val="003A5610"/>
    <w:rsid w:val="003A5EDC"/>
    <w:rsid w:val="003A633C"/>
    <w:rsid w:val="003A6480"/>
    <w:rsid w:val="003A660F"/>
    <w:rsid w:val="003A693E"/>
    <w:rsid w:val="003A6A11"/>
    <w:rsid w:val="003A6B70"/>
    <w:rsid w:val="003A6C8B"/>
    <w:rsid w:val="003A6D74"/>
    <w:rsid w:val="003A70D8"/>
    <w:rsid w:val="003A734C"/>
    <w:rsid w:val="003A7595"/>
    <w:rsid w:val="003A7894"/>
    <w:rsid w:val="003A7908"/>
    <w:rsid w:val="003A79A4"/>
    <w:rsid w:val="003B0047"/>
    <w:rsid w:val="003B021C"/>
    <w:rsid w:val="003B023E"/>
    <w:rsid w:val="003B0833"/>
    <w:rsid w:val="003B095E"/>
    <w:rsid w:val="003B0A5C"/>
    <w:rsid w:val="003B0A95"/>
    <w:rsid w:val="003B0C49"/>
    <w:rsid w:val="003B1541"/>
    <w:rsid w:val="003B1767"/>
    <w:rsid w:val="003B181F"/>
    <w:rsid w:val="003B1AD1"/>
    <w:rsid w:val="003B1B77"/>
    <w:rsid w:val="003B1CFB"/>
    <w:rsid w:val="003B1D88"/>
    <w:rsid w:val="003B1E6B"/>
    <w:rsid w:val="003B25F1"/>
    <w:rsid w:val="003B2652"/>
    <w:rsid w:val="003B26E4"/>
    <w:rsid w:val="003B27A3"/>
    <w:rsid w:val="003B2813"/>
    <w:rsid w:val="003B2AAB"/>
    <w:rsid w:val="003B2D4A"/>
    <w:rsid w:val="003B2F30"/>
    <w:rsid w:val="003B3157"/>
    <w:rsid w:val="003B31F5"/>
    <w:rsid w:val="003B3379"/>
    <w:rsid w:val="003B366F"/>
    <w:rsid w:val="003B3C35"/>
    <w:rsid w:val="003B3D3B"/>
    <w:rsid w:val="003B3D93"/>
    <w:rsid w:val="003B3DDC"/>
    <w:rsid w:val="003B3F63"/>
    <w:rsid w:val="003B4075"/>
    <w:rsid w:val="003B478E"/>
    <w:rsid w:val="003B47A7"/>
    <w:rsid w:val="003B4E47"/>
    <w:rsid w:val="003B50E3"/>
    <w:rsid w:val="003B5142"/>
    <w:rsid w:val="003B5403"/>
    <w:rsid w:val="003B5907"/>
    <w:rsid w:val="003B5BA3"/>
    <w:rsid w:val="003B5D8B"/>
    <w:rsid w:val="003B670C"/>
    <w:rsid w:val="003B6906"/>
    <w:rsid w:val="003B6A01"/>
    <w:rsid w:val="003B6E28"/>
    <w:rsid w:val="003B6E69"/>
    <w:rsid w:val="003B6EA5"/>
    <w:rsid w:val="003B6EB9"/>
    <w:rsid w:val="003B6EBF"/>
    <w:rsid w:val="003B7108"/>
    <w:rsid w:val="003B7303"/>
    <w:rsid w:val="003B75F1"/>
    <w:rsid w:val="003B7656"/>
    <w:rsid w:val="003B76AF"/>
    <w:rsid w:val="003B76E0"/>
    <w:rsid w:val="003B772F"/>
    <w:rsid w:val="003B7DAD"/>
    <w:rsid w:val="003C0127"/>
    <w:rsid w:val="003C055D"/>
    <w:rsid w:val="003C0601"/>
    <w:rsid w:val="003C0715"/>
    <w:rsid w:val="003C091E"/>
    <w:rsid w:val="003C0AFE"/>
    <w:rsid w:val="003C0BD6"/>
    <w:rsid w:val="003C0EAF"/>
    <w:rsid w:val="003C10AA"/>
    <w:rsid w:val="003C1305"/>
    <w:rsid w:val="003C1555"/>
    <w:rsid w:val="003C1582"/>
    <w:rsid w:val="003C162C"/>
    <w:rsid w:val="003C1862"/>
    <w:rsid w:val="003C1A9F"/>
    <w:rsid w:val="003C1C53"/>
    <w:rsid w:val="003C2565"/>
    <w:rsid w:val="003C2902"/>
    <w:rsid w:val="003C2A0B"/>
    <w:rsid w:val="003C347F"/>
    <w:rsid w:val="003C3523"/>
    <w:rsid w:val="003C36F5"/>
    <w:rsid w:val="003C3EED"/>
    <w:rsid w:val="003C407B"/>
    <w:rsid w:val="003C44FF"/>
    <w:rsid w:val="003C46AE"/>
    <w:rsid w:val="003C4F37"/>
    <w:rsid w:val="003C50F4"/>
    <w:rsid w:val="003C549A"/>
    <w:rsid w:val="003C54D2"/>
    <w:rsid w:val="003C552E"/>
    <w:rsid w:val="003C55F0"/>
    <w:rsid w:val="003C568B"/>
    <w:rsid w:val="003C5CDA"/>
    <w:rsid w:val="003C5E0E"/>
    <w:rsid w:val="003C5E7B"/>
    <w:rsid w:val="003C640E"/>
    <w:rsid w:val="003C64AE"/>
    <w:rsid w:val="003C665F"/>
    <w:rsid w:val="003C6686"/>
    <w:rsid w:val="003C66F6"/>
    <w:rsid w:val="003C677D"/>
    <w:rsid w:val="003C67DC"/>
    <w:rsid w:val="003C6819"/>
    <w:rsid w:val="003C682D"/>
    <w:rsid w:val="003C6A73"/>
    <w:rsid w:val="003C6BCB"/>
    <w:rsid w:val="003C6C65"/>
    <w:rsid w:val="003C6E58"/>
    <w:rsid w:val="003C6EFF"/>
    <w:rsid w:val="003C6FA9"/>
    <w:rsid w:val="003C6FAD"/>
    <w:rsid w:val="003C6FF1"/>
    <w:rsid w:val="003C7320"/>
    <w:rsid w:val="003C751B"/>
    <w:rsid w:val="003C76ED"/>
    <w:rsid w:val="003C777E"/>
    <w:rsid w:val="003C77FC"/>
    <w:rsid w:val="003C7D54"/>
    <w:rsid w:val="003D04A3"/>
    <w:rsid w:val="003D0700"/>
    <w:rsid w:val="003D096F"/>
    <w:rsid w:val="003D0CB1"/>
    <w:rsid w:val="003D0D50"/>
    <w:rsid w:val="003D105C"/>
    <w:rsid w:val="003D1087"/>
    <w:rsid w:val="003D1182"/>
    <w:rsid w:val="003D11A9"/>
    <w:rsid w:val="003D1325"/>
    <w:rsid w:val="003D1393"/>
    <w:rsid w:val="003D1451"/>
    <w:rsid w:val="003D15D0"/>
    <w:rsid w:val="003D180F"/>
    <w:rsid w:val="003D19DD"/>
    <w:rsid w:val="003D1A97"/>
    <w:rsid w:val="003D1B07"/>
    <w:rsid w:val="003D1BA0"/>
    <w:rsid w:val="003D1F97"/>
    <w:rsid w:val="003D1FB3"/>
    <w:rsid w:val="003D2480"/>
    <w:rsid w:val="003D2657"/>
    <w:rsid w:val="003D2990"/>
    <w:rsid w:val="003D2A17"/>
    <w:rsid w:val="003D2A37"/>
    <w:rsid w:val="003D2AF4"/>
    <w:rsid w:val="003D2CB1"/>
    <w:rsid w:val="003D2D12"/>
    <w:rsid w:val="003D2D17"/>
    <w:rsid w:val="003D2D37"/>
    <w:rsid w:val="003D2E43"/>
    <w:rsid w:val="003D3060"/>
    <w:rsid w:val="003D3358"/>
    <w:rsid w:val="003D339F"/>
    <w:rsid w:val="003D3E6A"/>
    <w:rsid w:val="003D3EFE"/>
    <w:rsid w:val="003D418A"/>
    <w:rsid w:val="003D43D9"/>
    <w:rsid w:val="003D43F5"/>
    <w:rsid w:val="003D4433"/>
    <w:rsid w:val="003D4A51"/>
    <w:rsid w:val="003D4EC0"/>
    <w:rsid w:val="003D4F17"/>
    <w:rsid w:val="003D536D"/>
    <w:rsid w:val="003D550A"/>
    <w:rsid w:val="003D55F1"/>
    <w:rsid w:val="003D5658"/>
    <w:rsid w:val="003D5871"/>
    <w:rsid w:val="003D588E"/>
    <w:rsid w:val="003D591B"/>
    <w:rsid w:val="003D5DBF"/>
    <w:rsid w:val="003D5F33"/>
    <w:rsid w:val="003D610B"/>
    <w:rsid w:val="003D69EF"/>
    <w:rsid w:val="003D7257"/>
    <w:rsid w:val="003D7877"/>
    <w:rsid w:val="003D7B08"/>
    <w:rsid w:val="003D7CA6"/>
    <w:rsid w:val="003D7E4F"/>
    <w:rsid w:val="003D7F97"/>
    <w:rsid w:val="003E03B1"/>
    <w:rsid w:val="003E03E3"/>
    <w:rsid w:val="003E052A"/>
    <w:rsid w:val="003E070C"/>
    <w:rsid w:val="003E072E"/>
    <w:rsid w:val="003E0777"/>
    <w:rsid w:val="003E07A6"/>
    <w:rsid w:val="003E0A4A"/>
    <w:rsid w:val="003E0AA0"/>
    <w:rsid w:val="003E0AE6"/>
    <w:rsid w:val="003E0D17"/>
    <w:rsid w:val="003E0EDB"/>
    <w:rsid w:val="003E12C1"/>
    <w:rsid w:val="003E158F"/>
    <w:rsid w:val="003E19D8"/>
    <w:rsid w:val="003E20D8"/>
    <w:rsid w:val="003E2142"/>
    <w:rsid w:val="003E239B"/>
    <w:rsid w:val="003E2693"/>
    <w:rsid w:val="003E2C86"/>
    <w:rsid w:val="003E2EEF"/>
    <w:rsid w:val="003E30B7"/>
    <w:rsid w:val="003E3AE8"/>
    <w:rsid w:val="003E42FB"/>
    <w:rsid w:val="003E4AAB"/>
    <w:rsid w:val="003E525A"/>
    <w:rsid w:val="003E552C"/>
    <w:rsid w:val="003E561B"/>
    <w:rsid w:val="003E57D6"/>
    <w:rsid w:val="003E5C65"/>
    <w:rsid w:val="003E5EF8"/>
    <w:rsid w:val="003E5FEA"/>
    <w:rsid w:val="003E6196"/>
    <w:rsid w:val="003E61D3"/>
    <w:rsid w:val="003E6224"/>
    <w:rsid w:val="003E6475"/>
    <w:rsid w:val="003E66D9"/>
    <w:rsid w:val="003E6848"/>
    <w:rsid w:val="003E686F"/>
    <w:rsid w:val="003E6D38"/>
    <w:rsid w:val="003E6F77"/>
    <w:rsid w:val="003E71E2"/>
    <w:rsid w:val="003E7329"/>
    <w:rsid w:val="003E749D"/>
    <w:rsid w:val="003E74DC"/>
    <w:rsid w:val="003E75C4"/>
    <w:rsid w:val="003E7A35"/>
    <w:rsid w:val="003E7CD0"/>
    <w:rsid w:val="003E7FCA"/>
    <w:rsid w:val="003F01A4"/>
    <w:rsid w:val="003F0887"/>
    <w:rsid w:val="003F094F"/>
    <w:rsid w:val="003F0ABD"/>
    <w:rsid w:val="003F0B16"/>
    <w:rsid w:val="003F0C3B"/>
    <w:rsid w:val="003F105A"/>
    <w:rsid w:val="003F15D0"/>
    <w:rsid w:val="003F1B1E"/>
    <w:rsid w:val="003F1CA3"/>
    <w:rsid w:val="003F1DD1"/>
    <w:rsid w:val="003F1EC5"/>
    <w:rsid w:val="003F1F74"/>
    <w:rsid w:val="003F237D"/>
    <w:rsid w:val="003F27D3"/>
    <w:rsid w:val="003F2903"/>
    <w:rsid w:val="003F2948"/>
    <w:rsid w:val="003F2CC6"/>
    <w:rsid w:val="003F2F6D"/>
    <w:rsid w:val="003F3159"/>
    <w:rsid w:val="003F3501"/>
    <w:rsid w:val="003F3695"/>
    <w:rsid w:val="003F39C6"/>
    <w:rsid w:val="003F3A00"/>
    <w:rsid w:val="003F3D7A"/>
    <w:rsid w:val="003F3DAC"/>
    <w:rsid w:val="003F42CE"/>
    <w:rsid w:val="003F4519"/>
    <w:rsid w:val="003F4672"/>
    <w:rsid w:val="003F4968"/>
    <w:rsid w:val="003F4AFF"/>
    <w:rsid w:val="003F4B7F"/>
    <w:rsid w:val="003F4E3B"/>
    <w:rsid w:val="003F4E3C"/>
    <w:rsid w:val="003F4EF0"/>
    <w:rsid w:val="003F5125"/>
    <w:rsid w:val="003F553F"/>
    <w:rsid w:val="003F57E2"/>
    <w:rsid w:val="003F57E6"/>
    <w:rsid w:val="003F5ADB"/>
    <w:rsid w:val="003F6163"/>
    <w:rsid w:val="003F6199"/>
    <w:rsid w:val="003F61AA"/>
    <w:rsid w:val="003F6248"/>
    <w:rsid w:val="003F62A5"/>
    <w:rsid w:val="003F7146"/>
    <w:rsid w:val="003F74BE"/>
    <w:rsid w:val="003F76FA"/>
    <w:rsid w:val="003F77CC"/>
    <w:rsid w:val="003F7920"/>
    <w:rsid w:val="003F79FC"/>
    <w:rsid w:val="003F7B12"/>
    <w:rsid w:val="003F7BBA"/>
    <w:rsid w:val="003F7CBA"/>
    <w:rsid w:val="00400145"/>
    <w:rsid w:val="004003F9"/>
    <w:rsid w:val="004010F6"/>
    <w:rsid w:val="004012DF"/>
    <w:rsid w:val="00401482"/>
    <w:rsid w:val="004014E3"/>
    <w:rsid w:val="004015DE"/>
    <w:rsid w:val="00401769"/>
    <w:rsid w:val="00401A26"/>
    <w:rsid w:val="00401A61"/>
    <w:rsid w:val="00401E62"/>
    <w:rsid w:val="00401E77"/>
    <w:rsid w:val="00401F14"/>
    <w:rsid w:val="00402556"/>
    <w:rsid w:val="00402CD7"/>
    <w:rsid w:val="00402F30"/>
    <w:rsid w:val="004033BF"/>
    <w:rsid w:val="004035A0"/>
    <w:rsid w:val="004036EA"/>
    <w:rsid w:val="00403718"/>
    <w:rsid w:val="0040397A"/>
    <w:rsid w:val="00403A91"/>
    <w:rsid w:val="00403C05"/>
    <w:rsid w:val="00403C99"/>
    <w:rsid w:val="00403D7E"/>
    <w:rsid w:val="00403E2E"/>
    <w:rsid w:val="004042C3"/>
    <w:rsid w:val="0040437A"/>
    <w:rsid w:val="004044F2"/>
    <w:rsid w:val="004046B3"/>
    <w:rsid w:val="00404945"/>
    <w:rsid w:val="00404B7C"/>
    <w:rsid w:val="00404BEA"/>
    <w:rsid w:val="00404C3E"/>
    <w:rsid w:val="00404D00"/>
    <w:rsid w:val="00404EED"/>
    <w:rsid w:val="00405140"/>
    <w:rsid w:val="00405358"/>
    <w:rsid w:val="00405700"/>
    <w:rsid w:val="00405836"/>
    <w:rsid w:val="00405903"/>
    <w:rsid w:val="00405ABF"/>
    <w:rsid w:val="00405D44"/>
    <w:rsid w:val="0040607B"/>
    <w:rsid w:val="004062E2"/>
    <w:rsid w:val="0040651C"/>
    <w:rsid w:val="004067E0"/>
    <w:rsid w:val="00406984"/>
    <w:rsid w:val="00406A60"/>
    <w:rsid w:val="00406B6C"/>
    <w:rsid w:val="00406BD3"/>
    <w:rsid w:val="00406C55"/>
    <w:rsid w:val="00406D0B"/>
    <w:rsid w:val="00407222"/>
    <w:rsid w:val="004073DC"/>
    <w:rsid w:val="0040756A"/>
    <w:rsid w:val="00407619"/>
    <w:rsid w:val="00407836"/>
    <w:rsid w:val="004078C3"/>
    <w:rsid w:val="004078DE"/>
    <w:rsid w:val="00407FEE"/>
    <w:rsid w:val="0041008B"/>
    <w:rsid w:val="004102A5"/>
    <w:rsid w:val="004105D1"/>
    <w:rsid w:val="004108CF"/>
    <w:rsid w:val="00410A4E"/>
    <w:rsid w:val="00411122"/>
    <w:rsid w:val="004112C2"/>
    <w:rsid w:val="0041193A"/>
    <w:rsid w:val="00411C8F"/>
    <w:rsid w:val="00411D0E"/>
    <w:rsid w:val="00411EA8"/>
    <w:rsid w:val="00411F2D"/>
    <w:rsid w:val="00411F9A"/>
    <w:rsid w:val="004121D6"/>
    <w:rsid w:val="00412251"/>
    <w:rsid w:val="0041244A"/>
    <w:rsid w:val="00412547"/>
    <w:rsid w:val="0041271B"/>
    <w:rsid w:val="00412994"/>
    <w:rsid w:val="00412B2F"/>
    <w:rsid w:val="00412C9C"/>
    <w:rsid w:val="0041312D"/>
    <w:rsid w:val="004136D2"/>
    <w:rsid w:val="004137BD"/>
    <w:rsid w:val="0041394B"/>
    <w:rsid w:val="00413BC5"/>
    <w:rsid w:val="00413FE6"/>
    <w:rsid w:val="0041421F"/>
    <w:rsid w:val="00414257"/>
    <w:rsid w:val="004143C5"/>
    <w:rsid w:val="00414755"/>
    <w:rsid w:val="004147FD"/>
    <w:rsid w:val="00414877"/>
    <w:rsid w:val="004148EE"/>
    <w:rsid w:val="0041498A"/>
    <w:rsid w:val="00414AC1"/>
    <w:rsid w:val="00414FDC"/>
    <w:rsid w:val="004152F7"/>
    <w:rsid w:val="00415377"/>
    <w:rsid w:val="0041557C"/>
    <w:rsid w:val="00415743"/>
    <w:rsid w:val="00415936"/>
    <w:rsid w:val="00415E6C"/>
    <w:rsid w:val="00416171"/>
    <w:rsid w:val="004161A1"/>
    <w:rsid w:val="004161FA"/>
    <w:rsid w:val="00416479"/>
    <w:rsid w:val="00416782"/>
    <w:rsid w:val="0041685C"/>
    <w:rsid w:val="00416C31"/>
    <w:rsid w:val="00416CDB"/>
    <w:rsid w:val="00416EC9"/>
    <w:rsid w:val="00416EF0"/>
    <w:rsid w:val="00417169"/>
    <w:rsid w:val="00417264"/>
    <w:rsid w:val="00417381"/>
    <w:rsid w:val="00417927"/>
    <w:rsid w:val="00417B34"/>
    <w:rsid w:val="00417C95"/>
    <w:rsid w:val="00417D53"/>
    <w:rsid w:val="00417E7D"/>
    <w:rsid w:val="0042041D"/>
    <w:rsid w:val="00420540"/>
    <w:rsid w:val="004205A5"/>
    <w:rsid w:val="00420AB1"/>
    <w:rsid w:val="00421003"/>
    <w:rsid w:val="0042142E"/>
    <w:rsid w:val="00421441"/>
    <w:rsid w:val="00421450"/>
    <w:rsid w:val="00421532"/>
    <w:rsid w:val="00421B07"/>
    <w:rsid w:val="00421B1E"/>
    <w:rsid w:val="00421B77"/>
    <w:rsid w:val="00421DD9"/>
    <w:rsid w:val="004226AD"/>
    <w:rsid w:val="004227B0"/>
    <w:rsid w:val="004227BF"/>
    <w:rsid w:val="00422811"/>
    <w:rsid w:val="004229A2"/>
    <w:rsid w:val="00422AA2"/>
    <w:rsid w:val="00422B67"/>
    <w:rsid w:val="00422F23"/>
    <w:rsid w:val="00422F50"/>
    <w:rsid w:val="004230DC"/>
    <w:rsid w:val="00423262"/>
    <w:rsid w:val="004235CC"/>
    <w:rsid w:val="00423747"/>
    <w:rsid w:val="004237FD"/>
    <w:rsid w:val="00423A65"/>
    <w:rsid w:val="00423BF8"/>
    <w:rsid w:val="00423F3A"/>
    <w:rsid w:val="0042443B"/>
    <w:rsid w:val="00424588"/>
    <w:rsid w:val="00424667"/>
    <w:rsid w:val="00425029"/>
    <w:rsid w:val="00425A9F"/>
    <w:rsid w:val="00425B0D"/>
    <w:rsid w:val="00425D0A"/>
    <w:rsid w:val="00425FF7"/>
    <w:rsid w:val="00426090"/>
    <w:rsid w:val="0042616B"/>
    <w:rsid w:val="004266BF"/>
    <w:rsid w:val="00426C29"/>
    <w:rsid w:val="00426CD0"/>
    <w:rsid w:val="00426CF2"/>
    <w:rsid w:val="00426CF5"/>
    <w:rsid w:val="00426ECB"/>
    <w:rsid w:val="004270C3"/>
    <w:rsid w:val="00427392"/>
    <w:rsid w:val="004273AD"/>
    <w:rsid w:val="0042778E"/>
    <w:rsid w:val="00427E55"/>
    <w:rsid w:val="0043007D"/>
    <w:rsid w:val="00430587"/>
    <w:rsid w:val="004306DA"/>
    <w:rsid w:val="00430EB0"/>
    <w:rsid w:val="00431093"/>
    <w:rsid w:val="00431186"/>
    <w:rsid w:val="004314E4"/>
    <w:rsid w:val="00431510"/>
    <w:rsid w:val="00431549"/>
    <w:rsid w:val="0043172E"/>
    <w:rsid w:val="00431875"/>
    <w:rsid w:val="00431AB8"/>
    <w:rsid w:val="00431E33"/>
    <w:rsid w:val="004325E2"/>
    <w:rsid w:val="00432749"/>
    <w:rsid w:val="00432CD2"/>
    <w:rsid w:val="00432D7D"/>
    <w:rsid w:val="00432F7D"/>
    <w:rsid w:val="00433653"/>
    <w:rsid w:val="00433689"/>
    <w:rsid w:val="00433804"/>
    <w:rsid w:val="00434676"/>
    <w:rsid w:val="00434DE8"/>
    <w:rsid w:val="004351A7"/>
    <w:rsid w:val="004354AD"/>
    <w:rsid w:val="00435532"/>
    <w:rsid w:val="00435A32"/>
    <w:rsid w:val="00435A41"/>
    <w:rsid w:val="00435C06"/>
    <w:rsid w:val="00435EFE"/>
    <w:rsid w:val="00435FB7"/>
    <w:rsid w:val="00436192"/>
    <w:rsid w:val="004362D8"/>
    <w:rsid w:val="0043699C"/>
    <w:rsid w:val="00436BE0"/>
    <w:rsid w:val="00436C31"/>
    <w:rsid w:val="0043710F"/>
    <w:rsid w:val="00437435"/>
    <w:rsid w:val="00437A8E"/>
    <w:rsid w:val="00437ADC"/>
    <w:rsid w:val="00437BB5"/>
    <w:rsid w:val="00437BF7"/>
    <w:rsid w:val="00437DA7"/>
    <w:rsid w:val="0044088E"/>
    <w:rsid w:val="00440B89"/>
    <w:rsid w:val="0044115E"/>
    <w:rsid w:val="0044167B"/>
    <w:rsid w:val="004416CD"/>
    <w:rsid w:val="004418B6"/>
    <w:rsid w:val="00441962"/>
    <w:rsid w:val="004419C4"/>
    <w:rsid w:val="00441A09"/>
    <w:rsid w:val="00441C1D"/>
    <w:rsid w:val="00441F04"/>
    <w:rsid w:val="00442745"/>
    <w:rsid w:val="004428C3"/>
    <w:rsid w:val="00442A7E"/>
    <w:rsid w:val="00442F37"/>
    <w:rsid w:val="00443116"/>
    <w:rsid w:val="004431FF"/>
    <w:rsid w:val="00443831"/>
    <w:rsid w:val="00443EA6"/>
    <w:rsid w:val="00444019"/>
    <w:rsid w:val="00444092"/>
    <w:rsid w:val="00444159"/>
    <w:rsid w:val="004441DF"/>
    <w:rsid w:val="004447EC"/>
    <w:rsid w:val="0044492A"/>
    <w:rsid w:val="00444B7E"/>
    <w:rsid w:val="00444BF7"/>
    <w:rsid w:val="00444CBA"/>
    <w:rsid w:val="00444D28"/>
    <w:rsid w:val="00444EDC"/>
    <w:rsid w:val="00445219"/>
    <w:rsid w:val="004457EA"/>
    <w:rsid w:val="00445B20"/>
    <w:rsid w:val="00445C56"/>
    <w:rsid w:val="00445C71"/>
    <w:rsid w:val="00446053"/>
    <w:rsid w:val="0044609E"/>
    <w:rsid w:val="004460E4"/>
    <w:rsid w:val="00446551"/>
    <w:rsid w:val="004465BA"/>
    <w:rsid w:val="00446823"/>
    <w:rsid w:val="004468BA"/>
    <w:rsid w:val="00446E27"/>
    <w:rsid w:val="00446E3A"/>
    <w:rsid w:val="00446E62"/>
    <w:rsid w:val="00447347"/>
    <w:rsid w:val="004474BF"/>
    <w:rsid w:val="00447AF8"/>
    <w:rsid w:val="00447BE6"/>
    <w:rsid w:val="00447F2E"/>
    <w:rsid w:val="00450201"/>
    <w:rsid w:val="0045039D"/>
    <w:rsid w:val="004504BA"/>
    <w:rsid w:val="004509E4"/>
    <w:rsid w:val="004510B2"/>
    <w:rsid w:val="004511A7"/>
    <w:rsid w:val="004511B4"/>
    <w:rsid w:val="00451613"/>
    <w:rsid w:val="0045172D"/>
    <w:rsid w:val="00451844"/>
    <w:rsid w:val="00451A48"/>
    <w:rsid w:val="00452047"/>
    <w:rsid w:val="00452319"/>
    <w:rsid w:val="00452402"/>
    <w:rsid w:val="004525B1"/>
    <w:rsid w:val="0045263A"/>
    <w:rsid w:val="00452AAF"/>
    <w:rsid w:val="00452C26"/>
    <w:rsid w:val="0045313B"/>
    <w:rsid w:val="0045320A"/>
    <w:rsid w:val="004535F4"/>
    <w:rsid w:val="00453710"/>
    <w:rsid w:val="0045389C"/>
    <w:rsid w:val="00453BAE"/>
    <w:rsid w:val="00453D59"/>
    <w:rsid w:val="004540F3"/>
    <w:rsid w:val="004541AB"/>
    <w:rsid w:val="004542E3"/>
    <w:rsid w:val="004546DA"/>
    <w:rsid w:val="004548E9"/>
    <w:rsid w:val="00454945"/>
    <w:rsid w:val="00454A64"/>
    <w:rsid w:val="00454B83"/>
    <w:rsid w:val="00454C42"/>
    <w:rsid w:val="00455031"/>
    <w:rsid w:val="0045534B"/>
    <w:rsid w:val="00455377"/>
    <w:rsid w:val="0045564D"/>
    <w:rsid w:val="00456062"/>
    <w:rsid w:val="004561F9"/>
    <w:rsid w:val="0045621F"/>
    <w:rsid w:val="00456242"/>
    <w:rsid w:val="00456B2C"/>
    <w:rsid w:val="00456BBE"/>
    <w:rsid w:val="00456BD3"/>
    <w:rsid w:val="00456C55"/>
    <w:rsid w:val="00456F4B"/>
    <w:rsid w:val="00456F9D"/>
    <w:rsid w:val="00457246"/>
    <w:rsid w:val="00457408"/>
    <w:rsid w:val="0045752E"/>
    <w:rsid w:val="0045754A"/>
    <w:rsid w:val="00457732"/>
    <w:rsid w:val="00457772"/>
    <w:rsid w:val="0045792B"/>
    <w:rsid w:val="00457F12"/>
    <w:rsid w:val="00460119"/>
    <w:rsid w:val="004601DF"/>
    <w:rsid w:val="004602CC"/>
    <w:rsid w:val="004602E5"/>
    <w:rsid w:val="00460312"/>
    <w:rsid w:val="00460494"/>
    <w:rsid w:val="0046053A"/>
    <w:rsid w:val="0046089D"/>
    <w:rsid w:val="00460B6A"/>
    <w:rsid w:val="00460BCD"/>
    <w:rsid w:val="00460DDB"/>
    <w:rsid w:val="0046102A"/>
    <w:rsid w:val="004610B5"/>
    <w:rsid w:val="004612DC"/>
    <w:rsid w:val="004613ED"/>
    <w:rsid w:val="00461450"/>
    <w:rsid w:val="00461663"/>
    <w:rsid w:val="00461873"/>
    <w:rsid w:val="004619BB"/>
    <w:rsid w:val="00461C0E"/>
    <w:rsid w:val="00461D6D"/>
    <w:rsid w:val="0046263B"/>
    <w:rsid w:val="004626E2"/>
    <w:rsid w:val="00463459"/>
    <w:rsid w:val="004634B8"/>
    <w:rsid w:val="00463A9B"/>
    <w:rsid w:val="00463D4D"/>
    <w:rsid w:val="004640AE"/>
    <w:rsid w:val="0046411E"/>
    <w:rsid w:val="004641B4"/>
    <w:rsid w:val="004643CB"/>
    <w:rsid w:val="00464659"/>
    <w:rsid w:val="00464FBA"/>
    <w:rsid w:val="00465228"/>
    <w:rsid w:val="0046522E"/>
    <w:rsid w:val="0046527B"/>
    <w:rsid w:val="004652FB"/>
    <w:rsid w:val="0046537B"/>
    <w:rsid w:val="004654AB"/>
    <w:rsid w:val="00465601"/>
    <w:rsid w:val="00465781"/>
    <w:rsid w:val="00465879"/>
    <w:rsid w:val="004658E5"/>
    <w:rsid w:val="004659B7"/>
    <w:rsid w:val="004659E9"/>
    <w:rsid w:val="00465A7A"/>
    <w:rsid w:val="00465AF8"/>
    <w:rsid w:val="00465D3F"/>
    <w:rsid w:val="00465D92"/>
    <w:rsid w:val="00465E61"/>
    <w:rsid w:val="00465F3B"/>
    <w:rsid w:val="00465FF1"/>
    <w:rsid w:val="0046600B"/>
    <w:rsid w:val="0046621E"/>
    <w:rsid w:val="00466AC6"/>
    <w:rsid w:val="00466B67"/>
    <w:rsid w:val="00466DD1"/>
    <w:rsid w:val="00466E90"/>
    <w:rsid w:val="00466F46"/>
    <w:rsid w:val="004670B0"/>
    <w:rsid w:val="004673CA"/>
    <w:rsid w:val="004679C0"/>
    <w:rsid w:val="004679CA"/>
    <w:rsid w:val="00467F2D"/>
    <w:rsid w:val="00470080"/>
    <w:rsid w:val="0047035A"/>
    <w:rsid w:val="00470863"/>
    <w:rsid w:val="00470B33"/>
    <w:rsid w:val="00470C6D"/>
    <w:rsid w:val="00470D94"/>
    <w:rsid w:val="00471125"/>
    <w:rsid w:val="00471197"/>
    <w:rsid w:val="00471261"/>
    <w:rsid w:val="0047186C"/>
    <w:rsid w:val="00471A7D"/>
    <w:rsid w:val="00471CDD"/>
    <w:rsid w:val="00471D75"/>
    <w:rsid w:val="00471E8F"/>
    <w:rsid w:val="00471FAB"/>
    <w:rsid w:val="00472074"/>
    <w:rsid w:val="00472378"/>
    <w:rsid w:val="0047257B"/>
    <w:rsid w:val="00472884"/>
    <w:rsid w:val="00472902"/>
    <w:rsid w:val="00472D4D"/>
    <w:rsid w:val="00472E0B"/>
    <w:rsid w:val="00472FC4"/>
    <w:rsid w:val="0047311E"/>
    <w:rsid w:val="00473128"/>
    <w:rsid w:val="00473676"/>
    <w:rsid w:val="00473746"/>
    <w:rsid w:val="00473839"/>
    <w:rsid w:val="004739EA"/>
    <w:rsid w:val="00473B6F"/>
    <w:rsid w:val="00473F48"/>
    <w:rsid w:val="004745DB"/>
    <w:rsid w:val="00474C91"/>
    <w:rsid w:val="00474D7F"/>
    <w:rsid w:val="0047539D"/>
    <w:rsid w:val="00475559"/>
    <w:rsid w:val="004755FA"/>
    <w:rsid w:val="00475B12"/>
    <w:rsid w:val="00475BBF"/>
    <w:rsid w:val="00475C66"/>
    <w:rsid w:val="00475FA1"/>
    <w:rsid w:val="004765DA"/>
    <w:rsid w:val="0047682E"/>
    <w:rsid w:val="00476A52"/>
    <w:rsid w:val="00476B3B"/>
    <w:rsid w:val="00476CBB"/>
    <w:rsid w:val="00476DD5"/>
    <w:rsid w:val="00476E0A"/>
    <w:rsid w:val="0047700B"/>
    <w:rsid w:val="00477127"/>
    <w:rsid w:val="0047719E"/>
    <w:rsid w:val="004775E7"/>
    <w:rsid w:val="004800B3"/>
    <w:rsid w:val="004803F1"/>
    <w:rsid w:val="0048065C"/>
    <w:rsid w:val="00480662"/>
    <w:rsid w:val="004806DB"/>
    <w:rsid w:val="00480FAD"/>
    <w:rsid w:val="004810D7"/>
    <w:rsid w:val="00481155"/>
    <w:rsid w:val="00481170"/>
    <w:rsid w:val="00481321"/>
    <w:rsid w:val="00481549"/>
    <w:rsid w:val="00481797"/>
    <w:rsid w:val="004818E2"/>
    <w:rsid w:val="00481B12"/>
    <w:rsid w:val="00481BE8"/>
    <w:rsid w:val="00481C31"/>
    <w:rsid w:val="00481C34"/>
    <w:rsid w:val="00481E38"/>
    <w:rsid w:val="00481F30"/>
    <w:rsid w:val="00481FF7"/>
    <w:rsid w:val="0048221A"/>
    <w:rsid w:val="00482353"/>
    <w:rsid w:val="004823B4"/>
    <w:rsid w:val="00482533"/>
    <w:rsid w:val="004827EB"/>
    <w:rsid w:val="00482E25"/>
    <w:rsid w:val="004830A2"/>
    <w:rsid w:val="004832C6"/>
    <w:rsid w:val="00483409"/>
    <w:rsid w:val="0048386B"/>
    <w:rsid w:val="0048391B"/>
    <w:rsid w:val="00483AF4"/>
    <w:rsid w:val="00483C65"/>
    <w:rsid w:val="0048406B"/>
    <w:rsid w:val="0048407B"/>
    <w:rsid w:val="004843CF"/>
    <w:rsid w:val="0048464E"/>
    <w:rsid w:val="004846E1"/>
    <w:rsid w:val="00484709"/>
    <w:rsid w:val="0048478C"/>
    <w:rsid w:val="00484814"/>
    <w:rsid w:val="00484BCA"/>
    <w:rsid w:val="00484D3D"/>
    <w:rsid w:val="00485671"/>
    <w:rsid w:val="00485B11"/>
    <w:rsid w:val="00485D05"/>
    <w:rsid w:val="004863D6"/>
    <w:rsid w:val="0048676F"/>
    <w:rsid w:val="00486F4B"/>
    <w:rsid w:val="00487308"/>
    <w:rsid w:val="0048761C"/>
    <w:rsid w:val="00487723"/>
    <w:rsid w:val="00487755"/>
    <w:rsid w:val="004878A2"/>
    <w:rsid w:val="00487A39"/>
    <w:rsid w:val="00487A3C"/>
    <w:rsid w:val="00487B8C"/>
    <w:rsid w:val="00487C47"/>
    <w:rsid w:val="00487FEB"/>
    <w:rsid w:val="004908B7"/>
    <w:rsid w:val="00490A71"/>
    <w:rsid w:val="00490B0C"/>
    <w:rsid w:val="0049110F"/>
    <w:rsid w:val="00491180"/>
    <w:rsid w:val="004911AE"/>
    <w:rsid w:val="004911BA"/>
    <w:rsid w:val="0049127F"/>
    <w:rsid w:val="0049147B"/>
    <w:rsid w:val="00491836"/>
    <w:rsid w:val="004918CF"/>
    <w:rsid w:val="004919DD"/>
    <w:rsid w:val="00491C61"/>
    <w:rsid w:val="00491F6F"/>
    <w:rsid w:val="00492225"/>
    <w:rsid w:val="0049223C"/>
    <w:rsid w:val="00492827"/>
    <w:rsid w:val="0049285D"/>
    <w:rsid w:val="00492DE0"/>
    <w:rsid w:val="00493156"/>
    <w:rsid w:val="0049320F"/>
    <w:rsid w:val="004935EF"/>
    <w:rsid w:val="00493E2D"/>
    <w:rsid w:val="004940F4"/>
    <w:rsid w:val="004943A5"/>
    <w:rsid w:val="004948D6"/>
    <w:rsid w:val="00494B1A"/>
    <w:rsid w:val="00494C3D"/>
    <w:rsid w:val="00494F7C"/>
    <w:rsid w:val="00494FA5"/>
    <w:rsid w:val="00495248"/>
    <w:rsid w:val="0049552A"/>
    <w:rsid w:val="004955C4"/>
    <w:rsid w:val="00495906"/>
    <w:rsid w:val="004959C7"/>
    <w:rsid w:val="00495DCC"/>
    <w:rsid w:val="004960C9"/>
    <w:rsid w:val="0049632F"/>
    <w:rsid w:val="004964FF"/>
    <w:rsid w:val="004968DF"/>
    <w:rsid w:val="00496C45"/>
    <w:rsid w:val="0049728A"/>
    <w:rsid w:val="00497BF8"/>
    <w:rsid w:val="00497EC5"/>
    <w:rsid w:val="004A00B7"/>
    <w:rsid w:val="004A04F8"/>
    <w:rsid w:val="004A0953"/>
    <w:rsid w:val="004A09C1"/>
    <w:rsid w:val="004A0C6D"/>
    <w:rsid w:val="004A0E14"/>
    <w:rsid w:val="004A1A5F"/>
    <w:rsid w:val="004A1E0B"/>
    <w:rsid w:val="004A20CC"/>
    <w:rsid w:val="004A2189"/>
    <w:rsid w:val="004A24DC"/>
    <w:rsid w:val="004A24F7"/>
    <w:rsid w:val="004A2A0E"/>
    <w:rsid w:val="004A2DAA"/>
    <w:rsid w:val="004A2DF5"/>
    <w:rsid w:val="004A2EDF"/>
    <w:rsid w:val="004A3824"/>
    <w:rsid w:val="004A3912"/>
    <w:rsid w:val="004A436A"/>
    <w:rsid w:val="004A46DA"/>
    <w:rsid w:val="004A4725"/>
    <w:rsid w:val="004A485D"/>
    <w:rsid w:val="004A4988"/>
    <w:rsid w:val="004A49BB"/>
    <w:rsid w:val="004A4AC5"/>
    <w:rsid w:val="004A4E5A"/>
    <w:rsid w:val="004A4EF3"/>
    <w:rsid w:val="004A4F32"/>
    <w:rsid w:val="004A5746"/>
    <w:rsid w:val="004A5823"/>
    <w:rsid w:val="004A5ADF"/>
    <w:rsid w:val="004A5E60"/>
    <w:rsid w:val="004A5EF6"/>
    <w:rsid w:val="004A61A4"/>
    <w:rsid w:val="004A637C"/>
    <w:rsid w:val="004A64AA"/>
    <w:rsid w:val="004A64F7"/>
    <w:rsid w:val="004A6524"/>
    <w:rsid w:val="004A652E"/>
    <w:rsid w:val="004A657A"/>
    <w:rsid w:val="004A67AC"/>
    <w:rsid w:val="004A6823"/>
    <w:rsid w:val="004A68E1"/>
    <w:rsid w:val="004A69D5"/>
    <w:rsid w:val="004A6A73"/>
    <w:rsid w:val="004A6C4D"/>
    <w:rsid w:val="004A6D27"/>
    <w:rsid w:val="004A6F36"/>
    <w:rsid w:val="004A751A"/>
    <w:rsid w:val="004A76B1"/>
    <w:rsid w:val="004A7C61"/>
    <w:rsid w:val="004A7CA8"/>
    <w:rsid w:val="004A7CB5"/>
    <w:rsid w:val="004A7F48"/>
    <w:rsid w:val="004B010F"/>
    <w:rsid w:val="004B028C"/>
    <w:rsid w:val="004B078F"/>
    <w:rsid w:val="004B0FD3"/>
    <w:rsid w:val="004B162F"/>
    <w:rsid w:val="004B1787"/>
    <w:rsid w:val="004B19F8"/>
    <w:rsid w:val="004B2097"/>
    <w:rsid w:val="004B256A"/>
    <w:rsid w:val="004B27E1"/>
    <w:rsid w:val="004B2831"/>
    <w:rsid w:val="004B2A14"/>
    <w:rsid w:val="004B2AB0"/>
    <w:rsid w:val="004B2CA8"/>
    <w:rsid w:val="004B2D11"/>
    <w:rsid w:val="004B30A5"/>
    <w:rsid w:val="004B3375"/>
    <w:rsid w:val="004B359A"/>
    <w:rsid w:val="004B35B2"/>
    <w:rsid w:val="004B397C"/>
    <w:rsid w:val="004B39CA"/>
    <w:rsid w:val="004B3B7D"/>
    <w:rsid w:val="004B3B9D"/>
    <w:rsid w:val="004B3C00"/>
    <w:rsid w:val="004B3C0D"/>
    <w:rsid w:val="004B3F13"/>
    <w:rsid w:val="004B3F61"/>
    <w:rsid w:val="004B3FFE"/>
    <w:rsid w:val="004B4469"/>
    <w:rsid w:val="004B448A"/>
    <w:rsid w:val="004B4532"/>
    <w:rsid w:val="004B49F9"/>
    <w:rsid w:val="004B4F43"/>
    <w:rsid w:val="004B50F1"/>
    <w:rsid w:val="004B53B3"/>
    <w:rsid w:val="004B5BA7"/>
    <w:rsid w:val="004B5EF5"/>
    <w:rsid w:val="004B5F3C"/>
    <w:rsid w:val="004B63E7"/>
    <w:rsid w:val="004B66A6"/>
    <w:rsid w:val="004B69F4"/>
    <w:rsid w:val="004B6AA3"/>
    <w:rsid w:val="004B6E4F"/>
    <w:rsid w:val="004B722F"/>
    <w:rsid w:val="004B7423"/>
    <w:rsid w:val="004B74D5"/>
    <w:rsid w:val="004B76FB"/>
    <w:rsid w:val="004B788A"/>
    <w:rsid w:val="004B7964"/>
    <w:rsid w:val="004B7B5B"/>
    <w:rsid w:val="004B7B88"/>
    <w:rsid w:val="004B7C48"/>
    <w:rsid w:val="004B7D80"/>
    <w:rsid w:val="004B7FFE"/>
    <w:rsid w:val="004C000E"/>
    <w:rsid w:val="004C0241"/>
    <w:rsid w:val="004C0243"/>
    <w:rsid w:val="004C0339"/>
    <w:rsid w:val="004C063A"/>
    <w:rsid w:val="004C0728"/>
    <w:rsid w:val="004C0777"/>
    <w:rsid w:val="004C0D66"/>
    <w:rsid w:val="004C0DF5"/>
    <w:rsid w:val="004C0EF4"/>
    <w:rsid w:val="004C10A9"/>
    <w:rsid w:val="004C1591"/>
    <w:rsid w:val="004C15B9"/>
    <w:rsid w:val="004C171D"/>
    <w:rsid w:val="004C1D0C"/>
    <w:rsid w:val="004C23EA"/>
    <w:rsid w:val="004C2595"/>
    <w:rsid w:val="004C283B"/>
    <w:rsid w:val="004C2A1F"/>
    <w:rsid w:val="004C2B71"/>
    <w:rsid w:val="004C2D1F"/>
    <w:rsid w:val="004C2EA0"/>
    <w:rsid w:val="004C2F10"/>
    <w:rsid w:val="004C2FF3"/>
    <w:rsid w:val="004C3204"/>
    <w:rsid w:val="004C3413"/>
    <w:rsid w:val="004C3732"/>
    <w:rsid w:val="004C37A2"/>
    <w:rsid w:val="004C37B3"/>
    <w:rsid w:val="004C3B63"/>
    <w:rsid w:val="004C3D45"/>
    <w:rsid w:val="004C4185"/>
    <w:rsid w:val="004C421B"/>
    <w:rsid w:val="004C42A0"/>
    <w:rsid w:val="004C445C"/>
    <w:rsid w:val="004C4A7D"/>
    <w:rsid w:val="004C4B38"/>
    <w:rsid w:val="004C4B47"/>
    <w:rsid w:val="004C4D5F"/>
    <w:rsid w:val="004C505D"/>
    <w:rsid w:val="004C50F4"/>
    <w:rsid w:val="004C559B"/>
    <w:rsid w:val="004C5991"/>
    <w:rsid w:val="004C5D13"/>
    <w:rsid w:val="004C5DE3"/>
    <w:rsid w:val="004C5F62"/>
    <w:rsid w:val="004C6034"/>
    <w:rsid w:val="004C6693"/>
    <w:rsid w:val="004C6990"/>
    <w:rsid w:val="004C6BE8"/>
    <w:rsid w:val="004C71E0"/>
    <w:rsid w:val="004C7557"/>
    <w:rsid w:val="004C7920"/>
    <w:rsid w:val="004C7BDC"/>
    <w:rsid w:val="004C7D75"/>
    <w:rsid w:val="004C7DE5"/>
    <w:rsid w:val="004C7E76"/>
    <w:rsid w:val="004C7FB5"/>
    <w:rsid w:val="004D0264"/>
    <w:rsid w:val="004D0466"/>
    <w:rsid w:val="004D0484"/>
    <w:rsid w:val="004D087A"/>
    <w:rsid w:val="004D0888"/>
    <w:rsid w:val="004D08F0"/>
    <w:rsid w:val="004D0AE3"/>
    <w:rsid w:val="004D0D70"/>
    <w:rsid w:val="004D0DCC"/>
    <w:rsid w:val="004D0FBF"/>
    <w:rsid w:val="004D1006"/>
    <w:rsid w:val="004D12C1"/>
    <w:rsid w:val="004D13EF"/>
    <w:rsid w:val="004D173A"/>
    <w:rsid w:val="004D177A"/>
    <w:rsid w:val="004D180A"/>
    <w:rsid w:val="004D1867"/>
    <w:rsid w:val="004D1901"/>
    <w:rsid w:val="004D1B15"/>
    <w:rsid w:val="004D20F7"/>
    <w:rsid w:val="004D212D"/>
    <w:rsid w:val="004D2146"/>
    <w:rsid w:val="004D21DB"/>
    <w:rsid w:val="004D223E"/>
    <w:rsid w:val="004D2641"/>
    <w:rsid w:val="004D2774"/>
    <w:rsid w:val="004D2893"/>
    <w:rsid w:val="004D2A50"/>
    <w:rsid w:val="004D33EE"/>
    <w:rsid w:val="004D3659"/>
    <w:rsid w:val="004D3738"/>
    <w:rsid w:val="004D3890"/>
    <w:rsid w:val="004D3927"/>
    <w:rsid w:val="004D395F"/>
    <w:rsid w:val="004D39D5"/>
    <w:rsid w:val="004D3ED8"/>
    <w:rsid w:val="004D4027"/>
    <w:rsid w:val="004D42CB"/>
    <w:rsid w:val="004D4487"/>
    <w:rsid w:val="004D45DF"/>
    <w:rsid w:val="004D480F"/>
    <w:rsid w:val="004D4B35"/>
    <w:rsid w:val="004D4D2D"/>
    <w:rsid w:val="004D4D36"/>
    <w:rsid w:val="004D4DD2"/>
    <w:rsid w:val="004D4E0F"/>
    <w:rsid w:val="004D5085"/>
    <w:rsid w:val="004D50C1"/>
    <w:rsid w:val="004D50D1"/>
    <w:rsid w:val="004D52BF"/>
    <w:rsid w:val="004D543A"/>
    <w:rsid w:val="004D5466"/>
    <w:rsid w:val="004D5FD0"/>
    <w:rsid w:val="004D6052"/>
    <w:rsid w:val="004D6166"/>
    <w:rsid w:val="004D6172"/>
    <w:rsid w:val="004D6201"/>
    <w:rsid w:val="004D6533"/>
    <w:rsid w:val="004D68FA"/>
    <w:rsid w:val="004D6BB8"/>
    <w:rsid w:val="004D7593"/>
    <w:rsid w:val="004D7639"/>
    <w:rsid w:val="004D790A"/>
    <w:rsid w:val="004D7B3C"/>
    <w:rsid w:val="004D7C4F"/>
    <w:rsid w:val="004D7E2B"/>
    <w:rsid w:val="004D7F30"/>
    <w:rsid w:val="004D7F99"/>
    <w:rsid w:val="004E030A"/>
    <w:rsid w:val="004E0684"/>
    <w:rsid w:val="004E08E1"/>
    <w:rsid w:val="004E0C0B"/>
    <w:rsid w:val="004E0DAD"/>
    <w:rsid w:val="004E0EB0"/>
    <w:rsid w:val="004E1251"/>
    <w:rsid w:val="004E1287"/>
    <w:rsid w:val="004E12DF"/>
    <w:rsid w:val="004E1493"/>
    <w:rsid w:val="004E17A3"/>
    <w:rsid w:val="004E1956"/>
    <w:rsid w:val="004E1ACF"/>
    <w:rsid w:val="004E1BA0"/>
    <w:rsid w:val="004E1C08"/>
    <w:rsid w:val="004E1C13"/>
    <w:rsid w:val="004E20A2"/>
    <w:rsid w:val="004E2125"/>
    <w:rsid w:val="004E2229"/>
    <w:rsid w:val="004E2689"/>
    <w:rsid w:val="004E2766"/>
    <w:rsid w:val="004E282F"/>
    <w:rsid w:val="004E29E5"/>
    <w:rsid w:val="004E2A10"/>
    <w:rsid w:val="004E2E3F"/>
    <w:rsid w:val="004E3020"/>
    <w:rsid w:val="004E30DC"/>
    <w:rsid w:val="004E311F"/>
    <w:rsid w:val="004E3325"/>
    <w:rsid w:val="004E346E"/>
    <w:rsid w:val="004E3734"/>
    <w:rsid w:val="004E3B6A"/>
    <w:rsid w:val="004E3C4D"/>
    <w:rsid w:val="004E3DF2"/>
    <w:rsid w:val="004E4031"/>
    <w:rsid w:val="004E4197"/>
    <w:rsid w:val="004E4411"/>
    <w:rsid w:val="004E4897"/>
    <w:rsid w:val="004E49ED"/>
    <w:rsid w:val="004E4A64"/>
    <w:rsid w:val="004E4B35"/>
    <w:rsid w:val="004E4CA5"/>
    <w:rsid w:val="004E4DC3"/>
    <w:rsid w:val="004E5435"/>
    <w:rsid w:val="004E554D"/>
    <w:rsid w:val="004E5BB8"/>
    <w:rsid w:val="004E5DAC"/>
    <w:rsid w:val="004E5F8F"/>
    <w:rsid w:val="004E6222"/>
    <w:rsid w:val="004E658D"/>
    <w:rsid w:val="004E6602"/>
    <w:rsid w:val="004E6632"/>
    <w:rsid w:val="004E678D"/>
    <w:rsid w:val="004E6A9F"/>
    <w:rsid w:val="004E6CFF"/>
    <w:rsid w:val="004E6D75"/>
    <w:rsid w:val="004E714C"/>
    <w:rsid w:val="004E73A2"/>
    <w:rsid w:val="004E7589"/>
    <w:rsid w:val="004E7876"/>
    <w:rsid w:val="004E79BC"/>
    <w:rsid w:val="004E7AD4"/>
    <w:rsid w:val="004E7AEF"/>
    <w:rsid w:val="004E7BC1"/>
    <w:rsid w:val="004E7BD0"/>
    <w:rsid w:val="004E7D23"/>
    <w:rsid w:val="004E7D9A"/>
    <w:rsid w:val="004F027B"/>
    <w:rsid w:val="004F0646"/>
    <w:rsid w:val="004F0685"/>
    <w:rsid w:val="004F0BA7"/>
    <w:rsid w:val="004F0E15"/>
    <w:rsid w:val="004F0FA7"/>
    <w:rsid w:val="004F1802"/>
    <w:rsid w:val="004F1AB3"/>
    <w:rsid w:val="004F2097"/>
    <w:rsid w:val="004F20D5"/>
    <w:rsid w:val="004F2126"/>
    <w:rsid w:val="004F2248"/>
    <w:rsid w:val="004F2608"/>
    <w:rsid w:val="004F264C"/>
    <w:rsid w:val="004F2954"/>
    <w:rsid w:val="004F2A9F"/>
    <w:rsid w:val="004F2B7A"/>
    <w:rsid w:val="004F3416"/>
    <w:rsid w:val="004F3688"/>
    <w:rsid w:val="004F3921"/>
    <w:rsid w:val="004F3961"/>
    <w:rsid w:val="004F39EF"/>
    <w:rsid w:val="004F3AAE"/>
    <w:rsid w:val="004F3B61"/>
    <w:rsid w:val="004F3CD3"/>
    <w:rsid w:val="004F4093"/>
    <w:rsid w:val="004F40C7"/>
    <w:rsid w:val="004F40CA"/>
    <w:rsid w:val="004F4253"/>
    <w:rsid w:val="004F484D"/>
    <w:rsid w:val="004F4860"/>
    <w:rsid w:val="004F4BDE"/>
    <w:rsid w:val="004F5267"/>
    <w:rsid w:val="004F526B"/>
    <w:rsid w:val="004F526F"/>
    <w:rsid w:val="004F53A1"/>
    <w:rsid w:val="004F56CB"/>
    <w:rsid w:val="004F5917"/>
    <w:rsid w:val="004F5972"/>
    <w:rsid w:val="004F5AE3"/>
    <w:rsid w:val="004F5B0C"/>
    <w:rsid w:val="004F5CE5"/>
    <w:rsid w:val="004F614E"/>
    <w:rsid w:val="004F61E1"/>
    <w:rsid w:val="004F660B"/>
    <w:rsid w:val="004F67B1"/>
    <w:rsid w:val="004F690B"/>
    <w:rsid w:val="004F699E"/>
    <w:rsid w:val="004F6A57"/>
    <w:rsid w:val="004F6E10"/>
    <w:rsid w:val="004F7019"/>
    <w:rsid w:val="004F71E0"/>
    <w:rsid w:val="004F71FF"/>
    <w:rsid w:val="004F77E2"/>
    <w:rsid w:val="004F7AF2"/>
    <w:rsid w:val="004F7CAC"/>
    <w:rsid w:val="004F7CF1"/>
    <w:rsid w:val="004F7DDC"/>
    <w:rsid w:val="004F7E2E"/>
    <w:rsid w:val="00500042"/>
    <w:rsid w:val="0050033F"/>
    <w:rsid w:val="005009B4"/>
    <w:rsid w:val="00500E11"/>
    <w:rsid w:val="005011E4"/>
    <w:rsid w:val="0050175A"/>
    <w:rsid w:val="00501B71"/>
    <w:rsid w:val="00501CF1"/>
    <w:rsid w:val="00501ED1"/>
    <w:rsid w:val="00502229"/>
    <w:rsid w:val="00502403"/>
    <w:rsid w:val="005028C2"/>
    <w:rsid w:val="00502DBF"/>
    <w:rsid w:val="005034D7"/>
    <w:rsid w:val="00503B1A"/>
    <w:rsid w:val="00503BDE"/>
    <w:rsid w:val="00503E77"/>
    <w:rsid w:val="00504016"/>
    <w:rsid w:val="00504255"/>
    <w:rsid w:val="00504259"/>
    <w:rsid w:val="005044C3"/>
    <w:rsid w:val="00504A23"/>
    <w:rsid w:val="00504A73"/>
    <w:rsid w:val="00504D63"/>
    <w:rsid w:val="00504DA3"/>
    <w:rsid w:val="00504E6E"/>
    <w:rsid w:val="0050527A"/>
    <w:rsid w:val="005057FE"/>
    <w:rsid w:val="00505821"/>
    <w:rsid w:val="00505BA2"/>
    <w:rsid w:val="00505EEA"/>
    <w:rsid w:val="005064D4"/>
    <w:rsid w:val="005068EB"/>
    <w:rsid w:val="00506DBA"/>
    <w:rsid w:val="00506DEB"/>
    <w:rsid w:val="0050717F"/>
    <w:rsid w:val="005074CF"/>
    <w:rsid w:val="0050764E"/>
    <w:rsid w:val="005077BC"/>
    <w:rsid w:val="0050783F"/>
    <w:rsid w:val="00507E3F"/>
    <w:rsid w:val="00507E97"/>
    <w:rsid w:val="005100D9"/>
    <w:rsid w:val="005102AB"/>
    <w:rsid w:val="005106AF"/>
    <w:rsid w:val="00510E65"/>
    <w:rsid w:val="00510EAC"/>
    <w:rsid w:val="00510EB1"/>
    <w:rsid w:val="00511320"/>
    <w:rsid w:val="00511607"/>
    <w:rsid w:val="005119C9"/>
    <w:rsid w:val="00512160"/>
    <w:rsid w:val="00512163"/>
    <w:rsid w:val="00512418"/>
    <w:rsid w:val="00512680"/>
    <w:rsid w:val="00512760"/>
    <w:rsid w:val="00512872"/>
    <w:rsid w:val="005128BB"/>
    <w:rsid w:val="005128F6"/>
    <w:rsid w:val="00512DD7"/>
    <w:rsid w:val="00512E61"/>
    <w:rsid w:val="00512FF9"/>
    <w:rsid w:val="005133A9"/>
    <w:rsid w:val="0051347B"/>
    <w:rsid w:val="00513692"/>
    <w:rsid w:val="00513A7D"/>
    <w:rsid w:val="0051402C"/>
    <w:rsid w:val="005142EF"/>
    <w:rsid w:val="00514334"/>
    <w:rsid w:val="005143F9"/>
    <w:rsid w:val="0051454C"/>
    <w:rsid w:val="005146F0"/>
    <w:rsid w:val="0051470B"/>
    <w:rsid w:val="005147DB"/>
    <w:rsid w:val="00514E56"/>
    <w:rsid w:val="0051504F"/>
    <w:rsid w:val="0051525B"/>
    <w:rsid w:val="005152CE"/>
    <w:rsid w:val="005156A0"/>
    <w:rsid w:val="0051574A"/>
    <w:rsid w:val="005158C5"/>
    <w:rsid w:val="00515ADF"/>
    <w:rsid w:val="00515BC4"/>
    <w:rsid w:val="00515D08"/>
    <w:rsid w:val="00515DEA"/>
    <w:rsid w:val="00515F3C"/>
    <w:rsid w:val="005162BD"/>
    <w:rsid w:val="00516331"/>
    <w:rsid w:val="00516566"/>
    <w:rsid w:val="00516649"/>
    <w:rsid w:val="00516B37"/>
    <w:rsid w:val="00516CCA"/>
    <w:rsid w:val="00516D0F"/>
    <w:rsid w:val="00516E0B"/>
    <w:rsid w:val="00516EB3"/>
    <w:rsid w:val="00516EBD"/>
    <w:rsid w:val="00517387"/>
    <w:rsid w:val="00517B35"/>
    <w:rsid w:val="00517DAD"/>
    <w:rsid w:val="00517E6E"/>
    <w:rsid w:val="00520018"/>
    <w:rsid w:val="00520539"/>
    <w:rsid w:val="00520DA5"/>
    <w:rsid w:val="00520F24"/>
    <w:rsid w:val="00520FCC"/>
    <w:rsid w:val="005211C3"/>
    <w:rsid w:val="00521338"/>
    <w:rsid w:val="00521660"/>
    <w:rsid w:val="005216BD"/>
    <w:rsid w:val="0052175B"/>
    <w:rsid w:val="005218C3"/>
    <w:rsid w:val="00521E90"/>
    <w:rsid w:val="005220BE"/>
    <w:rsid w:val="005222B3"/>
    <w:rsid w:val="005223B6"/>
    <w:rsid w:val="00522796"/>
    <w:rsid w:val="0052292C"/>
    <w:rsid w:val="00522CBF"/>
    <w:rsid w:val="00522D3F"/>
    <w:rsid w:val="00522EFF"/>
    <w:rsid w:val="00523498"/>
    <w:rsid w:val="005236A3"/>
    <w:rsid w:val="005236FD"/>
    <w:rsid w:val="0052372C"/>
    <w:rsid w:val="00524189"/>
    <w:rsid w:val="00524333"/>
    <w:rsid w:val="00524646"/>
    <w:rsid w:val="0052480F"/>
    <w:rsid w:val="00524912"/>
    <w:rsid w:val="00524955"/>
    <w:rsid w:val="00524B9D"/>
    <w:rsid w:val="00524EAF"/>
    <w:rsid w:val="00524F0A"/>
    <w:rsid w:val="00525013"/>
    <w:rsid w:val="0052525E"/>
    <w:rsid w:val="00525357"/>
    <w:rsid w:val="005258A9"/>
    <w:rsid w:val="005259E2"/>
    <w:rsid w:val="00525BE6"/>
    <w:rsid w:val="00525C49"/>
    <w:rsid w:val="00525F53"/>
    <w:rsid w:val="00526059"/>
    <w:rsid w:val="005261E7"/>
    <w:rsid w:val="00526207"/>
    <w:rsid w:val="00526538"/>
    <w:rsid w:val="005267FE"/>
    <w:rsid w:val="0052698D"/>
    <w:rsid w:val="00526B24"/>
    <w:rsid w:val="00526D86"/>
    <w:rsid w:val="00527171"/>
    <w:rsid w:val="005272C7"/>
    <w:rsid w:val="0052743F"/>
    <w:rsid w:val="0052758B"/>
    <w:rsid w:val="00527948"/>
    <w:rsid w:val="00527971"/>
    <w:rsid w:val="005279FF"/>
    <w:rsid w:val="00527D30"/>
    <w:rsid w:val="00527E96"/>
    <w:rsid w:val="00530290"/>
    <w:rsid w:val="00530927"/>
    <w:rsid w:val="00530A9F"/>
    <w:rsid w:val="00530DAC"/>
    <w:rsid w:val="00530FC4"/>
    <w:rsid w:val="0053118A"/>
    <w:rsid w:val="005314FB"/>
    <w:rsid w:val="005316F5"/>
    <w:rsid w:val="0053193D"/>
    <w:rsid w:val="00531B21"/>
    <w:rsid w:val="00531C11"/>
    <w:rsid w:val="0053211C"/>
    <w:rsid w:val="00532121"/>
    <w:rsid w:val="00532128"/>
    <w:rsid w:val="005321F2"/>
    <w:rsid w:val="005325A9"/>
    <w:rsid w:val="005325E5"/>
    <w:rsid w:val="00532739"/>
    <w:rsid w:val="00532914"/>
    <w:rsid w:val="005329BE"/>
    <w:rsid w:val="00532A71"/>
    <w:rsid w:val="00532AA6"/>
    <w:rsid w:val="00532BF6"/>
    <w:rsid w:val="00532DDD"/>
    <w:rsid w:val="0053314C"/>
    <w:rsid w:val="0053323A"/>
    <w:rsid w:val="00533329"/>
    <w:rsid w:val="0053350B"/>
    <w:rsid w:val="00533A70"/>
    <w:rsid w:val="00533C58"/>
    <w:rsid w:val="00533F44"/>
    <w:rsid w:val="00534309"/>
    <w:rsid w:val="00534816"/>
    <w:rsid w:val="00534921"/>
    <w:rsid w:val="00534A47"/>
    <w:rsid w:val="00534AB2"/>
    <w:rsid w:val="00534ED3"/>
    <w:rsid w:val="00534FA4"/>
    <w:rsid w:val="00535531"/>
    <w:rsid w:val="00535A1B"/>
    <w:rsid w:val="00535B51"/>
    <w:rsid w:val="00535C74"/>
    <w:rsid w:val="00535C84"/>
    <w:rsid w:val="00535DDA"/>
    <w:rsid w:val="00536092"/>
    <w:rsid w:val="005361AB"/>
    <w:rsid w:val="00536521"/>
    <w:rsid w:val="00536ADA"/>
    <w:rsid w:val="00536F13"/>
    <w:rsid w:val="00537171"/>
    <w:rsid w:val="005371EA"/>
    <w:rsid w:val="00537255"/>
    <w:rsid w:val="0053726F"/>
    <w:rsid w:val="0053742C"/>
    <w:rsid w:val="005374FC"/>
    <w:rsid w:val="005375E6"/>
    <w:rsid w:val="00537639"/>
    <w:rsid w:val="005377E0"/>
    <w:rsid w:val="005377FC"/>
    <w:rsid w:val="00537B51"/>
    <w:rsid w:val="00537B67"/>
    <w:rsid w:val="005405CC"/>
    <w:rsid w:val="00540638"/>
    <w:rsid w:val="005409BC"/>
    <w:rsid w:val="00540B8E"/>
    <w:rsid w:val="00540F19"/>
    <w:rsid w:val="00541124"/>
    <w:rsid w:val="00541127"/>
    <w:rsid w:val="005412CE"/>
    <w:rsid w:val="005416CF"/>
    <w:rsid w:val="00541A4A"/>
    <w:rsid w:val="00541AC0"/>
    <w:rsid w:val="00541D43"/>
    <w:rsid w:val="00541E31"/>
    <w:rsid w:val="00542068"/>
    <w:rsid w:val="00542246"/>
    <w:rsid w:val="00542292"/>
    <w:rsid w:val="005422FE"/>
    <w:rsid w:val="00542343"/>
    <w:rsid w:val="005423AF"/>
    <w:rsid w:val="005429A3"/>
    <w:rsid w:val="00542B03"/>
    <w:rsid w:val="00542D24"/>
    <w:rsid w:val="00542D2E"/>
    <w:rsid w:val="0054378F"/>
    <w:rsid w:val="005439E5"/>
    <w:rsid w:val="00543A38"/>
    <w:rsid w:val="00543AF3"/>
    <w:rsid w:val="00543AF9"/>
    <w:rsid w:val="00543BDB"/>
    <w:rsid w:val="00543C85"/>
    <w:rsid w:val="00543D81"/>
    <w:rsid w:val="005440F2"/>
    <w:rsid w:val="005443A6"/>
    <w:rsid w:val="00544BC7"/>
    <w:rsid w:val="00544C6C"/>
    <w:rsid w:val="00544C74"/>
    <w:rsid w:val="00544DE1"/>
    <w:rsid w:val="00545194"/>
    <w:rsid w:val="0054553B"/>
    <w:rsid w:val="00545833"/>
    <w:rsid w:val="00545978"/>
    <w:rsid w:val="00545BDD"/>
    <w:rsid w:val="00545C5B"/>
    <w:rsid w:val="00546168"/>
    <w:rsid w:val="005464F6"/>
    <w:rsid w:val="00546701"/>
    <w:rsid w:val="00546B57"/>
    <w:rsid w:val="00546BC4"/>
    <w:rsid w:val="00546D44"/>
    <w:rsid w:val="00547080"/>
    <w:rsid w:val="0054709B"/>
    <w:rsid w:val="005472A3"/>
    <w:rsid w:val="0054764B"/>
    <w:rsid w:val="0054776F"/>
    <w:rsid w:val="00547AF3"/>
    <w:rsid w:val="00547CD2"/>
    <w:rsid w:val="00547FC0"/>
    <w:rsid w:val="0055072B"/>
    <w:rsid w:val="00550808"/>
    <w:rsid w:val="0055119B"/>
    <w:rsid w:val="0055119F"/>
    <w:rsid w:val="00551442"/>
    <w:rsid w:val="005515C4"/>
    <w:rsid w:val="0055177E"/>
    <w:rsid w:val="00551B53"/>
    <w:rsid w:val="00551DCF"/>
    <w:rsid w:val="00551FB1"/>
    <w:rsid w:val="00552033"/>
    <w:rsid w:val="00552159"/>
    <w:rsid w:val="00552336"/>
    <w:rsid w:val="005527E2"/>
    <w:rsid w:val="00552987"/>
    <w:rsid w:val="00552B83"/>
    <w:rsid w:val="00552EBD"/>
    <w:rsid w:val="0055304C"/>
    <w:rsid w:val="0055323C"/>
    <w:rsid w:val="005532FE"/>
    <w:rsid w:val="005535A0"/>
    <w:rsid w:val="00553652"/>
    <w:rsid w:val="00553B4C"/>
    <w:rsid w:val="00553E43"/>
    <w:rsid w:val="0055418C"/>
    <w:rsid w:val="00554543"/>
    <w:rsid w:val="00554766"/>
    <w:rsid w:val="00554C0D"/>
    <w:rsid w:val="005551A3"/>
    <w:rsid w:val="0055532F"/>
    <w:rsid w:val="005555FC"/>
    <w:rsid w:val="005558A9"/>
    <w:rsid w:val="00555A11"/>
    <w:rsid w:val="00556146"/>
    <w:rsid w:val="0055635A"/>
    <w:rsid w:val="005565F3"/>
    <w:rsid w:val="0055699D"/>
    <w:rsid w:val="00557124"/>
    <w:rsid w:val="00557628"/>
    <w:rsid w:val="00557718"/>
    <w:rsid w:val="0055780A"/>
    <w:rsid w:val="0055785B"/>
    <w:rsid w:val="00557993"/>
    <w:rsid w:val="00557A7A"/>
    <w:rsid w:val="00560033"/>
    <w:rsid w:val="005601D3"/>
    <w:rsid w:val="005602EE"/>
    <w:rsid w:val="00560552"/>
    <w:rsid w:val="00560864"/>
    <w:rsid w:val="00560B4A"/>
    <w:rsid w:val="00560BC3"/>
    <w:rsid w:val="00560D33"/>
    <w:rsid w:val="00560D73"/>
    <w:rsid w:val="00560F99"/>
    <w:rsid w:val="00560FBB"/>
    <w:rsid w:val="00561368"/>
    <w:rsid w:val="005617DF"/>
    <w:rsid w:val="005618DE"/>
    <w:rsid w:val="0056196C"/>
    <w:rsid w:val="005619D5"/>
    <w:rsid w:val="00561AE0"/>
    <w:rsid w:val="00561D24"/>
    <w:rsid w:val="00561DDA"/>
    <w:rsid w:val="00561DFC"/>
    <w:rsid w:val="00561E9B"/>
    <w:rsid w:val="00562172"/>
    <w:rsid w:val="00562367"/>
    <w:rsid w:val="00562472"/>
    <w:rsid w:val="0056266A"/>
    <w:rsid w:val="0056332B"/>
    <w:rsid w:val="0056347A"/>
    <w:rsid w:val="0056366B"/>
    <w:rsid w:val="00563A26"/>
    <w:rsid w:val="00563D92"/>
    <w:rsid w:val="00563FFD"/>
    <w:rsid w:val="0056429D"/>
    <w:rsid w:val="0056431F"/>
    <w:rsid w:val="00564718"/>
    <w:rsid w:val="00564830"/>
    <w:rsid w:val="00564839"/>
    <w:rsid w:val="005649B0"/>
    <w:rsid w:val="0056509D"/>
    <w:rsid w:val="0056550F"/>
    <w:rsid w:val="0056555D"/>
    <w:rsid w:val="005658CF"/>
    <w:rsid w:val="005658FB"/>
    <w:rsid w:val="00565A06"/>
    <w:rsid w:val="00565E70"/>
    <w:rsid w:val="00565F2F"/>
    <w:rsid w:val="005663D1"/>
    <w:rsid w:val="00566926"/>
    <w:rsid w:val="00566BB4"/>
    <w:rsid w:val="00566C02"/>
    <w:rsid w:val="00566CDC"/>
    <w:rsid w:val="00567250"/>
    <w:rsid w:val="00567466"/>
    <w:rsid w:val="005676B0"/>
    <w:rsid w:val="005677AE"/>
    <w:rsid w:val="005679CD"/>
    <w:rsid w:val="005679E8"/>
    <w:rsid w:val="00567AC6"/>
    <w:rsid w:val="0057002B"/>
    <w:rsid w:val="005704B7"/>
    <w:rsid w:val="00570897"/>
    <w:rsid w:val="00570A4E"/>
    <w:rsid w:val="00570BB6"/>
    <w:rsid w:val="00570CA2"/>
    <w:rsid w:val="00570CD4"/>
    <w:rsid w:val="00570D69"/>
    <w:rsid w:val="00570EBF"/>
    <w:rsid w:val="00571013"/>
    <w:rsid w:val="00571242"/>
    <w:rsid w:val="0057126B"/>
    <w:rsid w:val="00571628"/>
    <w:rsid w:val="005718D4"/>
    <w:rsid w:val="00571C09"/>
    <w:rsid w:val="00571D72"/>
    <w:rsid w:val="00572583"/>
    <w:rsid w:val="005725A1"/>
    <w:rsid w:val="005725F0"/>
    <w:rsid w:val="00572856"/>
    <w:rsid w:val="0057286F"/>
    <w:rsid w:val="00572DD9"/>
    <w:rsid w:val="00572F7E"/>
    <w:rsid w:val="00573159"/>
    <w:rsid w:val="005731B4"/>
    <w:rsid w:val="00573209"/>
    <w:rsid w:val="0057324A"/>
    <w:rsid w:val="005733B3"/>
    <w:rsid w:val="00573453"/>
    <w:rsid w:val="005738A6"/>
    <w:rsid w:val="00573BD4"/>
    <w:rsid w:val="00573D91"/>
    <w:rsid w:val="00573DA0"/>
    <w:rsid w:val="00574390"/>
    <w:rsid w:val="00574742"/>
    <w:rsid w:val="00574784"/>
    <w:rsid w:val="005747A6"/>
    <w:rsid w:val="00574871"/>
    <w:rsid w:val="005748B9"/>
    <w:rsid w:val="00574A1E"/>
    <w:rsid w:val="00574C48"/>
    <w:rsid w:val="00574CA8"/>
    <w:rsid w:val="00574ECD"/>
    <w:rsid w:val="0057500B"/>
    <w:rsid w:val="00575014"/>
    <w:rsid w:val="005750FB"/>
    <w:rsid w:val="00575405"/>
    <w:rsid w:val="00575488"/>
    <w:rsid w:val="005757C0"/>
    <w:rsid w:val="0057678C"/>
    <w:rsid w:val="005767DE"/>
    <w:rsid w:val="00576A54"/>
    <w:rsid w:val="00576ADE"/>
    <w:rsid w:val="005770BA"/>
    <w:rsid w:val="005771C9"/>
    <w:rsid w:val="0057727C"/>
    <w:rsid w:val="00577490"/>
    <w:rsid w:val="00577726"/>
    <w:rsid w:val="00577946"/>
    <w:rsid w:val="005779BF"/>
    <w:rsid w:val="00577CF5"/>
    <w:rsid w:val="00577CFD"/>
    <w:rsid w:val="00577DEF"/>
    <w:rsid w:val="0058027D"/>
    <w:rsid w:val="005802B2"/>
    <w:rsid w:val="00580639"/>
    <w:rsid w:val="00580B93"/>
    <w:rsid w:val="00580E7C"/>
    <w:rsid w:val="00580F19"/>
    <w:rsid w:val="005810F7"/>
    <w:rsid w:val="00581158"/>
    <w:rsid w:val="00581664"/>
    <w:rsid w:val="005816FD"/>
    <w:rsid w:val="0058187D"/>
    <w:rsid w:val="005820D5"/>
    <w:rsid w:val="0058215E"/>
    <w:rsid w:val="00582283"/>
    <w:rsid w:val="005823D6"/>
    <w:rsid w:val="0058297D"/>
    <w:rsid w:val="00582A74"/>
    <w:rsid w:val="00582FE1"/>
    <w:rsid w:val="00582FEB"/>
    <w:rsid w:val="005830D2"/>
    <w:rsid w:val="0058314A"/>
    <w:rsid w:val="0058345B"/>
    <w:rsid w:val="0058379C"/>
    <w:rsid w:val="005837B3"/>
    <w:rsid w:val="00583893"/>
    <w:rsid w:val="005838AF"/>
    <w:rsid w:val="00583D37"/>
    <w:rsid w:val="00583E44"/>
    <w:rsid w:val="00583E7E"/>
    <w:rsid w:val="00584456"/>
    <w:rsid w:val="00584D02"/>
    <w:rsid w:val="00584FC3"/>
    <w:rsid w:val="00585290"/>
    <w:rsid w:val="0058545C"/>
    <w:rsid w:val="0058577A"/>
    <w:rsid w:val="005859D3"/>
    <w:rsid w:val="00585BEB"/>
    <w:rsid w:val="00585E16"/>
    <w:rsid w:val="005861E0"/>
    <w:rsid w:val="005861E2"/>
    <w:rsid w:val="0058634B"/>
    <w:rsid w:val="005863AD"/>
    <w:rsid w:val="0058642B"/>
    <w:rsid w:val="005864FB"/>
    <w:rsid w:val="00586722"/>
    <w:rsid w:val="00586BF2"/>
    <w:rsid w:val="00586FA5"/>
    <w:rsid w:val="00587019"/>
    <w:rsid w:val="00587597"/>
    <w:rsid w:val="005876CF"/>
    <w:rsid w:val="0058789B"/>
    <w:rsid w:val="00587920"/>
    <w:rsid w:val="00587B02"/>
    <w:rsid w:val="00587B3D"/>
    <w:rsid w:val="00587B63"/>
    <w:rsid w:val="00587E92"/>
    <w:rsid w:val="005902EA"/>
    <w:rsid w:val="005904E0"/>
    <w:rsid w:val="00590704"/>
    <w:rsid w:val="0059096B"/>
    <w:rsid w:val="00590F0E"/>
    <w:rsid w:val="00590F69"/>
    <w:rsid w:val="00590F6B"/>
    <w:rsid w:val="005910E5"/>
    <w:rsid w:val="0059113B"/>
    <w:rsid w:val="005916E7"/>
    <w:rsid w:val="00591C6F"/>
    <w:rsid w:val="00591EA9"/>
    <w:rsid w:val="00591FF6"/>
    <w:rsid w:val="005920A2"/>
    <w:rsid w:val="005924AD"/>
    <w:rsid w:val="00592504"/>
    <w:rsid w:val="00592539"/>
    <w:rsid w:val="005926D6"/>
    <w:rsid w:val="0059280C"/>
    <w:rsid w:val="00592876"/>
    <w:rsid w:val="00592978"/>
    <w:rsid w:val="00592BE6"/>
    <w:rsid w:val="00592BE9"/>
    <w:rsid w:val="00592C68"/>
    <w:rsid w:val="00592D70"/>
    <w:rsid w:val="00592FC3"/>
    <w:rsid w:val="00593024"/>
    <w:rsid w:val="005930BD"/>
    <w:rsid w:val="00593139"/>
    <w:rsid w:val="00593911"/>
    <w:rsid w:val="00593E4E"/>
    <w:rsid w:val="00593EFE"/>
    <w:rsid w:val="005942B5"/>
    <w:rsid w:val="0059448B"/>
    <w:rsid w:val="005944FF"/>
    <w:rsid w:val="0059455B"/>
    <w:rsid w:val="00594B2C"/>
    <w:rsid w:val="00594BFD"/>
    <w:rsid w:val="00595091"/>
    <w:rsid w:val="00595707"/>
    <w:rsid w:val="00595861"/>
    <w:rsid w:val="005958AE"/>
    <w:rsid w:val="00595A6D"/>
    <w:rsid w:val="00595C0C"/>
    <w:rsid w:val="00595C0F"/>
    <w:rsid w:val="00595D24"/>
    <w:rsid w:val="0059618A"/>
    <w:rsid w:val="00596698"/>
    <w:rsid w:val="00596B18"/>
    <w:rsid w:val="00596BB4"/>
    <w:rsid w:val="00596E97"/>
    <w:rsid w:val="0059735D"/>
    <w:rsid w:val="00597627"/>
    <w:rsid w:val="00597972"/>
    <w:rsid w:val="00597B11"/>
    <w:rsid w:val="00597BFC"/>
    <w:rsid w:val="00597F2E"/>
    <w:rsid w:val="00597FAB"/>
    <w:rsid w:val="00597FB9"/>
    <w:rsid w:val="005A0060"/>
    <w:rsid w:val="005A047D"/>
    <w:rsid w:val="005A04BE"/>
    <w:rsid w:val="005A0541"/>
    <w:rsid w:val="005A06E9"/>
    <w:rsid w:val="005A071F"/>
    <w:rsid w:val="005A0ED0"/>
    <w:rsid w:val="005A1732"/>
    <w:rsid w:val="005A178F"/>
    <w:rsid w:val="005A2068"/>
    <w:rsid w:val="005A2147"/>
    <w:rsid w:val="005A217E"/>
    <w:rsid w:val="005A2476"/>
    <w:rsid w:val="005A2485"/>
    <w:rsid w:val="005A284A"/>
    <w:rsid w:val="005A2D6D"/>
    <w:rsid w:val="005A3281"/>
    <w:rsid w:val="005A34D5"/>
    <w:rsid w:val="005A3583"/>
    <w:rsid w:val="005A3D8C"/>
    <w:rsid w:val="005A3E89"/>
    <w:rsid w:val="005A3FF9"/>
    <w:rsid w:val="005A40AA"/>
    <w:rsid w:val="005A4261"/>
    <w:rsid w:val="005A456E"/>
    <w:rsid w:val="005A4935"/>
    <w:rsid w:val="005A4C43"/>
    <w:rsid w:val="005A5071"/>
    <w:rsid w:val="005A5841"/>
    <w:rsid w:val="005A58DE"/>
    <w:rsid w:val="005A5A54"/>
    <w:rsid w:val="005A5D0F"/>
    <w:rsid w:val="005A5DFE"/>
    <w:rsid w:val="005A60D9"/>
    <w:rsid w:val="005A6619"/>
    <w:rsid w:val="005A6664"/>
    <w:rsid w:val="005A675D"/>
    <w:rsid w:val="005A675F"/>
    <w:rsid w:val="005A6F4B"/>
    <w:rsid w:val="005A6F53"/>
    <w:rsid w:val="005A7039"/>
    <w:rsid w:val="005A7273"/>
    <w:rsid w:val="005A758F"/>
    <w:rsid w:val="005A75DA"/>
    <w:rsid w:val="005A79E9"/>
    <w:rsid w:val="005A7DB8"/>
    <w:rsid w:val="005A7DF4"/>
    <w:rsid w:val="005A7E7A"/>
    <w:rsid w:val="005B004A"/>
    <w:rsid w:val="005B0383"/>
    <w:rsid w:val="005B03DF"/>
    <w:rsid w:val="005B07B7"/>
    <w:rsid w:val="005B0A80"/>
    <w:rsid w:val="005B104C"/>
    <w:rsid w:val="005B145F"/>
    <w:rsid w:val="005B16E3"/>
    <w:rsid w:val="005B1892"/>
    <w:rsid w:val="005B1931"/>
    <w:rsid w:val="005B1B41"/>
    <w:rsid w:val="005B1BBA"/>
    <w:rsid w:val="005B1E47"/>
    <w:rsid w:val="005B227E"/>
    <w:rsid w:val="005B272F"/>
    <w:rsid w:val="005B2A31"/>
    <w:rsid w:val="005B30B0"/>
    <w:rsid w:val="005B30FB"/>
    <w:rsid w:val="005B31CB"/>
    <w:rsid w:val="005B3326"/>
    <w:rsid w:val="005B38F0"/>
    <w:rsid w:val="005B3B92"/>
    <w:rsid w:val="005B3F71"/>
    <w:rsid w:val="005B40EC"/>
    <w:rsid w:val="005B4195"/>
    <w:rsid w:val="005B4824"/>
    <w:rsid w:val="005B49B0"/>
    <w:rsid w:val="005B4C82"/>
    <w:rsid w:val="005B4EB1"/>
    <w:rsid w:val="005B4F68"/>
    <w:rsid w:val="005B5134"/>
    <w:rsid w:val="005B5192"/>
    <w:rsid w:val="005B5499"/>
    <w:rsid w:val="005B54EA"/>
    <w:rsid w:val="005B588F"/>
    <w:rsid w:val="005B5A79"/>
    <w:rsid w:val="005B5DED"/>
    <w:rsid w:val="005B5F54"/>
    <w:rsid w:val="005B5FE7"/>
    <w:rsid w:val="005B61EA"/>
    <w:rsid w:val="005B636D"/>
    <w:rsid w:val="005B6B45"/>
    <w:rsid w:val="005B6CA8"/>
    <w:rsid w:val="005B6EFF"/>
    <w:rsid w:val="005B7150"/>
    <w:rsid w:val="005B7705"/>
    <w:rsid w:val="005B7805"/>
    <w:rsid w:val="005B7AD1"/>
    <w:rsid w:val="005B7B59"/>
    <w:rsid w:val="005B7E0D"/>
    <w:rsid w:val="005B7E49"/>
    <w:rsid w:val="005B7F92"/>
    <w:rsid w:val="005C020B"/>
    <w:rsid w:val="005C0849"/>
    <w:rsid w:val="005C08BD"/>
    <w:rsid w:val="005C0D1E"/>
    <w:rsid w:val="005C11BE"/>
    <w:rsid w:val="005C1297"/>
    <w:rsid w:val="005C1309"/>
    <w:rsid w:val="005C1679"/>
    <w:rsid w:val="005C171B"/>
    <w:rsid w:val="005C1A96"/>
    <w:rsid w:val="005C1D54"/>
    <w:rsid w:val="005C2085"/>
    <w:rsid w:val="005C259C"/>
    <w:rsid w:val="005C2773"/>
    <w:rsid w:val="005C2807"/>
    <w:rsid w:val="005C2902"/>
    <w:rsid w:val="005C2ABB"/>
    <w:rsid w:val="005C2D20"/>
    <w:rsid w:val="005C31DE"/>
    <w:rsid w:val="005C3441"/>
    <w:rsid w:val="005C3646"/>
    <w:rsid w:val="005C3693"/>
    <w:rsid w:val="005C3801"/>
    <w:rsid w:val="005C3A10"/>
    <w:rsid w:val="005C3A56"/>
    <w:rsid w:val="005C3CFF"/>
    <w:rsid w:val="005C407E"/>
    <w:rsid w:val="005C40CF"/>
    <w:rsid w:val="005C41D2"/>
    <w:rsid w:val="005C4496"/>
    <w:rsid w:val="005C4817"/>
    <w:rsid w:val="005C4ADD"/>
    <w:rsid w:val="005C4BCC"/>
    <w:rsid w:val="005C4FD6"/>
    <w:rsid w:val="005C51D9"/>
    <w:rsid w:val="005C5493"/>
    <w:rsid w:val="005C5692"/>
    <w:rsid w:val="005C573E"/>
    <w:rsid w:val="005C59D4"/>
    <w:rsid w:val="005C5B8A"/>
    <w:rsid w:val="005C5BAB"/>
    <w:rsid w:val="005C5DC2"/>
    <w:rsid w:val="005C5F98"/>
    <w:rsid w:val="005C607B"/>
    <w:rsid w:val="005C6111"/>
    <w:rsid w:val="005C6195"/>
    <w:rsid w:val="005C6227"/>
    <w:rsid w:val="005C69D8"/>
    <w:rsid w:val="005C6A42"/>
    <w:rsid w:val="005C6A66"/>
    <w:rsid w:val="005C6B37"/>
    <w:rsid w:val="005C6C3A"/>
    <w:rsid w:val="005C76A7"/>
    <w:rsid w:val="005C7887"/>
    <w:rsid w:val="005C788B"/>
    <w:rsid w:val="005C793C"/>
    <w:rsid w:val="005C7FA5"/>
    <w:rsid w:val="005D0647"/>
    <w:rsid w:val="005D0756"/>
    <w:rsid w:val="005D0898"/>
    <w:rsid w:val="005D0BC0"/>
    <w:rsid w:val="005D0F26"/>
    <w:rsid w:val="005D11CE"/>
    <w:rsid w:val="005D12F2"/>
    <w:rsid w:val="005D16DF"/>
    <w:rsid w:val="005D19B8"/>
    <w:rsid w:val="005D1B2A"/>
    <w:rsid w:val="005D1B74"/>
    <w:rsid w:val="005D22B2"/>
    <w:rsid w:val="005D24D3"/>
    <w:rsid w:val="005D255A"/>
    <w:rsid w:val="005D2795"/>
    <w:rsid w:val="005D27DB"/>
    <w:rsid w:val="005D2CA3"/>
    <w:rsid w:val="005D2DE1"/>
    <w:rsid w:val="005D33CD"/>
    <w:rsid w:val="005D3529"/>
    <w:rsid w:val="005D36E1"/>
    <w:rsid w:val="005D37C3"/>
    <w:rsid w:val="005D398D"/>
    <w:rsid w:val="005D3DBD"/>
    <w:rsid w:val="005D3ED0"/>
    <w:rsid w:val="005D40F4"/>
    <w:rsid w:val="005D4538"/>
    <w:rsid w:val="005D45B5"/>
    <w:rsid w:val="005D46BE"/>
    <w:rsid w:val="005D4B41"/>
    <w:rsid w:val="005D518E"/>
    <w:rsid w:val="005D52C8"/>
    <w:rsid w:val="005D5397"/>
    <w:rsid w:val="005D53AE"/>
    <w:rsid w:val="005D566F"/>
    <w:rsid w:val="005D5775"/>
    <w:rsid w:val="005D57B2"/>
    <w:rsid w:val="005D594B"/>
    <w:rsid w:val="005D5AFB"/>
    <w:rsid w:val="005D5BA1"/>
    <w:rsid w:val="005D5BFC"/>
    <w:rsid w:val="005D5FDA"/>
    <w:rsid w:val="005D643F"/>
    <w:rsid w:val="005D66BF"/>
    <w:rsid w:val="005D6828"/>
    <w:rsid w:val="005D697E"/>
    <w:rsid w:val="005D69CF"/>
    <w:rsid w:val="005D6A2B"/>
    <w:rsid w:val="005D6DA2"/>
    <w:rsid w:val="005D7006"/>
    <w:rsid w:val="005D7157"/>
    <w:rsid w:val="005D718F"/>
    <w:rsid w:val="005D7221"/>
    <w:rsid w:val="005D7260"/>
    <w:rsid w:val="005D74B6"/>
    <w:rsid w:val="005D7603"/>
    <w:rsid w:val="005D77F9"/>
    <w:rsid w:val="005D7881"/>
    <w:rsid w:val="005D7A33"/>
    <w:rsid w:val="005D7EC9"/>
    <w:rsid w:val="005D7FE4"/>
    <w:rsid w:val="005E00BA"/>
    <w:rsid w:val="005E0838"/>
    <w:rsid w:val="005E0971"/>
    <w:rsid w:val="005E09EE"/>
    <w:rsid w:val="005E09FB"/>
    <w:rsid w:val="005E0B7A"/>
    <w:rsid w:val="005E1253"/>
    <w:rsid w:val="005E12BE"/>
    <w:rsid w:val="005E1401"/>
    <w:rsid w:val="005E1528"/>
    <w:rsid w:val="005E1587"/>
    <w:rsid w:val="005E167E"/>
    <w:rsid w:val="005E16F6"/>
    <w:rsid w:val="005E18B2"/>
    <w:rsid w:val="005E18C1"/>
    <w:rsid w:val="005E19DD"/>
    <w:rsid w:val="005E1B0C"/>
    <w:rsid w:val="005E2775"/>
    <w:rsid w:val="005E299E"/>
    <w:rsid w:val="005E2CB0"/>
    <w:rsid w:val="005E379B"/>
    <w:rsid w:val="005E38C9"/>
    <w:rsid w:val="005E3BD7"/>
    <w:rsid w:val="005E3D37"/>
    <w:rsid w:val="005E466F"/>
    <w:rsid w:val="005E4745"/>
    <w:rsid w:val="005E49B2"/>
    <w:rsid w:val="005E4AE8"/>
    <w:rsid w:val="005E4BFA"/>
    <w:rsid w:val="005E4E0D"/>
    <w:rsid w:val="005E515D"/>
    <w:rsid w:val="005E53C4"/>
    <w:rsid w:val="005E546A"/>
    <w:rsid w:val="005E5629"/>
    <w:rsid w:val="005E5695"/>
    <w:rsid w:val="005E56AC"/>
    <w:rsid w:val="005E5A81"/>
    <w:rsid w:val="005E5DE7"/>
    <w:rsid w:val="005E6358"/>
    <w:rsid w:val="005E6604"/>
    <w:rsid w:val="005E6884"/>
    <w:rsid w:val="005E6956"/>
    <w:rsid w:val="005E6A29"/>
    <w:rsid w:val="005E6A60"/>
    <w:rsid w:val="005E7468"/>
    <w:rsid w:val="005E75D8"/>
    <w:rsid w:val="005E76A6"/>
    <w:rsid w:val="005E77AA"/>
    <w:rsid w:val="005E7833"/>
    <w:rsid w:val="005E7C3F"/>
    <w:rsid w:val="005F064C"/>
    <w:rsid w:val="005F0920"/>
    <w:rsid w:val="005F0AE8"/>
    <w:rsid w:val="005F0C26"/>
    <w:rsid w:val="005F0EA7"/>
    <w:rsid w:val="005F0FC0"/>
    <w:rsid w:val="005F10FC"/>
    <w:rsid w:val="005F1304"/>
    <w:rsid w:val="005F154A"/>
    <w:rsid w:val="005F1603"/>
    <w:rsid w:val="005F1CCC"/>
    <w:rsid w:val="005F1F5A"/>
    <w:rsid w:val="005F1FD6"/>
    <w:rsid w:val="005F2515"/>
    <w:rsid w:val="005F278F"/>
    <w:rsid w:val="005F281A"/>
    <w:rsid w:val="005F2A6B"/>
    <w:rsid w:val="005F2CBD"/>
    <w:rsid w:val="005F2F97"/>
    <w:rsid w:val="005F3163"/>
    <w:rsid w:val="005F3205"/>
    <w:rsid w:val="005F3366"/>
    <w:rsid w:val="005F3432"/>
    <w:rsid w:val="005F348C"/>
    <w:rsid w:val="005F34AA"/>
    <w:rsid w:val="005F34B9"/>
    <w:rsid w:val="005F3992"/>
    <w:rsid w:val="005F3999"/>
    <w:rsid w:val="005F3B65"/>
    <w:rsid w:val="005F40C1"/>
    <w:rsid w:val="005F40E1"/>
    <w:rsid w:val="005F40EF"/>
    <w:rsid w:val="005F43F1"/>
    <w:rsid w:val="005F4415"/>
    <w:rsid w:val="005F4586"/>
    <w:rsid w:val="005F4796"/>
    <w:rsid w:val="005F4837"/>
    <w:rsid w:val="005F49F2"/>
    <w:rsid w:val="005F4BFC"/>
    <w:rsid w:val="005F4D87"/>
    <w:rsid w:val="005F4EF6"/>
    <w:rsid w:val="005F59B5"/>
    <w:rsid w:val="005F6498"/>
    <w:rsid w:val="005F69DF"/>
    <w:rsid w:val="005F6DD2"/>
    <w:rsid w:val="005F6E0D"/>
    <w:rsid w:val="005F6E9F"/>
    <w:rsid w:val="005F6F22"/>
    <w:rsid w:val="005F71B6"/>
    <w:rsid w:val="005F7240"/>
    <w:rsid w:val="005F7490"/>
    <w:rsid w:val="005F75C2"/>
    <w:rsid w:val="005F76B6"/>
    <w:rsid w:val="005F7704"/>
    <w:rsid w:val="005F778A"/>
    <w:rsid w:val="005F7AE2"/>
    <w:rsid w:val="005F7D73"/>
    <w:rsid w:val="005F7D85"/>
    <w:rsid w:val="0060003B"/>
    <w:rsid w:val="00600276"/>
    <w:rsid w:val="006004BC"/>
    <w:rsid w:val="006008E0"/>
    <w:rsid w:val="00600A39"/>
    <w:rsid w:val="00600A8E"/>
    <w:rsid w:val="00600AC8"/>
    <w:rsid w:val="00600ACA"/>
    <w:rsid w:val="006010E8"/>
    <w:rsid w:val="00601459"/>
    <w:rsid w:val="006015C6"/>
    <w:rsid w:val="006016BE"/>
    <w:rsid w:val="006017D9"/>
    <w:rsid w:val="00601D65"/>
    <w:rsid w:val="00601E49"/>
    <w:rsid w:val="00601F51"/>
    <w:rsid w:val="00601FFE"/>
    <w:rsid w:val="006021D0"/>
    <w:rsid w:val="00602358"/>
    <w:rsid w:val="006024D3"/>
    <w:rsid w:val="00602879"/>
    <w:rsid w:val="00602BA7"/>
    <w:rsid w:val="00602C2A"/>
    <w:rsid w:val="00602D81"/>
    <w:rsid w:val="00603190"/>
    <w:rsid w:val="006031CF"/>
    <w:rsid w:val="00603402"/>
    <w:rsid w:val="006034A5"/>
    <w:rsid w:val="00603657"/>
    <w:rsid w:val="00603705"/>
    <w:rsid w:val="00603B6F"/>
    <w:rsid w:val="00603BDC"/>
    <w:rsid w:val="00603E44"/>
    <w:rsid w:val="006040A6"/>
    <w:rsid w:val="0060423D"/>
    <w:rsid w:val="00604350"/>
    <w:rsid w:val="00604666"/>
    <w:rsid w:val="006046C4"/>
    <w:rsid w:val="0060486E"/>
    <w:rsid w:val="00604ABA"/>
    <w:rsid w:val="00604D14"/>
    <w:rsid w:val="006050D7"/>
    <w:rsid w:val="00605155"/>
    <w:rsid w:val="006055FB"/>
    <w:rsid w:val="00605642"/>
    <w:rsid w:val="00605667"/>
    <w:rsid w:val="00605A1E"/>
    <w:rsid w:val="006065DB"/>
    <w:rsid w:val="006067C2"/>
    <w:rsid w:val="00606A74"/>
    <w:rsid w:val="00606C01"/>
    <w:rsid w:val="00606DD1"/>
    <w:rsid w:val="00606EF9"/>
    <w:rsid w:val="0060706A"/>
    <w:rsid w:val="00607758"/>
    <w:rsid w:val="00607C81"/>
    <w:rsid w:val="00607D3B"/>
    <w:rsid w:val="00610122"/>
    <w:rsid w:val="006101EE"/>
    <w:rsid w:val="00610324"/>
    <w:rsid w:val="006103C3"/>
    <w:rsid w:val="00610504"/>
    <w:rsid w:val="00610582"/>
    <w:rsid w:val="006105E7"/>
    <w:rsid w:val="00610674"/>
    <w:rsid w:val="0061081F"/>
    <w:rsid w:val="0061090D"/>
    <w:rsid w:val="00610969"/>
    <w:rsid w:val="00610A45"/>
    <w:rsid w:val="00610C0C"/>
    <w:rsid w:val="00610D5E"/>
    <w:rsid w:val="006110E8"/>
    <w:rsid w:val="00611255"/>
    <w:rsid w:val="006112E3"/>
    <w:rsid w:val="0061134F"/>
    <w:rsid w:val="00611928"/>
    <w:rsid w:val="006119F5"/>
    <w:rsid w:val="00611B21"/>
    <w:rsid w:val="00611C59"/>
    <w:rsid w:val="00612087"/>
    <w:rsid w:val="00612CE6"/>
    <w:rsid w:val="00612FF5"/>
    <w:rsid w:val="00613444"/>
    <w:rsid w:val="00613467"/>
    <w:rsid w:val="00613512"/>
    <w:rsid w:val="006136E9"/>
    <w:rsid w:val="00613D2B"/>
    <w:rsid w:val="00613EA3"/>
    <w:rsid w:val="006140B2"/>
    <w:rsid w:val="00614319"/>
    <w:rsid w:val="006148A0"/>
    <w:rsid w:val="00614BAE"/>
    <w:rsid w:val="00615005"/>
    <w:rsid w:val="00615020"/>
    <w:rsid w:val="0061518E"/>
    <w:rsid w:val="006152A1"/>
    <w:rsid w:val="006153C1"/>
    <w:rsid w:val="00615552"/>
    <w:rsid w:val="00615FF1"/>
    <w:rsid w:val="00616087"/>
    <w:rsid w:val="006163C4"/>
    <w:rsid w:val="006164D5"/>
    <w:rsid w:val="00616BE2"/>
    <w:rsid w:val="00616C56"/>
    <w:rsid w:val="00616D05"/>
    <w:rsid w:val="00617416"/>
    <w:rsid w:val="006175ED"/>
    <w:rsid w:val="006177F5"/>
    <w:rsid w:val="00617882"/>
    <w:rsid w:val="006178D8"/>
    <w:rsid w:val="00617B6C"/>
    <w:rsid w:val="00617BD0"/>
    <w:rsid w:val="00617E21"/>
    <w:rsid w:val="00617EE9"/>
    <w:rsid w:val="006200AA"/>
    <w:rsid w:val="006201CF"/>
    <w:rsid w:val="0062027A"/>
    <w:rsid w:val="006206B6"/>
    <w:rsid w:val="006209B7"/>
    <w:rsid w:val="0062110D"/>
    <w:rsid w:val="00621142"/>
    <w:rsid w:val="00621B5C"/>
    <w:rsid w:val="00621B60"/>
    <w:rsid w:val="00621D0B"/>
    <w:rsid w:val="0062206B"/>
    <w:rsid w:val="006221C4"/>
    <w:rsid w:val="0062221A"/>
    <w:rsid w:val="006226A2"/>
    <w:rsid w:val="006228C2"/>
    <w:rsid w:val="006228E2"/>
    <w:rsid w:val="006229C6"/>
    <w:rsid w:val="00623092"/>
    <w:rsid w:val="006231CC"/>
    <w:rsid w:val="006233DD"/>
    <w:rsid w:val="00623454"/>
    <w:rsid w:val="0062398E"/>
    <w:rsid w:val="00623A9E"/>
    <w:rsid w:val="00623AC0"/>
    <w:rsid w:val="00623F1B"/>
    <w:rsid w:val="00624061"/>
    <w:rsid w:val="006241EF"/>
    <w:rsid w:val="00624315"/>
    <w:rsid w:val="006245AB"/>
    <w:rsid w:val="00624601"/>
    <w:rsid w:val="00624778"/>
    <w:rsid w:val="00624A55"/>
    <w:rsid w:val="00624B32"/>
    <w:rsid w:val="00624C41"/>
    <w:rsid w:val="00624D4A"/>
    <w:rsid w:val="00624FCF"/>
    <w:rsid w:val="006250F5"/>
    <w:rsid w:val="00625126"/>
    <w:rsid w:val="00625334"/>
    <w:rsid w:val="0062545B"/>
    <w:rsid w:val="006254BD"/>
    <w:rsid w:val="0062552A"/>
    <w:rsid w:val="006255E7"/>
    <w:rsid w:val="00625A21"/>
    <w:rsid w:val="00625BDC"/>
    <w:rsid w:val="00625E7D"/>
    <w:rsid w:val="00625F83"/>
    <w:rsid w:val="00626023"/>
    <w:rsid w:val="00626122"/>
    <w:rsid w:val="006263CD"/>
    <w:rsid w:val="0062676F"/>
    <w:rsid w:val="006267CA"/>
    <w:rsid w:val="00626F33"/>
    <w:rsid w:val="0062726F"/>
    <w:rsid w:val="006273B3"/>
    <w:rsid w:val="00627424"/>
    <w:rsid w:val="00627588"/>
    <w:rsid w:val="0062762E"/>
    <w:rsid w:val="00627CBD"/>
    <w:rsid w:val="00627CEA"/>
    <w:rsid w:val="00627D40"/>
    <w:rsid w:val="00627E60"/>
    <w:rsid w:val="00627F3B"/>
    <w:rsid w:val="006301CB"/>
    <w:rsid w:val="0063031D"/>
    <w:rsid w:val="00630496"/>
    <w:rsid w:val="00630509"/>
    <w:rsid w:val="0063066D"/>
    <w:rsid w:val="00630736"/>
    <w:rsid w:val="006308C0"/>
    <w:rsid w:val="00630A71"/>
    <w:rsid w:val="00630C8C"/>
    <w:rsid w:val="00630FC4"/>
    <w:rsid w:val="00631491"/>
    <w:rsid w:val="0063168F"/>
    <w:rsid w:val="00631BE6"/>
    <w:rsid w:val="00631D4D"/>
    <w:rsid w:val="00631F59"/>
    <w:rsid w:val="00632709"/>
    <w:rsid w:val="00632C5D"/>
    <w:rsid w:val="00632DD2"/>
    <w:rsid w:val="00632E0E"/>
    <w:rsid w:val="00632F5B"/>
    <w:rsid w:val="006332BE"/>
    <w:rsid w:val="006333C5"/>
    <w:rsid w:val="006333CE"/>
    <w:rsid w:val="006336C7"/>
    <w:rsid w:val="00633738"/>
    <w:rsid w:val="00634018"/>
    <w:rsid w:val="0063401F"/>
    <w:rsid w:val="006347D5"/>
    <w:rsid w:val="00634A37"/>
    <w:rsid w:val="00634AC5"/>
    <w:rsid w:val="00634BF9"/>
    <w:rsid w:val="006352B5"/>
    <w:rsid w:val="006352ED"/>
    <w:rsid w:val="006352F5"/>
    <w:rsid w:val="0063554C"/>
    <w:rsid w:val="00635627"/>
    <w:rsid w:val="0063584B"/>
    <w:rsid w:val="0063672F"/>
    <w:rsid w:val="00636A1E"/>
    <w:rsid w:val="00636D93"/>
    <w:rsid w:val="00636E52"/>
    <w:rsid w:val="00636E9E"/>
    <w:rsid w:val="006372EF"/>
    <w:rsid w:val="006378B6"/>
    <w:rsid w:val="006379C2"/>
    <w:rsid w:val="00637A51"/>
    <w:rsid w:val="00637A93"/>
    <w:rsid w:val="00637C5B"/>
    <w:rsid w:val="00637E6A"/>
    <w:rsid w:val="00637F2C"/>
    <w:rsid w:val="00637F86"/>
    <w:rsid w:val="006405CB"/>
    <w:rsid w:val="00640694"/>
    <w:rsid w:val="006408C3"/>
    <w:rsid w:val="006409E1"/>
    <w:rsid w:val="00640B9C"/>
    <w:rsid w:val="00640D57"/>
    <w:rsid w:val="00640E65"/>
    <w:rsid w:val="006412DC"/>
    <w:rsid w:val="006415DB"/>
    <w:rsid w:val="00641672"/>
    <w:rsid w:val="00641E07"/>
    <w:rsid w:val="00641F9D"/>
    <w:rsid w:val="006422C5"/>
    <w:rsid w:val="00642309"/>
    <w:rsid w:val="00642640"/>
    <w:rsid w:val="006428AF"/>
    <w:rsid w:val="0064290C"/>
    <w:rsid w:val="006429C1"/>
    <w:rsid w:val="00642A61"/>
    <w:rsid w:val="00642CFE"/>
    <w:rsid w:val="00642DA3"/>
    <w:rsid w:val="0064344A"/>
    <w:rsid w:val="00643456"/>
    <w:rsid w:val="006436B7"/>
    <w:rsid w:val="0064398C"/>
    <w:rsid w:val="00643ACE"/>
    <w:rsid w:val="00643AFE"/>
    <w:rsid w:val="00643D89"/>
    <w:rsid w:val="006441C1"/>
    <w:rsid w:val="0064422B"/>
    <w:rsid w:val="006448C0"/>
    <w:rsid w:val="006449DC"/>
    <w:rsid w:val="00644AB3"/>
    <w:rsid w:val="00644B1E"/>
    <w:rsid w:val="006454BB"/>
    <w:rsid w:val="006454DE"/>
    <w:rsid w:val="006455E9"/>
    <w:rsid w:val="0064587B"/>
    <w:rsid w:val="00645A6A"/>
    <w:rsid w:val="00645AB3"/>
    <w:rsid w:val="00645AF1"/>
    <w:rsid w:val="00645E70"/>
    <w:rsid w:val="00645E7F"/>
    <w:rsid w:val="00646205"/>
    <w:rsid w:val="0064620D"/>
    <w:rsid w:val="0064670C"/>
    <w:rsid w:val="00646A7E"/>
    <w:rsid w:val="00646C9B"/>
    <w:rsid w:val="00646CE9"/>
    <w:rsid w:val="0064719A"/>
    <w:rsid w:val="006473B6"/>
    <w:rsid w:val="006475C0"/>
    <w:rsid w:val="00647948"/>
    <w:rsid w:val="00647AA3"/>
    <w:rsid w:val="00647C14"/>
    <w:rsid w:val="00647E44"/>
    <w:rsid w:val="006501F2"/>
    <w:rsid w:val="0065039B"/>
    <w:rsid w:val="006504F6"/>
    <w:rsid w:val="0065073F"/>
    <w:rsid w:val="00650849"/>
    <w:rsid w:val="006509BE"/>
    <w:rsid w:val="00650A7B"/>
    <w:rsid w:val="00650B18"/>
    <w:rsid w:val="00650B7C"/>
    <w:rsid w:val="00650CCE"/>
    <w:rsid w:val="00651238"/>
    <w:rsid w:val="0065131D"/>
    <w:rsid w:val="0065137B"/>
    <w:rsid w:val="006513C0"/>
    <w:rsid w:val="00651718"/>
    <w:rsid w:val="0065195E"/>
    <w:rsid w:val="006519DF"/>
    <w:rsid w:val="00651DE0"/>
    <w:rsid w:val="00651F0F"/>
    <w:rsid w:val="00652244"/>
    <w:rsid w:val="0065226B"/>
    <w:rsid w:val="006524AD"/>
    <w:rsid w:val="0065260E"/>
    <w:rsid w:val="006527D1"/>
    <w:rsid w:val="00652B24"/>
    <w:rsid w:val="00652FCA"/>
    <w:rsid w:val="006530C4"/>
    <w:rsid w:val="006531FB"/>
    <w:rsid w:val="00653912"/>
    <w:rsid w:val="00653983"/>
    <w:rsid w:val="00653CB2"/>
    <w:rsid w:val="00653CD5"/>
    <w:rsid w:val="00653EE4"/>
    <w:rsid w:val="00654186"/>
    <w:rsid w:val="00654258"/>
    <w:rsid w:val="0065451A"/>
    <w:rsid w:val="006545E3"/>
    <w:rsid w:val="006545E6"/>
    <w:rsid w:val="00654AE8"/>
    <w:rsid w:val="00654B2A"/>
    <w:rsid w:val="00654CED"/>
    <w:rsid w:val="00655158"/>
    <w:rsid w:val="006553F3"/>
    <w:rsid w:val="0065577C"/>
    <w:rsid w:val="00655A4B"/>
    <w:rsid w:val="00655D11"/>
    <w:rsid w:val="00656021"/>
    <w:rsid w:val="006560C0"/>
    <w:rsid w:val="006560F7"/>
    <w:rsid w:val="006565E6"/>
    <w:rsid w:val="00656751"/>
    <w:rsid w:val="006568AF"/>
    <w:rsid w:val="00656976"/>
    <w:rsid w:val="00656A27"/>
    <w:rsid w:val="00656A94"/>
    <w:rsid w:val="006572FE"/>
    <w:rsid w:val="00657649"/>
    <w:rsid w:val="0065767B"/>
    <w:rsid w:val="006576AF"/>
    <w:rsid w:val="00657754"/>
    <w:rsid w:val="00657F30"/>
    <w:rsid w:val="00660163"/>
    <w:rsid w:val="006603FA"/>
    <w:rsid w:val="00660AFF"/>
    <w:rsid w:val="00660CB8"/>
    <w:rsid w:val="00660DD1"/>
    <w:rsid w:val="006611C3"/>
    <w:rsid w:val="00661307"/>
    <w:rsid w:val="00661686"/>
    <w:rsid w:val="006618AA"/>
    <w:rsid w:val="00661F39"/>
    <w:rsid w:val="00662412"/>
    <w:rsid w:val="006625FD"/>
    <w:rsid w:val="006626E9"/>
    <w:rsid w:val="00662CCD"/>
    <w:rsid w:val="00662D6C"/>
    <w:rsid w:val="00662DFF"/>
    <w:rsid w:val="00662EAA"/>
    <w:rsid w:val="00662F73"/>
    <w:rsid w:val="006634A6"/>
    <w:rsid w:val="00663544"/>
    <w:rsid w:val="00663AA2"/>
    <w:rsid w:val="00663C0A"/>
    <w:rsid w:val="00663FF4"/>
    <w:rsid w:val="006641DC"/>
    <w:rsid w:val="00664356"/>
    <w:rsid w:val="006643F6"/>
    <w:rsid w:val="00664973"/>
    <w:rsid w:val="00664AA5"/>
    <w:rsid w:val="00664C92"/>
    <w:rsid w:val="00664CEC"/>
    <w:rsid w:val="00664D0D"/>
    <w:rsid w:val="00664E57"/>
    <w:rsid w:val="00665266"/>
    <w:rsid w:val="0066563D"/>
    <w:rsid w:val="00665703"/>
    <w:rsid w:val="006658E1"/>
    <w:rsid w:val="00665939"/>
    <w:rsid w:val="00665B8F"/>
    <w:rsid w:val="00665CB0"/>
    <w:rsid w:val="00665CF6"/>
    <w:rsid w:val="00665FC6"/>
    <w:rsid w:val="0066637A"/>
    <w:rsid w:val="00666476"/>
    <w:rsid w:val="00667071"/>
    <w:rsid w:val="00667104"/>
    <w:rsid w:val="0066726C"/>
    <w:rsid w:val="0066763F"/>
    <w:rsid w:val="0066797B"/>
    <w:rsid w:val="00667A80"/>
    <w:rsid w:val="00667B00"/>
    <w:rsid w:val="00667B26"/>
    <w:rsid w:val="00667CBF"/>
    <w:rsid w:val="00667ED0"/>
    <w:rsid w:val="00667F6C"/>
    <w:rsid w:val="00667F9E"/>
    <w:rsid w:val="00667FB2"/>
    <w:rsid w:val="00670116"/>
    <w:rsid w:val="006703F8"/>
    <w:rsid w:val="0067062B"/>
    <w:rsid w:val="0067070D"/>
    <w:rsid w:val="00670AC3"/>
    <w:rsid w:val="00670C01"/>
    <w:rsid w:val="00670C9B"/>
    <w:rsid w:val="00670D62"/>
    <w:rsid w:val="00670F21"/>
    <w:rsid w:val="00670F81"/>
    <w:rsid w:val="00671309"/>
    <w:rsid w:val="006718A3"/>
    <w:rsid w:val="006718DE"/>
    <w:rsid w:val="0067194F"/>
    <w:rsid w:val="00671D1B"/>
    <w:rsid w:val="00671E7B"/>
    <w:rsid w:val="006720D5"/>
    <w:rsid w:val="00672120"/>
    <w:rsid w:val="0067214A"/>
    <w:rsid w:val="00672285"/>
    <w:rsid w:val="00672A4E"/>
    <w:rsid w:val="00672C47"/>
    <w:rsid w:val="006730C4"/>
    <w:rsid w:val="006730FB"/>
    <w:rsid w:val="0067327D"/>
    <w:rsid w:val="00673352"/>
    <w:rsid w:val="00673374"/>
    <w:rsid w:val="006736F3"/>
    <w:rsid w:val="00673843"/>
    <w:rsid w:val="006738B7"/>
    <w:rsid w:val="006738F7"/>
    <w:rsid w:val="00673E0B"/>
    <w:rsid w:val="00673F05"/>
    <w:rsid w:val="00674063"/>
    <w:rsid w:val="00674877"/>
    <w:rsid w:val="00674881"/>
    <w:rsid w:val="00674942"/>
    <w:rsid w:val="006749FA"/>
    <w:rsid w:val="00674BF5"/>
    <w:rsid w:val="00674CF6"/>
    <w:rsid w:val="00675069"/>
    <w:rsid w:val="006756E6"/>
    <w:rsid w:val="0067581A"/>
    <w:rsid w:val="00675872"/>
    <w:rsid w:val="00675881"/>
    <w:rsid w:val="006758CE"/>
    <w:rsid w:val="00675920"/>
    <w:rsid w:val="00675BA3"/>
    <w:rsid w:val="00675CC0"/>
    <w:rsid w:val="0067621D"/>
    <w:rsid w:val="0067646D"/>
    <w:rsid w:val="0067665C"/>
    <w:rsid w:val="00676C3B"/>
    <w:rsid w:val="00676D28"/>
    <w:rsid w:val="00676DDC"/>
    <w:rsid w:val="00676E15"/>
    <w:rsid w:val="0067707C"/>
    <w:rsid w:val="006770D5"/>
    <w:rsid w:val="006771E6"/>
    <w:rsid w:val="0067743E"/>
    <w:rsid w:val="0067748A"/>
    <w:rsid w:val="0067767F"/>
    <w:rsid w:val="006776FB"/>
    <w:rsid w:val="00677749"/>
    <w:rsid w:val="0067791F"/>
    <w:rsid w:val="00677948"/>
    <w:rsid w:val="0067796F"/>
    <w:rsid w:val="00677BC1"/>
    <w:rsid w:val="006806C9"/>
    <w:rsid w:val="0068071C"/>
    <w:rsid w:val="0068086C"/>
    <w:rsid w:val="00680874"/>
    <w:rsid w:val="0068096D"/>
    <w:rsid w:val="00680AFF"/>
    <w:rsid w:val="00680BC4"/>
    <w:rsid w:val="00680D7A"/>
    <w:rsid w:val="00680FFF"/>
    <w:rsid w:val="00681083"/>
    <w:rsid w:val="006811F9"/>
    <w:rsid w:val="0068141D"/>
    <w:rsid w:val="00681491"/>
    <w:rsid w:val="006816C0"/>
    <w:rsid w:val="00681977"/>
    <w:rsid w:val="00681B9C"/>
    <w:rsid w:val="00681C5B"/>
    <w:rsid w:val="00682149"/>
    <w:rsid w:val="00682214"/>
    <w:rsid w:val="006825C7"/>
    <w:rsid w:val="006826F6"/>
    <w:rsid w:val="0068271A"/>
    <w:rsid w:val="006827D7"/>
    <w:rsid w:val="00682AC7"/>
    <w:rsid w:val="00682ADB"/>
    <w:rsid w:val="00682AF5"/>
    <w:rsid w:val="00682C50"/>
    <w:rsid w:val="00682E8E"/>
    <w:rsid w:val="00683048"/>
    <w:rsid w:val="00683067"/>
    <w:rsid w:val="0068368C"/>
    <w:rsid w:val="006837D4"/>
    <w:rsid w:val="00683910"/>
    <w:rsid w:val="00683A0E"/>
    <w:rsid w:val="00683C95"/>
    <w:rsid w:val="00683D70"/>
    <w:rsid w:val="00683F83"/>
    <w:rsid w:val="0068446B"/>
    <w:rsid w:val="006851B1"/>
    <w:rsid w:val="006858E7"/>
    <w:rsid w:val="00685F93"/>
    <w:rsid w:val="006862DD"/>
    <w:rsid w:val="0068650C"/>
    <w:rsid w:val="00686A71"/>
    <w:rsid w:val="00686CA2"/>
    <w:rsid w:val="00686DD9"/>
    <w:rsid w:val="00686E88"/>
    <w:rsid w:val="006870E5"/>
    <w:rsid w:val="006871A1"/>
    <w:rsid w:val="006872AE"/>
    <w:rsid w:val="006873E5"/>
    <w:rsid w:val="006877DD"/>
    <w:rsid w:val="0068781F"/>
    <w:rsid w:val="00687AEE"/>
    <w:rsid w:val="00687B26"/>
    <w:rsid w:val="00690238"/>
    <w:rsid w:val="00690736"/>
    <w:rsid w:val="006909FB"/>
    <w:rsid w:val="00690EA6"/>
    <w:rsid w:val="00691081"/>
    <w:rsid w:val="006911E4"/>
    <w:rsid w:val="0069123E"/>
    <w:rsid w:val="00691262"/>
    <w:rsid w:val="006916BE"/>
    <w:rsid w:val="00691913"/>
    <w:rsid w:val="00691E88"/>
    <w:rsid w:val="00691F3D"/>
    <w:rsid w:val="006921AF"/>
    <w:rsid w:val="006922B1"/>
    <w:rsid w:val="006924F4"/>
    <w:rsid w:val="00692510"/>
    <w:rsid w:val="00692617"/>
    <w:rsid w:val="00692C10"/>
    <w:rsid w:val="00692D17"/>
    <w:rsid w:val="0069307C"/>
    <w:rsid w:val="00693399"/>
    <w:rsid w:val="006933B5"/>
    <w:rsid w:val="00693584"/>
    <w:rsid w:val="0069358D"/>
    <w:rsid w:val="0069388E"/>
    <w:rsid w:val="00693BA4"/>
    <w:rsid w:val="00693C63"/>
    <w:rsid w:val="00693F30"/>
    <w:rsid w:val="00694434"/>
    <w:rsid w:val="00694585"/>
    <w:rsid w:val="0069459C"/>
    <w:rsid w:val="006946A4"/>
    <w:rsid w:val="00694782"/>
    <w:rsid w:val="006947EA"/>
    <w:rsid w:val="00694976"/>
    <w:rsid w:val="00695409"/>
    <w:rsid w:val="00695505"/>
    <w:rsid w:val="00695518"/>
    <w:rsid w:val="006958F5"/>
    <w:rsid w:val="006959CC"/>
    <w:rsid w:val="00695C51"/>
    <w:rsid w:val="00695C95"/>
    <w:rsid w:val="00696044"/>
    <w:rsid w:val="006964D1"/>
    <w:rsid w:val="0069650D"/>
    <w:rsid w:val="0069695A"/>
    <w:rsid w:val="00696A15"/>
    <w:rsid w:val="00696DBF"/>
    <w:rsid w:val="00696E1E"/>
    <w:rsid w:val="00696F20"/>
    <w:rsid w:val="00696F95"/>
    <w:rsid w:val="006972D2"/>
    <w:rsid w:val="0069737E"/>
    <w:rsid w:val="00697390"/>
    <w:rsid w:val="0069754B"/>
    <w:rsid w:val="0069756D"/>
    <w:rsid w:val="006979EA"/>
    <w:rsid w:val="00697AF8"/>
    <w:rsid w:val="00697C52"/>
    <w:rsid w:val="00697DC4"/>
    <w:rsid w:val="00697EBF"/>
    <w:rsid w:val="006A01EB"/>
    <w:rsid w:val="006A0236"/>
    <w:rsid w:val="006A07E0"/>
    <w:rsid w:val="006A09D5"/>
    <w:rsid w:val="006A0ADF"/>
    <w:rsid w:val="006A0DD1"/>
    <w:rsid w:val="006A0F31"/>
    <w:rsid w:val="006A0F9B"/>
    <w:rsid w:val="006A0FA2"/>
    <w:rsid w:val="006A11DA"/>
    <w:rsid w:val="006A138B"/>
    <w:rsid w:val="006A1569"/>
    <w:rsid w:val="006A15B9"/>
    <w:rsid w:val="006A1D83"/>
    <w:rsid w:val="006A1F35"/>
    <w:rsid w:val="006A212A"/>
    <w:rsid w:val="006A2168"/>
    <w:rsid w:val="006A2170"/>
    <w:rsid w:val="006A21AD"/>
    <w:rsid w:val="006A239A"/>
    <w:rsid w:val="006A23E5"/>
    <w:rsid w:val="006A2671"/>
    <w:rsid w:val="006A2A51"/>
    <w:rsid w:val="006A2BF1"/>
    <w:rsid w:val="006A2FC0"/>
    <w:rsid w:val="006A3264"/>
    <w:rsid w:val="006A351E"/>
    <w:rsid w:val="006A3BDA"/>
    <w:rsid w:val="006A3E8C"/>
    <w:rsid w:val="006A404D"/>
    <w:rsid w:val="006A44A7"/>
    <w:rsid w:val="006A45B5"/>
    <w:rsid w:val="006A4974"/>
    <w:rsid w:val="006A499E"/>
    <w:rsid w:val="006A4C1F"/>
    <w:rsid w:val="006A5416"/>
    <w:rsid w:val="006A561C"/>
    <w:rsid w:val="006A59BE"/>
    <w:rsid w:val="006A5ADD"/>
    <w:rsid w:val="006A5D62"/>
    <w:rsid w:val="006A6270"/>
    <w:rsid w:val="006A6350"/>
    <w:rsid w:val="006A6458"/>
    <w:rsid w:val="006A68FC"/>
    <w:rsid w:val="006A6B63"/>
    <w:rsid w:val="006A6D91"/>
    <w:rsid w:val="006A7211"/>
    <w:rsid w:val="006A7511"/>
    <w:rsid w:val="006A7556"/>
    <w:rsid w:val="006A7952"/>
    <w:rsid w:val="006A79D4"/>
    <w:rsid w:val="006A7FD9"/>
    <w:rsid w:val="006B02CB"/>
    <w:rsid w:val="006B03EA"/>
    <w:rsid w:val="006B0480"/>
    <w:rsid w:val="006B06BC"/>
    <w:rsid w:val="006B06E6"/>
    <w:rsid w:val="006B0832"/>
    <w:rsid w:val="006B0BD2"/>
    <w:rsid w:val="006B0CA8"/>
    <w:rsid w:val="006B1121"/>
    <w:rsid w:val="006B140A"/>
    <w:rsid w:val="006B1771"/>
    <w:rsid w:val="006B17F9"/>
    <w:rsid w:val="006B1A05"/>
    <w:rsid w:val="006B1E2D"/>
    <w:rsid w:val="006B1E95"/>
    <w:rsid w:val="006B25DD"/>
    <w:rsid w:val="006B27BB"/>
    <w:rsid w:val="006B2BCF"/>
    <w:rsid w:val="006B3002"/>
    <w:rsid w:val="006B308F"/>
    <w:rsid w:val="006B32AD"/>
    <w:rsid w:val="006B3326"/>
    <w:rsid w:val="006B33EA"/>
    <w:rsid w:val="006B3503"/>
    <w:rsid w:val="006B3552"/>
    <w:rsid w:val="006B357C"/>
    <w:rsid w:val="006B38B2"/>
    <w:rsid w:val="006B3960"/>
    <w:rsid w:val="006B39A7"/>
    <w:rsid w:val="006B3BE5"/>
    <w:rsid w:val="006B3DF2"/>
    <w:rsid w:val="006B414C"/>
    <w:rsid w:val="006B494F"/>
    <w:rsid w:val="006B4AA2"/>
    <w:rsid w:val="006B4BEF"/>
    <w:rsid w:val="006B4C3C"/>
    <w:rsid w:val="006B4F37"/>
    <w:rsid w:val="006B52ED"/>
    <w:rsid w:val="006B53A7"/>
    <w:rsid w:val="006B55A7"/>
    <w:rsid w:val="006B5978"/>
    <w:rsid w:val="006B5D29"/>
    <w:rsid w:val="006B5D7D"/>
    <w:rsid w:val="006B6044"/>
    <w:rsid w:val="006B626D"/>
    <w:rsid w:val="006B68F8"/>
    <w:rsid w:val="006B699A"/>
    <w:rsid w:val="006B6AFB"/>
    <w:rsid w:val="006B6B7A"/>
    <w:rsid w:val="006B6D85"/>
    <w:rsid w:val="006B6DE4"/>
    <w:rsid w:val="006B70DD"/>
    <w:rsid w:val="006B7352"/>
    <w:rsid w:val="006B73AE"/>
    <w:rsid w:val="006B73DC"/>
    <w:rsid w:val="006B77A0"/>
    <w:rsid w:val="006B7B17"/>
    <w:rsid w:val="006B7FCF"/>
    <w:rsid w:val="006C014A"/>
    <w:rsid w:val="006C0974"/>
    <w:rsid w:val="006C144D"/>
    <w:rsid w:val="006C193B"/>
    <w:rsid w:val="006C1F4E"/>
    <w:rsid w:val="006C208B"/>
    <w:rsid w:val="006C283A"/>
    <w:rsid w:val="006C2F02"/>
    <w:rsid w:val="006C33EF"/>
    <w:rsid w:val="006C34C1"/>
    <w:rsid w:val="006C3706"/>
    <w:rsid w:val="006C3ADB"/>
    <w:rsid w:val="006C3E79"/>
    <w:rsid w:val="006C3F15"/>
    <w:rsid w:val="006C4485"/>
    <w:rsid w:val="006C4753"/>
    <w:rsid w:val="006C478F"/>
    <w:rsid w:val="006C488B"/>
    <w:rsid w:val="006C4906"/>
    <w:rsid w:val="006C4E6F"/>
    <w:rsid w:val="006C504B"/>
    <w:rsid w:val="006C5296"/>
    <w:rsid w:val="006C572B"/>
    <w:rsid w:val="006C5734"/>
    <w:rsid w:val="006C5935"/>
    <w:rsid w:val="006C5B02"/>
    <w:rsid w:val="006C5BB0"/>
    <w:rsid w:val="006C5DF3"/>
    <w:rsid w:val="006C6044"/>
    <w:rsid w:val="006C66C7"/>
    <w:rsid w:val="006C6767"/>
    <w:rsid w:val="006C6AA6"/>
    <w:rsid w:val="006C6E57"/>
    <w:rsid w:val="006C7014"/>
    <w:rsid w:val="006C71B9"/>
    <w:rsid w:val="006C7241"/>
    <w:rsid w:val="006C78C8"/>
    <w:rsid w:val="006C7C32"/>
    <w:rsid w:val="006C7F0F"/>
    <w:rsid w:val="006D02DA"/>
    <w:rsid w:val="006D0679"/>
    <w:rsid w:val="006D0A1F"/>
    <w:rsid w:val="006D0B41"/>
    <w:rsid w:val="006D0D54"/>
    <w:rsid w:val="006D1234"/>
    <w:rsid w:val="006D1506"/>
    <w:rsid w:val="006D16E7"/>
    <w:rsid w:val="006D1A51"/>
    <w:rsid w:val="006D1B76"/>
    <w:rsid w:val="006D1CB6"/>
    <w:rsid w:val="006D1D35"/>
    <w:rsid w:val="006D238E"/>
    <w:rsid w:val="006D24DB"/>
    <w:rsid w:val="006D274E"/>
    <w:rsid w:val="006D2AC5"/>
    <w:rsid w:val="006D2C9B"/>
    <w:rsid w:val="006D2CBD"/>
    <w:rsid w:val="006D2F7B"/>
    <w:rsid w:val="006D2F92"/>
    <w:rsid w:val="006D303E"/>
    <w:rsid w:val="006D3271"/>
    <w:rsid w:val="006D330D"/>
    <w:rsid w:val="006D33C5"/>
    <w:rsid w:val="006D3480"/>
    <w:rsid w:val="006D3678"/>
    <w:rsid w:val="006D36D9"/>
    <w:rsid w:val="006D381B"/>
    <w:rsid w:val="006D3EA7"/>
    <w:rsid w:val="006D404B"/>
    <w:rsid w:val="006D421B"/>
    <w:rsid w:val="006D44D7"/>
    <w:rsid w:val="006D4819"/>
    <w:rsid w:val="006D4CA9"/>
    <w:rsid w:val="006D4E1F"/>
    <w:rsid w:val="006D4ED5"/>
    <w:rsid w:val="006D52B5"/>
    <w:rsid w:val="006D52BD"/>
    <w:rsid w:val="006D5810"/>
    <w:rsid w:val="006D5D03"/>
    <w:rsid w:val="006D5EF7"/>
    <w:rsid w:val="006D5F43"/>
    <w:rsid w:val="006D648F"/>
    <w:rsid w:val="006D68C4"/>
    <w:rsid w:val="006D6987"/>
    <w:rsid w:val="006D6A62"/>
    <w:rsid w:val="006D6BEC"/>
    <w:rsid w:val="006D6C3F"/>
    <w:rsid w:val="006D6C46"/>
    <w:rsid w:val="006D6D21"/>
    <w:rsid w:val="006D6FE6"/>
    <w:rsid w:val="006D72D4"/>
    <w:rsid w:val="006D7554"/>
    <w:rsid w:val="006D764F"/>
    <w:rsid w:val="006D769D"/>
    <w:rsid w:val="006D7809"/>
    <w:rsid w:val="006D7ABF"/>
    <w:rsid w:val="006D7ADC"/>
    <w:rsid w:val="006D7D15"/>
    <w:rsid w:val="006D7D25"/>
    <w:rsid w:val="006D7DEB"/>
    <w:rsid w:val="006E0395"/>
    <w:rsid w:val="006E0BBC"/>
    <w:rsid w:val="006E0D07"/>
    <w:rsid w:val="006E1021"/>
    <w:rsid w:val="006E111C"/>
    <w:rsid w:val="006E152E"/>
    <w:rsid w:val="006E1691"/>
    <w:rsid w:val="006E1790"/>
    <w:rsid w:val="006E19F8"/>
    <w:rsid w:val="006E1C65"/>
    <w:rsid w:val="006E1E6E"/>
    <w:rsid w:val="006E1EFA"/>
    <w:rsid w:val="006E1FB8"/>
    <w:rsid w:val="006E1FE0"/>
    <w:rsid w:val="006E2004"/>
    <w:rsid w:val="006E25F6"/>
    <w:rsid w:val="006E281C"/>
    <w:rsid w:val="006E2CFA"/>
    <w:rsid w:val="006E3132"/>
    <w:rsid w:val="006E3212"/>
    <w:rsid w:val="006E32A0"/>
    <w:rsid w:val="006E3688"/>
    <w:rsid w:val="006E378B"/>
    <w:rsid w:val="006E37E6"/>
    <w:rsid w:val="006E3A6E"/>
    <w:rsid w:val="006E3CBF"/>
    <w:rsid w:val="006E3D18"/>
    <w:rsid w:val="006E3F03"/>
    <w:rsid w:val="006E4336"/>
    <w:rsid w:val="006E499C"/>
    <w:rsid w:val="006E4C5B"/>
    <w:rsid w:val="006E4D19"/>
    <w:rsid w:val="006E4ED7"/>
    <w:rsid w:val="006E4F07"/>
    <w:rsid w:val="006E5975"/>
    <w:rsid w:val="006E597A"/>
    <w:rsid w:val="006E60E9"/>
    <w:rsid w:val="006E63AC"/>
    <w:rsid w:val="006E6E92"/>
    <w:rsid w:val="006E6FC8"/>
    <w:rsid w:val="006E7302"/>
    <w:rsid w:val="006E7BBA"/>
    <w:rsid w:val="006E7CB9"/>
    <w:rsid w:val="006E7FD8"/>
    <w:rsid w:val="006F0128"/>
    <w:rsid w:val="006F046E"/>
    <w:rsid w:val="006F04C7"/>
    <w:rsid w:val="006F067D"/>
    <w:rsid w:val="006F0AFA"/>
    <w:rsid w:val="006F0B0F"/>
    <w:rsid w:val="006F0B91"/>
    <w:rsid w:val="006F0E94"/>
    <w:rsid w:val="006F0F22"/>
    <w:rsid w:val="006F101A"/>
    <w:rsid w:val="006F10A1"/>
    <w:rsid w:val="006F11F9"/>
    <w:rsid w:val="006F143B"/>
    <w:rsid w:val="006F1516"/>
    <w:rsid w:val="006F161E"/>
    <w:rsid w:val="006F162D"/>
    <w:rsid w:val="006F17CC"/>
    <w:rsid w:val="006F1BB3"/>
    <w:rsid w:val="006F1D79"/>
    <w:rsid w:val="006F2056"/>
    <w:rsid w:val="006F21CC"/>
    <w:rsid w:val="006F25F3"/>
    <w:rsid w:val="006F27D1"/>
    <w:rsid w:val="006F3190"/>
    <w:rsid w:val="006F326E"/>
    <w:rsid w:val="006F32CD"/>
    <w:rsid w:val="006F33C6"/>
    <w:rsid w:val="006F350A"/>
    <w:rsid w:val="006F3E5D"/>
    <w:rsid w:val="006F3FA6"/>
    <w:rsid w:val="006F435C"/>
    <w:rsid w:val="006F4451"/>
    <w:rsid w:val="006F4721"/>
    <w:rsid w:val="006F48F5"/>
    <w:rsid w:val="006F4B6B"/>
    <w:rsid w:val="006F51AE"/>
    <w:rsid w:val="006F520E"/>
    <w:rsid w:val="006F538D"/>
    <w:rsid w:val="006F5727"/>
    <w:rsid w:val="006F5918"/>
    <w:rsid w:val="006F5E55"/>
    <w:rsid w:val="006F6126"/>
    <w:rsid w:val="006F64F3"/>
    <w:rsid w:val="006F679D"/>
    <w:rsid w:val="006F68F0"/>
    <w:rsid w:val="006F6DDD"/>
    <w:rsid w:val="006F6EC6"/>
    <w:rsid w:val="006F7028"/>
    <w:rsid w:val="006F7268"/>
    <w:rsid w:val="006F761E"/>
    <w:rsid w:val="006F7706"/>
    <w:rsid w:val="006F79FB"/>
    <w:rsid w:val="006F7D25"/>
    <w:rsid w:val="006F7F84"/>
    <w:rsid w:val="007005F8"/>
    <w:rsid w:val="00700E71"/>
    <w:rsid w:val="00700F21"/>
    <w:rsid w:val="00700F55"/>
    <w:rsid w:val="00700FE7"/>
    <w:rsid w:val="00701422"/>
    <w:rsid w:val="007015CD"/>
    <w:rsid w:val="0070172C"/>
    <w:rsid w:val="00701B14"/>
    <w:rsid w:val="00701BA2"/>
    <w:rsid w:val="00701C1A"/>
    <w:rsid w:val="00701C2D"/>
    <w:rsid w:val="00701C69"/>
    <w:rsid w:val="00701D07"/>
    <w:rsid w:val="00701E78"/>
    <w:rsid w:val="0070218E"/>
    <w:rsid w:val="0070261A"/>
    <w:rsid w:val="007026B5"/>
    <w:rsid w:val="0070272E"/>
    <w:rsid w:val="00702EEE"/>
    <w:rsid w:val="0070340A"/>
    <w:rsid w:val="00703418"/>
    <w:rsid w:val="0070343C"/>
    <w:rsid w:val="007038A9"/>
    <w:rsid w:val="00703C98"/>
    <w:rsid w:val="00703D7F"/>
    <w:rsid w:val="00704015"/>
    <w:rsid w:val="00704465"/>
    <w:rsid w:val="0070459F"/>
    <w:rsid w:val="00704825"/>
    <w:rsid w:val="007048E6"/>
    <w:rsid w:val="00704E91"/>
    <w:rsid w:val="0070521F"/>
    <w:rsid w:val="00705582"/>
    <w:rsid w:val="00705A03"/>
    <w:rsid w:val="00705EDE"/>
    <w:rsid w:val="00705FEE"/>
    <w:rsid w:val="007061AA"/>
    <w:rsid w:val="007061E9"/>
    <w:rsid w:val="0070630B"/>
    <w:rsid w:val="007063D3"/>
    <w:rsid w:val="007067F8"/>
    <w:rsid w:val="00706B77"/>
    <w:rsid w:val="00707093"/>
    <w:rsid w:val="007075B8"/>
    <w:rsid w:val="00707A3E"/>
    <w:rsid w:val="00707A97"/>
    <w:rsid w:val="00707C44"/>
    <w:rsid w:val="00707CA9"/>
    <w:rsid w:val="00707EA9"/>
    <w:rsid w:val="007100E6"/>
    <w:rsid w:val="00710485"/>
    <w:rsid w:val="00710545"/>
    <w:rsid w:val="0071058C"/>
    <w:rsid w:val="007105B6"/>
    <w:rsid w:val="007108F4"/>
    <w:rsid w:val="0071095D"/>
    <w:rsid w:val="007109D8"/>
    <w:rsid w:val="00710AC3"/>
    <w:rsid w:val="00710BD4"/>
    <w:rsid w:val="00710BD8"/>
    <w:rsid w:val="00710E47"/>
    <w:rsid w:val="0071132B"/>
    <w:rsid w:val="00711512"/>
    <w:rsid w:val="00711540"/>
    <w:rsid w:val="00711544"/>
    <w:rsid w:val="007115E8"/>
    <w:rsid w:val="00711677"/>
    <w:rsid w:val="007118E7"/>
    <w:rsid w:val="00711A86"/>
    <w:rsid w:val="00711ED9"/>
    <w:rsid w:val="00712054"/>
    <w:rsid w:val="0071208A"/>
    <w:rsid w:val="007120F9"/>
    <w:rsid w:val="007122A9"/>
    <w:rsid w:val="00712A70"/>
    <w:rsid w:val="00712C73"/>
    <w:rsid w:val="00713463"/>
    <w:rsid w:val="0071362E"/>
    <w:rsid w:val="007138E9"/>
    <w:rsid w:val="00713AE9"/>
    <w:rsid w:val="00714113"/>
    <w:rsid w:val="00714196"/>
    <w:rsid w:val="00714308"/>
    <w:rsid w:val="00714780"/>
    <w:rsid w:val="007149D7"/>
    <w:rsid w:val="00714C2D"/>
    <w:rsid w:val="00714E0D"/>
    <w:rsid w:val="00714F39"/>
    <w:rsid w:val="00714F61"/>
    <w:rsid w:val="00714FAE"/>
    <w:rsid w:val="00715033"/>
    <w:rsid w:val="0071511C"/>
    <w:rsid w:val="007158C9"/>
    <w:rsid w:val="007159C7"/>
    <w:rsid w:val="00715C93"/>
    <w:rsid w:val="00715DAC"/>
    <w:rsid w:val="00715E26"/>
    <w:rsid w:val="007161C2"/>
    <w:rsid w:val="00716262"/>
    <w:rsid w:val="007167EF"/>
    <w:rsid w:val="00716B42"/>
    <w:rsid w:val="00716B98"/>
    <w:rsid w:val="00716C02"/>
    <w:rsid w:val="00716C39"/>
    <w:rsid w:val="00716E72"/>
    <w:rsid w:val="007172CA"/>
    <w:rsid w:val="007173AC"/>
    <w:rsid w:val="007173D8"/>
    <w:rsid w:val="007175D5"/>
    <w:rsid w:val="00717809"/>
    <w:rsid w:val="00717923"/>
    <w:rsid w:val="00717B17"/>
    <w:rsid w:val="00717B9D"/>
    <w:rsid w:val="00717C8E"/>
    <w:rsid w:val="00717E0F"/>
    <w:rsid w:val="00717E8D"/>
    <w:rsid w:val="00717F7C"/>
    <w:rsid w:val="0072013C"/>
    <w:rsid w:val="007208B9"/>
    <w:rsid w:val="00720B26"/>
    <w:rsid w:val="00720E59"/>
    <w:rsid w:val="00720F5E"/>
    <w:rsid w:val="00721150"/>
    <w:rsid w:val="00721551"/>
    <w:rsid w:val="007215DB"/>
    <w:rsid w:val="007215FB"/>
    <w:rsid w:val="00721867"/>
    <w:rsid w:val="007218CA"/>
    <w:rsid w:val="0072190B"/>
    <w:rsid w:val="007219D9"/>
    <w:rsid w:val="00721B35"/>
    <w:rsid w:val="00721E34"/>
    <w:rsid w:val="00722028"/>
    <w:rsid w:val="007220C7"/>
    <w:rsid w:val="00722107"/>
    <w:rsid w:val="00722446"/>
    <w:rsid w:val="00722A14"/>
    <w:rsid w:val="00722C4C"/>
    <w:rsid w:val="00723027"/>
    <w:rsid w:val="00723096"/>
    <w:rsid w:val="00723167"/>
    <w:rsid w:val="007231AA"/>
    <w:rsid w:val="007231D7"/>
    <w:rsid w:val="0072346C"/>
    <w:rsid w:val="007235F8"/>
    <w:rsid w:val="00723798"/>
    <w:rsid w:val="00723B00"/>
    <w:rsid w:val="00723C75"/>
    <w:rsid w:val="00723D41"/>
    <w:rsid w:val="00723E1E"/>
    <w:rsid w:val="00724391"/>
    <w:rsid w:val="007249EE"/>
    <w:rsid w:val="00724F02"/>
    <w:rsid w:val="00724F15"/>
    <w:rsid w:val="007250AF"/>
    <w:rsid w:val="007251B6"/>
    <w:rsid w:val="00725419"/>
    <w:rsid w:val="007255C3"/>
    <w:rsid w:val="00725ACE"/>
    <w:rsid w:val="00725B22"/>
    <w:rsid w:val="00725B65"/>
    <w:rsid w:val="00725F7D"/>
    <w:rsid w:val="007260D5"/>
    <w:rsid w:val="00726252"/>
    <w:rsid w:val="0072626C"/>
    <w:rsid w:val="00726344"/>
    <w:rsid w:val="0072639A"/>
    <w:rsid w:val="007264C9"/>
    <w:rsid w:val="0072685C"/>
    <w:rsid w:val="00726DE4"/>
    <w:rsid w:val="00726EE1"/>
    <w:rsid w:val="0072747E"/>
    <w:rsid w:val="0072792E"/>
    <w:rsid w:val="00727D6B"/>
    <w:rsid w:val="00727E2B"/>
    <w:rsid w:val="00727FB1"/>
    <w:rsid w:val="00730443"/>
    <w:rsid w:val="0073085C"/>
    <w:rsid w:val="00730A04"/>
    <w:rsid w:val="00730C17"/>
    <w:rsid w:val="00730C46"/>
    <w:rsid w:val="00730D43"/>
    <w:rsid w:val="00730D7F"/>
    <w:rsid w:val="007311F4"/>
    <w:rsid w:val="007313A2"/>
    <w:rsid w:val="007313B5"/>
    <w:rsid w:val="007316DD"/>
    <w:rsid w:val="00731BC0"/>
    <w:rsid w:val="00731D53"/>
    <w:rsid w:val="00731E40"/>
    <w:rsid w:val="00732178"/>
    <w:rsid w:val="00732500"/>
    <w:rsid w:val="0073257B"/>
    <w:rsid w:val="0073262B"/>
    <w:rsid w:val="007326B9"/>
    <w:rsid w:val="00732724"/>
    <w:rsid w:val="007328F6"/>
    <w:rsid w:val="00732C91"/>
    <w:rsid w:val="00732E05"/>
    <w:rsid w:val="0073302B"/>
    <w:rsid w:val="007332F7"/>
    <w:rsid w:val="007333C1"/>
    <w:rsid w:val="00733682"/>
    <w:rsid w:val="007336D8"/>
    <w:rsid w:val="00733724"/>
    <w:rsid w:val="00733775"/>
    <w:rsid w:val="007337F3"/>
    <w:rsid w:val="00733A89"/>
    <w:rsid w:val="00733DEA"/>
    <w:rsid w:val="00733F01"/>
    <w:rsid w:val="00734651"/>
    <w:rsid w:val="007347EF"/>
    <w:rsid w:val="00734A64"/>
    <w:rsid w:val="00734BFC"/>
    <w:rsid w:val="00734D36"/>
    <w:rsid w:val="00734D4A"/>
    <w:rsid w:val="0073553A"/>
    <w:rsid w:val="00735792"/>
    <w:rsid w:val="00735846"/>
    <w:rsid w:val="00735A53"/>
    <w:rsid w:val="00735AF8"/>
    <w:rsid w:val="00735CAF"/>
    <w:rsid w:val="00735E01"/>
    <w:rsid w:val="00736255"/>
    <w:rsid w:val="0073627E"/>
    <w:rsid w:val="00736395"/>
    <w:rsid w:val="00736446"/>
    <w:rsid w:val="00736475"/>
    <w:rsid w:val="007366B2"/>
    <w:rsid w:val="00736718"/>
    <w:rsid w:val="0073671B"/>
    <w:rsid w:val="007369E9"/>
    <w:rsid w:val="00736E46"/>
    <w:rsid w:val="007370FF"/>
    <w:rsid w:val="00737302"/>
    <w:rsid w:val="00737381"/>
    <w:rsid w:val="00737567"/>
    <w:rsid w:val="00737763"/>
    <w:rsid w:val="00737D0F"/>
    <w:rsid w:val="00737D75"/>
    <w:rsid w:val="00737F81"/>
    <w:rsid w:val="00740278"/>
    <w:rsid w:val="0074029C"/>
    <w:rsid w:val="00740691"/>
    <w:rsid w:val="007408EF"/>
    <w:rsid w:val="007408F2"/>
    <w:rsid w:val="00740BA2"/>
    <w:rsid w:val="00740C0D"/>
    <w:rsid w:val="00740F72"/>
    <w:rsid w:val="00741156"/>
    <w:rsid w:val="0074166F"/>
    <w:rsid w:val="007416E1"/>
    <w:rsid w:val="0074171B"/>
    <w:rsid w:val="007417B6"/>
    <w:rsid w:val="00742318"/>
    <w:rsid w:val="00742360"/>
    <w:rsid w:val="00742512"/>
    <w:rsid w:val="007426A8"/>
    <w:rsid w:val="00742A37"/>
    <w:rsid w:val="00742CA9"/>
    <w:rsid w:val="00742ED4"/>
    <w:rsid w:val="007431E2"/>
    <w:rsid w:val="007431E5"/>
    <w:rsid w:val="0074322B"/>
    <w:rsid w:val="007434F4"/>
    <w:rsid w:val="0074381E"/>
    <w:rsid w:val="00743A1C"/>
    <w:rsid w:val="00743B80"/>
    <w:rsid w:val="00743DBF"/>
    <w:rsid w:val="00744201"/>
    <w:rsid w:val="00744331"/>
    <w:rsid w:val="007446E7"/>
    <w:rsid w:val="0074473C"/>
    <w:rsid w:val="00744745"/>
    <w:rsid w:val="007448E9"/>
    <w:rsid w:val="00744A4B"/>
    <w:rsid w:val="00744D8B"/>
    <w:rsid w:val="00744F3C"/>
    <w:rsid w:val="00745548"/>
    <w:rsid w:val="007457ED"/>
    <w:rsid w:val="00745811"/>
    <w:rsid w:val="0074597E"/>
    <w:rsid w:val="00745BE2"/>
    <w:rsid w:val="007461D2"/>
    <w:rsid w:val="00746226"/>
    <w:rsid w:val="00746637"/>
    <w:rsid w:val="00746BDC"/>
    <w:rsid w:val="00747109"/>
    <w:rsid w:val="00747177"/>
    <w:rsid w:val="007471ED"/>
    <w:rsid w:val="00747380"/>
    <w:rsid w:val="007473E7"/>
    <w:rsid w:val="00747979"/>
    <w:rsid w:val="00747C80"/>
    <w:rsid w:val="00747CDF"/>
    <w:rsid w:val="00747DBE"/>
    <w:rsid w:val="007500DF"/>
    <w:rsid w:val="007501FB"/>
    <w:rsid w:val="007503C5"/>
    <w:rsid w:val="007503F0"/>
    <w:rsid w:val="00750420"/>
    <w:rsid w:val="007504D4"/>
    <w:rsid w:val="00750609"/>
    <w:rsid w:val="00750704"/>
    <w:rsid w:val="007507D6"/>
    <w:rsid w:val="0075082C"/>
    <w:rsid w:val="007509A6"/>
    <w:rsid w:val="00750B5A"/>
    <w:rsid w:val="00750BF9"/>
    <w:rsid w:val="00750D4D"/>
    <w:rsid w:val="00750EA8"/>
    <w:rsid w:val="00750F2C"/>
    <w:rsid w:val="007513A5"/>
    <w:rsid w:val="00751564"/>
    <w:rsid w:val="007516D7"/>
    <w:rsid w:val="0075184E"/>
    <w:rsid w:val="00751B81"/>
    <w:rsid w:val="00751C6B"/>
    <w:rsid w:val="00751EC0"/>
    <w:rsid w:val="00751F15"/>
    <w:rsid w:val="0075238C"/>
    <w:rsid w:val="0075257B"/>
    <w:rsid w:val="0075269F"/>
    <w:rsid w:val="00752857"/>
    <w:rsid w:val="007528AF"/>
    <w:rsid w:val="0075294C"/>
    <w:rsid w:val="007529DB"/>
    <w:rsid w:val="00752C09"/>
    <w:rsid w:val="00753170"/>
    <w:rsid w:val="00753351"/>
    <w:rsid w:val="007534C5"/>
    <w:rsid w:val="007534F1"/>
    <w:rsid w:val="00753D2C"/>
    <w:rsid w:val="00753D4F"/>
    <w:rsid w:val="00754096"/>
    <w:rsid w:val="0075473F"/>
    <w:rsid w:val="00754B0A"/>
    <w:rsid w:val="00754BDA"/>
    <w:rsid w:val="00754C10"/>
    <w:rsid w:val="00754E42"/>
    <w:rsid w:val="00754E85"/>
    <w:rsid w:val="00755029"/>
    <w:rsid w:val="007551D4"/>
    <w:rsid w:val="0075552D"/>
    <w:rsid w:val="007558FA"/>
    <w:rsid w:val="00755ADC"/>
    <w:rsid w:val="00755DD4"/>
    <w:rsid w:val="00756054"/>
    <w:rsid w:val="007560BF"/>
    <w:rsid w:val="00756307"/>
    <w:rsid w:val="007563BE"/>
    <w:rsid w:val="00756A47"/>
    <w:rsid w:val="00756AD4"/>
    <w:rsid w:val="0075703F"/>
    <w:rsid w:val="00757209"/>
    <w:rsid w:val="00757290"/>
    <w:rsid w:val="0075742D"/>
    <w:rsid w:val="00757588"/>
    <w:rsid w:val="007576B2"/>
    <w:rsid w:val="00757787"/>
    <w:rsid w:val="00757AD4"/>
    <w:rsid w:val="00757B99"/>
    <w:rsid w:val="00760236"/>
    <w:rsid w:val="00760494"/>
    <w:rsid w:val="007606C5"/>
    <w:rsid w:val="00760842"/>
    <w:rsid w:val="00761489"/>
    <w:rsid w:val="007614C1"/>
    <w:rsid w:val="0076171B"/>
    <w:rsid w:val="0076177F"/>
    <w:rsid w:val="007617A9"/>
    <w:rsid w:val="007621DD"/>
    <w:rsid w:val="0076224F"/>
    <w:rsid w:val="00762373"/>
    <w:rsid w:val="007625C8"/>
    <w:rsid w:val="00762683"/>
    <w:rsid w:val="007628DF"/>
    <w:rsid w:val="00762A43"/>
    <w:rsid w:val="00762B2C"/>
    <w:rsid w:val="00762B97"/>
    <w:rsid w:val="00762BAA"/>
    <w:rsid w:val="00763458"/>
    <w:rsid w:val="0076387E"/>
    <w:rsid w:val="00763880"/>
    <w:rsid w:val="00763C00"/>
    <w:rsid w:val="00763F48"/>
    <w:rsid w:val="00763FE9"/>
    <w:rsid w:val="007641AB"/>
    <w:rsid w:val="007642FE"/>
    <w:rsid w:val="0076446C"/>
    <w:rsid w:val="007644F0"/>
    <w:rsid w:val="00764538"/>
    <w:rsid w:val="00764590"/>
    <w:rsid w:val="0076482C"/>
    <w:rsid w:val="0076493B"/>
    <w:rsid w:val="007649AD"/>
    <w:rsid w:val="007649B5"/>
    <w:rsid w:val="00765049"/>
    <w:rsid w:val="007654A3"/>
    <w:rsid w:val="00765681"/>
    <w:rsid w:val="007656C8"/>
    <w:rsid w:val="0076596D"/>
    <w:rsid w:val="00765A1A"/>
    <w:rsid w:val="00765D19"/>
    <w:rsid w:val="00765DC7"/>
    <w:rsid w:val="00765EF4"/>
    <w:rsid w:val="00765F89"/>
    <w:rsid w:val="0076631A"/>
    <w:rsid w:val="0076648E"/>
    <w:rsid w:val="00766580"/>
    <w:rsid w:val="007666C1"/>
    <w:rsid w:val="007667BD"/>
    <w:rsid w:val="00766AC8"/>
    <w:rsid w:val="00766BE9"/>
    <w:rsid w:val="00766CCD"/>
    <w:rsid w:val="007671DA"/>
    <w:rsid w:val="007672ED"/>
    <w:rsid w:val="00767744"/>
    <w:rsid w:val="00767E73"/>
    <w:rsid w:val="00767F8D"/>
    <w:rsid w:val="00770157"/>
    <w:rsid w:val="007704F5"/>
    <w:rsid w:val="007705DC"/>
    <w:rsid w:val="00770966"/>
    <w:rsid w:val="00770989"/>
    <w:rsid w:val="00770F2F"/>
    <w:rsid w:val="00770F5E"/>
    <w:rsid w:val="00770F6E"/>
    <w:rsid w:val="007715FB"/>
    <w:rsid w:val="007716B7"/>
    <w:rsid w:val="00771718"/>
    <w:rsid w:val="00771CD5"/>
    <w:rsid w:val="007722D3"/>
    <w:rsid w:val="0077267E"/>
    <w:rsid w:val="00772686"/>
    <w:rsid w:val="007728AD"/>
    <w:rsid w:val="00772AA9"/>
    <w:rsid w:val="00772B84"/>
    <w:rsid w:val="00772C70"/>
    <w:rsid w:val="00772C7C"/>
    <w:rsid w:val="00772D45"/>
    <w:rsid w:val="00772F67"/>
    <w:rsid w:val="00772FA0"/>
    <w:rsid w:val="007734F6"/>
    <w:rsid w:val="00773726"/>
    <w:rsid w:val="007738F9"/>
    <w:rsid w:val="00773C44"/>
    <w:rsid w:val="007740AA"/>
    <w:rsid w:val="0077441A"/>
    <w:rsid w:val="007745AC"/>
    <w:rsid w:val="007747E9"/>
    <w:rsid w:val="0077491C"/>
    <w:rsid w:val="00774960"/>
    <w:rsid w:val="00774A12"/>
    <w:rsid w:val="007750FD"/>
    <w:rsid w:val="0077548D"/>
    <w:rsid w:val="007759DE"/>
    <w:rsid w:val="00775A00"/>
    <w:rsid w:val="00775A0F"/>
    <w:rsid w:val="00775A4F"/>
    <w:rsid w:val="00775E86"/>
    <w:rsid w:val="00776081"/>
    <w:rsid w:val="0077667F"/>
    <w:rsid w:val="007767F0"/>
    <w:rsid w:val="00776DC2"/>
    <w:rsid w:val="00776EAA"/>
    <w:rsid w:val="00776EF4"/>
    <w:rsid w:val="00777082"/>
    <w:rsid w:val="0077759C"/>
    <w:rsid w:val="007777F0"/>
    <w:rsid w:val="007779B6"/>
    <w:rsid w:val="007806C5"/>
    <w:rsid w:val="00780A2B"/>
    <w:rsid w:val="00780B21"/>
    <w:rsid w:val="00780C1B"/>
    <w:rsid w:val="0078129F"/>
    <w:rsid w:val="007815D5"/>
    <w:rsid w:val="00781763"/>
    <w:rsid w:val="00781777"/>
    <w:rsid w:val="007817C2"/>
    <w:rsid w:val="007817EF"/>
    <w:rsid w:val="007818E0"/>
    <w:rsid w:val="00781C8E"/>
    <w:rsid w:val="00781D18"/>
    <w:rsid w:val="00781EC7"/>
    <w:rsid w:val="00781ED0"/>
    <w:rsid w:val="00781EF2"/>
    <w:rsid w:val="00781F4B"/>
    <w:rsid w:val="00781FF9"/>
    <w:rsid w:val="0078218C"/>
    <w:rsid w:val="007821B5"/>
    <w:rsid w:val="007821E7"/>
    <w:rsid w:val="00782688"/>
    <w:rsid w:val="0078299E"/>
    <w:rsid w:val="00782F9B"/>
    <w:rsid w:val="007835F4"/>
    <w:rsid w:val="00783918"/>
    <w:rsid w:val="00783A00"/>
    <w:rsid w:val="00783BA2"/>
    <w:rsid w:val="00783E67"/>
    <w:rsid w:val="00784266"/>
    <w:rsid w:val="007847D6"/>
    <w:rsid w:val="007847FA"/>
    <w:rsid w:val="007847FC"/>
    <w:rsid w:val="00784944"/>
    <w:rsid w:val="00784B6E"/>
    <w:rsid w:val="00784F29"/>
    <w:rsid w:val="00785164"/>
    <w:rsid w:val="007852D6"/>
    <w:rsid w:val="00785549"/>
    <w:rsid w:val="0078580A"/>
    <w:rsid w:val="0078580E"/>
    <w:rsid w:val="00785C13"/>
    <w:rsid w:val="00785FE0"/>
    <w:rsid w:val="007861EE"/>
    <w:rsid w:val="00786243"/>
    <w:rsid w:val="00786310"/>
    <w:rsid w:val="007863E8"/>
    <w:rsid w:val="00786702"/>
    <w:rsid w:val="00786837"/>
    <w:rsid w:val="00787161"/>
    <w:rsid w:val="00787332"/>
    <w:rsid w:val="007878BA"/>
    <w:rsid w:val="00787A52"/>
    <w:rsid w:val="00787C78"/>
    <w:rsid w:val="00787FF9"/>
    <w:rsid w:val="00790019"/>
    <w:rsid w:val="0079028F"/>
    <w:rsid w:val="0079039F"/>
    <w:rsid w:val="00790910"/>
    <w:rsid w:val="00790964"/>
    <w:rsid w:val="00790973"/>
    <w:rsid w:val="007909A5"/>
    <w:rsid w:val="00790C20"/>
    <w:rsid w:val="00791123"/>
    <w:rsid w:val="00791126"/>
    <w:rsid w:val="00791668"/>
    <w:rsid w:val="00791AC3"/>
    <w:rsid w:val="00791B48"/>
    <w:rsid w:val="00791DBD"/>
    <w:rsid w:val="00791DE1"/>
    <w:rsid w:val="0079212D"/>
    <w:rsid w:val="007924D8"/>
    <w:rsid w:val="00792A29"/>
    <w:rsid w:val="00792A7B"/>
    <w:rsid w:val="007934EC"/>
    <w:rsid w:val="007934FE"/>
    <w:rsid w:val="00793742"/>
    <w:rsid w:val="0079375E"/>
    <w:rsid w:val="00793A59"/>
    <w:rsid w:val="00793BB6"/>
    <w:rsid w:val="00793CEE"/>
    <w:rsid w:val="00793D53"/>
    <w:rsid w:val="00793FF0"/>
    <w:rsid w:val="00794150"/>
    <w:rsid w:val="0079441F"/>
    <w:rsid w:val="007944B9"/>
    <w:rsid w:val="007945F4"/>
    <w:rsid w:val="00794863"/>
    <w:rsid w:val="007948A7"/>
    <w:rsid w:val="00794BF1"/>
    <w:rsid w:val="00794D10"/>
    <w:rsid w:val="00794D28"/>
    <w:rsid w:val="00794F45"/>
    <w:rsid w:val="00795037"/>
    <w:rsid w:val="007950C2"/>
    <w:rsid w:val="0079515E"/>
    <w:rsid w:val="007952AF"/>
    <w:rsid w:val="00795383"/>
    <w:rsid w:val="007955A5"/>
    <w:rsid w:val="00795AFF"/>
    <w:rsid w:val="00795BC0"/>
    <w:rsid w:val="00795C13"/>
    <w:rsid w:val="00795C53"/>
    <w:rsid w:val="007961E7"/>
    <w:rsid w:val="007965C3"/>
    <w:rsid w:val="00796602"/>
    <w:rsid w:val="00796730"/>
    <w:rsid w:val="00796919"/>
    <w:rsid w:val="00796AF4"/>
    <w:rsid w:val="00796BCD"/>
    <w:rsid w:val="007973C4"/>
    <w:rsid w:val="00797487"/>
    <w:rsid w:val="00797619"/>
    <w:rsid w:val="00797692"/>
    <w:rsid w:val="00797BB2"/>
    <w:rsid w:val="00797D36"/>
    <w:rsid w:val="007A01E3"/>
    <w:rsid w:val="007A0667"/>
    <w:rsid w:val="007A08F9"/>
    <w:rsid w:val="007A0C94"/>
    <w:rsid w:val="007A0CDE"/>
    <w:rsid w:val="007A0D0E"/>
    <w:rsid w:val="007A11E7"/>
    <w:rsid w:val="007A144D"/>
    <w:rsid w:val="007A14EA"/>
    <w:rsid w:val="007A15AF"/>
    <w:rsid w:val="007A15B8"/>
    <w:rsid w:val="007A17AE"/>
    <w:rsid w:val="007A1983"/>
    <w:rsid w:val="007A1AEB"/>
    <w:rsid w:val="007A1BBF"/>
    <w:rsid w:val="007A1E78"/>
    <w:rsid w:val="007A2078"/>
    <w:rsid w:val="007A21DA"/>
    <w:rsid w:val="007A235B"/>
    <w:rsid w:val="007A25E3"/>
    <w:rsid w:val="007A26BA"/>
    <w:rsid w:val="007A2833"/>
    <w:rsid w:val="007A2961"/>
    <w:rsid w:val="007A2D3D"/>
    <w:rsid w:val="007A2D80"/>
    <w:rsid w:val="007A2E45"/>
    <w:rsid w:val="007A2E63"/>
    <w:rsid w:val="007A2F91"/>
    <w:rsid w:val="007A321D"/>
    <w:rsid w:val="007A327A"/>
    <w:rsid w:val="007A33D4"/>
    <w:rsid w:val="007A33DA"/>
    <w:rsid w:val="007A3568"/>
    <w:rsid w:val="007A3745"/>
    <w:rsid w:val="007A37EA"/>
    <w:rsid w:val="007A3A8C"/>
    <w:rsid w:val="007A3B95"/>
    <w:rsid w:val="007A3FA9"/>
    <w:rsid w:val="007A4014"/>
    <w:rsid w:val="007A405C"/>
    <w:rsid w:val="007A41D7"/>
    <w:rsid w:val="007A4500"/>
    <w:rsid w:val="007A47D4"/>
    <w:rsid w:val="007A4A6D"/>
    <w:rsid w:val="007A4E0E"/>
    <w:rsid w:val="007A4EC3"/>
    <w:rsid w:val="007A5186"/>
    <w:rsid w:val="007A5A17"/>
    <w:rsid w:val="007A5AC4"/>
    <w:rsid w:val="007A5FB6"/>
    <w:rsid w:val="007A6254"/>
    <w:rsid w:val="007A62DA"/>
    <w:rsid w:val="007A635C"/>
    <w:rsid w:val="007A6937"/>
    <w:rsid w:val="007A6E40"/>
    <w:rsid w:val="007A6F8D"/>
    <w:rsid w:val="007A70C8"/>
    <w:rsid w:val="007A7289"/>
    <w:rsid w:val="007A7454"/>
    <w:rsid w:val="007A75F3"/>
    <w:rsid w:val="007A77AB"/>
    <w:rsid w:val="007A7A78"/>
    <w:rsid w:val="007A7B89"/>
    <w:rsid w:val="007A7CE3"/>
    <w:rsid w:val="007A7E5E"/>
    <w:rsid w:val="007B012B"/>
    <w:rsid w:val="007B0653"/>
    <w:rsid w:val="007B07A9"/>
    <w:rsid w:val="007B0DC2"/>
    <w:rsid w:val="007B0E0C"/>
    <w:rsid w:val="007B0FC9"/>
    <w:rsid w:val="007B10C7"/>
    <w:rsid w:val="007B1118"/>
    <w:rsid w:val="007B11A7"/>
    <w:rsid w:val="007B133A"/>
    <w:rsid w:val="007B146E"/>
    <w:rsid w:val="007B16D9"/>
    <w:rsid w:val="007B1720"/>
    <w:rsid w:val="007B179A"/>
    <w:rsid w:val="007B1CD5"/>
    <w:rsid w:val="007B1F02"/>
    <w:rsid w:val="007B2065"/>
    <w:rsid w:val="007B20D7"/>
    <w:rsid w:val="007B20EB"/>
    <w:rsid w:val="007B2141"/>
    <w:rsid w:val="007B21CB"/>
    <w:rsid w:val="007B2349"/>
    <w:rsid w:val="007B23AF"/>
    <w:rsid w:val="007B2581"/>
    <w:rsid w:val="007B26FA"/>
    <w:rsid w:val="007B2AF8"/>
    <w:rsid w:val="007B2F87"/>
    <w:rsid w:val="007B33BF"/>
    <w:rsid w:val="007B37EE"/>
    <w:rsid w:val="007B3C1D"/>
    <w:rsid w:val="007B3C79"/>
    <w:rsid w:val="007B3EA5"/>
    <w:rsid w:val="007B3F70"/>
    <w:rsid w:val="007B41C9"/>
    <w:rsid w:val="007B41ED"/>
    <w:rsid w:val="007B449F"/>
    <w:rsid w:val="007B45C7"/>
    <w:rsid w:val="007B4667"/>
    <w:rsid w:val="007B4E9C"/>
    <w:rsid w:val="007B5131"/>
    <w:rsid w:val="007B5544"/>
    <w:rsid w:val="007B558D"/>
    <w:rsid w:val="007B5647"/>
    <w:rsid w:val="007B5741"/>
    <w:rsid w:val="007B598D"/>
    <w:rsid w:val="007B59D4"/>
    <w:rsid w:val="007B5D05"/>
    <w:rsid w:val="007B5F23"/>
    <w:rsid w:val="007B5FD5"/>
    <w:rsid w:val="007B632C"/>
    <w:rsid w:val="007B6582"/>
    <w:rsid w:val="007B66B7"/>
    <w:rsid w:val="007B68C7"/>
    <w:rsid w:val="007B68DE"/>
    <w:rsid w:val="007B68F5"/>
    <w:rsid w:val="007B6982"/>
    <w:rsid w:val="007B6BDC"/>
    <w:rsid w:val="007B72E5"/>
    <w:rsid w:val="007B7351"/>
    <w:rsid w:val="007B73AA"/>
    <w:rsid w:val="007B7420"/>
    <w:rsid w:val="007B762D"/>
    <w:rsid w:val="007B771D"/>
    <w:rsid w:val="007B7762"/>
    <w:rsid w:val="007B7B92"/>
    <w:rsid w:val="007B7BA1"/>
    <w:rsid w:val="007B7C10"/>
    <w:rsid w:val="007B7CF4"/>
    <w:rsid w:val="007B7EE8"/>
    <w:rsid w:val="007C00B1"/>
    <w:rsid w:val="007C00F5"/>
    <w:rsid w:val="007C0288"/>
    <w:rsid w:val="007C05AA"/>
    <w:rsid w:val="007C066F"/>
    <w:rsid w:val="007C0950"/>
    <w:rsid w:val="007C0BEE"/>
    <w:rsid w:val="007C0BFA"/>
    <w:rsid w:val="007C0D0E"/>
    <w:rsid w:val="007C10E7"/>
    <w:rsid w:val="007C1721"/>
    <w:rsid w:val="007C1B23"/>
    <w:rsid w:val="007C1E1E"/>
    <w:rsid w:val="007C26E5"/>
    <w:rsid w:val="007C27E0"/>
    <w:rsid w:val="007C2DDC"/>
    <w:rsid w:val="007C3282"/>
    <w:rsid w:val="007C3353"/>
    <w:rsid w:val="007C39F8"/>
    <w:rsid w:val="007C44CE"/>
    <w:rsid w:val="007C45C3"/>
    <w:rsid w:val="007C495F"/>
    <w:rsid w:val="007C497A"/>
    <w:rsid w:val="007C4A35"/>
    <w:rsid w:val="007C4C3A"/>
    <w:rsid w:val="007C50FC"/>
    <w:rsid w:val="007C528F"/>
    <w:rsid w:val="007C5313"/>
    <w:rsid w:val="007C5314"/>
    <w:rsid w:val="007C585E"/>
    <w:rsid w:val="007C5BBB"/>
    <w:rsid w:val="007C5CA7"/>
    <w:rsid w:val="007C5F5D"/>
    <w:rsid w:val="007C63F0"/>
    <w:rsid w:val="007C6A7E"/>
    <w:rsid w:val="007C6A97"/>
    <w:rsid w:val="007C6B1D"/>
    <w:rsid w:val="007C6EA3"/>
    <w:rsid w:val="007C6F6A"/>
    <w:rsid w:val="007C720A"/>
    <w:rsid w:val="007C7254"/>
    <w:rsid w:val="007C72F2"/>
    <w:rsid w:val="007C7499"/>
    <w:rsid w:val="007C7A31"/>
    <w:rsid w:val="007C7B2B"/>
    <w:rsid w:val="007C7C47"/>
    <w:rsid w:val="007C7C97"/>
    <w:rsid w:val="007C7F7E"/>
    <w:rsid w:val="007D0045"/>
    <w:rsid w:val="007D0272"/>
    <w:rsid w:val="007D0320"/>
    <w:rsid w:val="007D0348"/>
    <w:rsid w:val="007D0668"/>
    <w:rsid w:val="007D0ECE"/>
    <w:rsid w:val="007D1092"/>
    <w:rsid w:val="007D10B7"/>
    <w:rsid w:val="007D118C"/>
    <w:rsid w:val="007D1200"/>
    <w:rsid w:val="007D162E"/>
    <w:rsid w:val="007D1785"/>
    <w:rsid w:val="007D18C1"/>
    <w:rsid w:val="007D1924"/>
    <w:rsid w:val="007D1D41"/>
    <w:rsid w:val="007D204D"/>
    <w:rsid w:val="007D2621"/>
    <w:rsid w:val="007D2E20"/>
    <w:rsid w:val="007D3BFB"/>
    <w:rsid w:val="007D3F68"/>
    <w:rsid w:val="007D4112"/>
    <w:rsid w:val="007D41CB"/>
    <w:rsid w:val="007D45C3"/>
    <w:rsid w:val="007D45E6"/>
    <w:rsid w:val="007D4880"/>
    <w:rsid w:val="007D4966"/>
    <w:rsid w:val="007D4B77"/>
    <w:rsid w:val="007D4E62"/>
    <w:rsid w:val="007D5061"/>
    <w:rsid w:val="007D5698"/>
    <w:rsid w:val="007D5858"/>
    <w:rsid w:val="007D5CA8"/>
    <w:rsid w:val="007D6204"/>
    <w:rsid w:val="007D6437"/>
    <w:rsid w:val="007D6681"/>
    <w:rsid w:val="007D6A1A"/>
    <w:rsid w:val="007D6A41"/>
    <w:rsid w:val="007D6AD7"/>
    <w:rsid w:val="007D6B9E"/>
    <w:rsid w:val="007D6CB6"/>
    <w:rsid w:val="007D6E23"/>
    <w:rsid w:val="007D75AB"/>
    <w:rsid w:val="007D792C"/>
    <w:rsid w:val="007D796D"/>
    <w:rsid w:val="007D7A0B"/>
    <w:rsid w:val="007D7E68"/>
    <w:rsid w:val="007D7F72"/>
    <w:rsid w:val="007E01DA"/>
    <w:rsid w:val="007E0326"/>
    <w:rsid w:val="007E0808"/>
    <w:rsid w:val="007E0B42"/>
    <w:rsid w:val="007E0CAF"/>
    <w:rsid w:val="007E10FD"/>
    <w:rsid w:val="007E1154"/>
    <w:rsid w:val="007E1839"/>
    <w:rsid w:val="007E183F"/>
    <w:rsid w:val="007E185B"/>
    <w:rsid w:val="007E18C9"/>
    <w:rsid w:val="007E1C42"/>
    <w:rsid w:val="007E1EB9"/>
    <w:rsid w:val="007E208E"/>
    <w:rsid w:val="007E2B9A"/>
    <w:rsid w:val="007E2E54"/>
    <w:rsid w:val="007E2EC7"/>
    <w:rsid w:val="007E2F09"/>
    <w:rsid w:val="007E31D4"/>
    <w:rsid w:val="007E325B"/>
    <w:rsid w:val="007E3975"/>
    <w:rsid w:val="007E3C2C"/>
    <w:rsid w:val="007E3D0E"/>
    <w:rsid w:val="007E4012"/>
    <w:rsid w:val="007E40A0"/>
    <w:rsid w:val="007E4207"/>
    <w:rsid w:val="007E43F9"/>
    <w:rsid w:val="007E46F7"/>
    <w:rsid w:val="007E4F4A"/>
    <w:rsid w:val="007E5140"/>
    <w:rsid w:val="007E5316"/>
    <w:rsid w:val="007E5739"/>
    <w:rsid w:val="007E58EB"/>
    <w:rsid w:val="007E59AA"/>
    <w:rsid w:val="007E5BCB"/>
    <w:rsid w:val="007E5C95"/>
    <w:rsid w:val="007E600A"/>
    <w:rsid w:val="007E6189"/>
    <w:rsid w:val="007E61D5"/>
    <w:rsid w:val="007E62F7"/>
    <w:rsid w:val="007E66BB"/>
    <w:rsid w:val="007E68CB"/>
    <w:rsid w:val="007E695E"/>
    <w:rsid w:val="007E6B1D"/>
    <w:rsid w:val="007E6DF5"/>
    <w:rsid w:val="007E73E5"/>
    <w:rsid w:val="007E7562"/>
    <w:rsid w:val="007E77FF"/>
    <w:rsid w:val="007E79D2"/>
    <w:rsid w:val="007F0252"/>
    <w:rsid w:val="007F03AE"/>
    <w:rsid w:val="007F0546"/>
    <w:rsid w:val="007F0584"/>
    <w:rsid w:val="007F0649"/>
    <w:rsid w:val="007F0738"/>
    <w:rsid w:val="007F0758"/>
    <w:rsid w:val="007F075A"/>
    <w:rsid w:val="007F08CA"/>
    <w:rsid w:val="007F09C3"/>
    <w:rsid w:val="007F0A1E"/>
    <w:rsid w:val="007F0C39"/>
    <w:rsid w:val="007F0CE5"/>
    <w:rsid w:val="007F0F46"/>
    <w:rsid w:val="007F11D4"/>
    <w:rsid w:val="007F151A"/>
    <w:rsid w:val="007F1CD5"/>
    <w:rsid w:val="007F1D61"/>
    <w:rsid w:val="007F1DD8"/>
    <w:rsid w:val="007F2304"/>
    <w:rsid w:val="007F248C"/>
    <w:rsid w:val="007F25BD"/>
    <w:rsid w:val="007F25F6"/>
    <w:rsid w:val="007F2674"/>
    <w:rsid w:val="007F26B3"/>
    <w:rsid w:val="007F2820"/>
    <w:rsid w:val="007F2929"/>
    <w:rsid w:val="007F2A5A"/>
    <w:rsid w:val="007F2AE8"/>
    <w:rsid w:val="007F2BA1"/>
    <w:rsid w:val="007F2C4C"/>
    <w:rsid w:val="007F2C83"/>
    <w:rsid w:val="007F2D2B"/>
    <w:rsid w:val="007F32BB"/>
    <w:rsid w:val="007F32C0"/>
    <w:rsid w:val="007F3300"/>
    <w:rsid w:val="007F37F6"/>
    <w:rsid w:val="007F38C8"/>
    <w:rsid w:val="007F38F4"/>
    <w:rsid w:val="007F3B6E"/>
    <w:rsid w:val="007F3B84"/>
    <w:rsid w:val="007F3DC2"/>
    <w:rsid w:val="007F3F56"/>
    <w:rsid w:val="007F3F58"/>
    <w:rsid w:val="007F4176"/>
    <w:rsid w:val="007F43AF"/>
    <w:rsid w:val="007F4767"/>
    <w:rsid w:val="007F4B03"/>
    <w:rsid w:val="007F4B61"/>
    <w:rsid w:val="007F4C7E"/>
    <w:rsid w:val="007F4F46"/>
    <w:rsid w:val="007F530F"/>
    <w:rsid w:val="007F5440"/>
    <w:rsid w:val="007F544A"/>
    <w:rsid w:val="007F5659"/>
    <w:rsid w:val="007F5F47"/>
    <w:rsid w:val="007F5FF9"/>
    <w:rsid w:val="007F6015"/>
    <w:rsid w:val="007F6092"/>
    <w:rsid w:val="007F60D5"/>
    <w:rsid w:val="007F6212"/>
    <w:rsid w:val="007F6716"/>
    <w:rsid w:val="007F6986"/>
    <w:rsid w:val="007F69E7"/>
    <w:rsid w:val="007F6DAA"/>
    <w:rsid w:val="007F7158"/>
    <w:rsid w:val="007F7222"/>
    <w:rsid w:val="007F7304"/>
    <w:rsid w:val="007F7467"/>
    <w:rsid w:val="007F74BC"/>
    <w:rsid w:val="007F7565"/>
    <w:rsid w:val="007F7610"/>
    <w:rsid w:val="007F7AC2"/>
    <w:rsid w:val="00800176"/>
    <w:rsid w:val="008008E9"/>
    <w:rsid w:val="00800B6B"/>
    <w:rsid w:val="00800E41"/>
    <w:rsid w:val="00801019"/>
    <w:rsid w:val="00801546"/>
    <w:rsid w:val="00801580"/>
    <w:rsid w:val="00801B5E"/>
    <w:rsid w:val="00801D6B"/>
    <w:rsid w:val="00801EB5"/>
    <w:rsid w:val="00801EE5"/>
    <w:rsid w:val="00801F30"/>
    <w:rsid w:val="00802152"/>
    <w:rsid w:val="00802338"/>
    <w:rsid w:val="008023F2"/>
    <w:rsid w:val="00802A44"/>
    <w:rsid w:val="00802B63"/>
    <w:rsid w:val="00803011"/>
    <w:rsid w:val="008031ED"/>
    <w:rsid w:val="0080332E"/>
    <w:rsid w:val="0080370F"/>
    <w:rsid w:val="0080396C"/>
    <w:rsid w:val="00803B6F"/>
    <w:rsid w:val="00803B70"/>
    <w:rsid w:val="00803D77"/>
    <w:rsid w:val="00803DB1"/>
    <w:rsid w:val="00804179"/>
    <w:rsid w:val="00804CCC"/>
    <w:rsid w:val="00805001"/>
    <w:rsid w:val="008050B8"/>
    <w:rsid w:val="0080511C"/>
    <w:rsid w:val="00805170"/>
    <w:rsid w:val="00805322"/>
    <w:rsid w:val="00805386"/>
    <w:rsid w:val="008053FF"/>
    <w:rsid w:val="008058D0"/>
    <w:rsid w:val="00805E69"/>
    <w:rsid w:val="008060E2"/>
    <w:rsid w:val="00806222"/>
    <w:rsid w:val="008062E0"/>
    <w:rsid w:val="00806434"/>
    <w:rsid w:val="00806747"/>
    <w:rsid w:val="00806B99"/>
    <w:rsid w:val="008072B5"/>
    <w:rsid w:val="008072CA"/>
    <w:rsid w:val="00807559"/>
    <w:rsid w:val="0080777C"/>
    <w:rsid w:val="00807943"/>
    <w:rsid w:val="008079C2"/>
    <w:rsid w:val="00807A99"/>
    <w:rsid w:val="00807ACB"/>
    <w:rsid w:val="00807AE5"/>
    <w:rsid w:val="00810104"/>
    <w:rsid w:val="008101F7"/>
    <w:rsid w:val="008103AB"/>
    <w:rsid w:val="00810479"/>
    <w:rsid w:val="00810992"/>
    <w:rsid w:val="00810E25"/>
    <w:rsid w:val="0081122B"/>
    <w:rsid w:val="008115C2"/>
    <w:rsid w:val="008115C9"/>
    <w:rsid w:val="008117BF"/>
    <w:rsid w:val="00811850"/>
    <w:rsid w:val="00812020"/>
    <w:rsid w:val="008127AA"/>
    <w:rsid w:val="00812B86"/>
    <w:rsid w:val="00812F7B"/>
    <w:rsid w:val="00813280"/>
    <w:rsid w:val="00813288"/>
    <w:rsid w:val="008137F5"/>
    <w:rsid w:val="00813990"/>
    <w:rsid w:val="0081477B"/>
    <w:rsid w:val="00814D62"/>
    <w:rsid w:val="00814FAF"/>
    <w:rsid w:val="0081568D"/>
    <w:rsid w:val="00815890"/>
    <w:rsid w:val="00815C2D"/>
    <w:rsid w:val="00815CDF"/>
    <w:rsid w:val="00815D0B"/>
    <w:rsid w:val="00815DFA"/>
    <w:rsid w:val="008168A2"/>
    <w:rsid w:val="00816A39"/>
    <w:rsid w:val="00816CCB"/>
    <w:rsid w:val="00816DC3"/>
    <w:rsid w:val="00816F94"/>
    <w:rsid w:val="0081710B"/>
    <w:rsid w:val="0081718F"/>
    <w:rsid w:val="00817288"/>
    <w:rsid w:val="00817345"/>
    <w:rsid w:val="00817447"/>
    <w:rsid w:val="0081748F"/>
    <w:rsid w:val="00817599"/>
    <w:rsid w:val="00817801"/>
    <w:rsid w:val="008178BF"/>
    <w:rsid w:val="00817A5A"/>
    <w:rsid w:val="00817AEB"/>
    <w:rsid w:val="00820056"/>
    <w:rsid w:val="00820282"/>
    <w:rsid w:val="00820460"/>
    <w:rsid w:val="0082048A"/>
    <w:rsid w:val="00820AB8"/>
    <w:rsid w:val="00820B7B"/>
    <w:rsid w:val="0082100E"/>
    <w:rsid w:val="008211FE"/>
    <w:rsid w:val="008212A0"/>
    <w:rsid w:val="008218CA"/>
    <w:rsid w:val="00821A29"/>
    <w:rsid w:val="00821E74"/>
    <w:rsid w:val="008220E2"/>
    <w:rsid w:val="00822199"/>
    <w:rsid w:val="0082252C"/>
    <w:rsid w:val="008226B1"/>
    <w:rsid w:val="00822843"/>
    <w:rsid w:val="00822AE8"/>
    <w:rsid w:val="00822C75"/>
    <w:rsid w:val="00822EAC"/>
    <w:rsid w:val="00822FA8"/>
    <w:rsid w:val="00823007"/>
    <w:rsid w:val="0082304B"/>
    <w:rsid w:val="0082307B"/>
    <w:rsid w:val="00823233"/>
    <w:rsid w:val="00823448"/>
    <w:rsid w:val="00823570"/>
    <w:rsid w:val="008241D8"/>
    <w:rsid w:val="00824426"/>
    <w:rsid w:val="00824733"/>
    <w:rsid w:val="0082492D"/>
    <w:rsid w:val="00824A58"/>
    <w:rsid w:val="00824B0E"/>
    <w:rsid w:val="00824B21"/>
    <w:rsid w:val="00824C9D"/>
    <w:rsid w:val="00824E49"/>
    <w:rsid w:val="0082507A"/>
    <w:rsid w:val="008253FE"/>
    <w:rsid w:val="00825565"/>
    <w:rsid w:val="00825618"/>
    <w:rsid w:val="008258C5"/>
    <w:rsid w:val="00825B9E"/>
    <w:rsid w:val="008260B8"/>
    <w:rsid w:val="00826113"/>
    <w:rsid w:val="00826173"/>
    <w:rsid w:val="008268A3"/>
    <w:rsid w:val="00826D49"/>
    <w:rsid w:val="00827126"/>
    <w:rsid w:val="008276D1"/>
    <w:rsid w:val="00827894"/>
    <w:rsid w:val="00827D25"/>
    <w:rsid w:val="00827E3B"/>
    <w:rsid w:val="0083050A"/>
    <w:rsid w:val="00830597"/>
    <w:rsid w:val="008306B9"/>
    <w:rsid w:val="00830B13"/>
    <w:rsid w:val="00830E52"/>
    <w:rsid w:val="0083114C"/>
    <w:rsid w:val="0083123A"/>
    <w:rsid w:val="0083146B"/>
    <w:rsid w:val="00831499"/>
    <w:rsid w:val="00831FCC"/>
    <w:rsid w:val="00832070"/>
    <w:rsid w:val="008322C6"/>
    <w:rsid w:val="0083233F"/>
    <w:rsid w:val="008324E3"/>
    <w:rsid w:val="00832647"/>
    <w:rsid w:val="00833A1E"/>
    <w:rsid w:val="00833B9F"/>
    <w:rsid w:val="00833BCB"/>
    <w:rsid w:val="00833E59"/>
    <w:rsid w:val="0083427B"/>
    <w:rsid w:val="00834805"/>
    <w:rsid w:val="00834F94"/>
    <w:rsid w:val="00835259"/>
    <w:rsid w:val="008352AB"/>
    <w:rsid w:val="00835541"/>
    <w:rsid w:val="00835564"/>
    <w:rsid w:val="008356DA"/>
    <w:rsid w:val="0083570E"/>
    <w:rsid w:val="00835B84"/>
    <w:rsid w:val="00835EDD"/>
    <w:rsid w:val="00836495"/>
    <w:rsid w:val="0083662F"/>
    <w:rsid w:val="00836701"/>
    <w:rsid w:val="00836842"/>
    <w:rsid w:val="00836C26"/>
    <w:rsid w:val="00836E8D"/>
    <w:rsid w:val="00836F3A"/>
    <w:rsid w:val="008371C7"/>
    <w:rsid w:val="0083760C"/>
    <w:rsid w:val="00837675"/>
    <w:rsid w:val="008378F0"/>
    <w:rsid w:val="00837947"/>
    <w:rsid w:val="00837CD1"/>
    <w:rsid w:val="00837EFB"/>
    <w:rsid w:val="00840264"/>
    <w:rsid w:val="00840777"/>
    <w:rsid w:val="00840808"/>
    <w:rsid w:val="008408FC"/>
    <w:rsid w:val="00840A0E"/>
    <w:rsid w:val="00840AA7"/>
    <w:rsid w:val="00840D80"/>
    <w:rsid w:val="00841330"/>
    <w:rsid w:val="00841526"/>
    <w:rsid w:val="00841989"/>
    <w:rsid w:val="00841BFC"/>
    <w:rsid w:val="00841E92"/>
    <w:rsid w:val="00841EC7"/>
    <w:rsid w:val="0084208A"/>
    <w:rsid w:val="0084265B"/>
    <w:rsid w:val="0084275E"/>
    <w:rsid w:val="008428DC"/>
    <w:rsid w:val="0084295E"/>
    <w:rsid w:val="00842AC2"/>
    <w:rsid w:val="00842B83"/>
    <w:rsid w:val="00842E76"/>
    <w:rsid w:val="0084303E"/>
    <w:rsid w:val="0084315E"/>
    <w:rsid w:val="008435B7"/>
    <w:rsid w:val="00843647"/>
    <w:rsid w:val="00843AAD"/>
    <w:rsid w:val="00844076"/>
    <w:rsid w:val="00844347"/>
    <w:rsid w:val="0084437F"/>
    <w:rsid w:val="0084451E"/>
    <w:rsid w:val="00844526"/>
    <w:rsid w:val="008447D1"/>
    <w:rsid w:val="00844B89"/>
    <w:rsid w:val="00844B8B"/>
    <w:rsid w:val="00844C8A"/>
    <w:rsid w:val="00844FB1"/>
    <w:rsid w:val="008450A3"/>
    <w:rsid w:val="008450F3"/>
    <w:rsid w:val="0084511C"/>
    <w:rsid w:val="00845159"/>
    <w:rsid w:val="00845946"/>
    <w:rsid w:val="00845AB7"/>
    <w:rsid w:val="00845AE0"/>
    <w:rsid w:val="0084602E"/>
    <w:rsid w:val="00846099"/>
    <w:rsid w:val="00846BBF"/>
    <w:rsid w:val="00846FE6"/>
    <w:rsid w:val="00847078"/>
    <w:rsid w:val="008476A0"/>
    <w:rsid w:val="0084791E"/>
    <w:rsid w:val="00847A5A"/>
    <w:rsid w:val="00847A5D"/>
    <w:rsid w:val="00847F04"/>
    <w:rsid w:val="008500B5"/>
    <w:rsid w:val="0085011D"/>
    <w:rsid w:val="008501C0"/>
    <w:rsid w:val="008502C6"/>
    <w:rsid w:val="0085031A"/>
    <w:rsid w:val="0085041B"/>
    <w:rsid w:val="00850423"/>
    <w:rsid w:val="0085082F"/>
    <w:rsid w:val="008509E0"/>
    <w:rsid w:val="00850A77"/>
    <w:rsid w:val="00850AAE"/>
    <w:rsid w:val="00850E73"/>
    <w:rsid w:val="00850F71"/>
    <w:rsid w:val="00851053"/>
    <w:rsid w:val="00851097"/>
    <w:rsid w:val="008512D6"/>
    <w:rsid w:val="008514A2"/>
    <w:rsid w:val="008517FC"/>
    <w:rsid w:val="0085194C"/>
    <w:rsid w:val="00851C5E"/>
    <w:rsid w:val="00852277"/>
    <w:rsid w:val="008526C6"/>
    <w:rsid w:val="00852A9A"/>
    <w:rsid w:val="00852BCD"/>
    <w:rsid w:val="00852CEE"/>
    <w:rsid w:val="00852E03"/>
    <w:rsid w:val="00852F38"/>
    <w:rsid w:val="00853033"/>
    <w:rsid w:val="008537EB"/>
    <w:rsid w:val="00853B39"/>
    <w:rsid w:val="00853C4C"/>
    <w:rsid w:val="00853CA8"/>
    <w:rsid w:val="00854567"/>
    <w:rsid w:val="008545CF"/>
    <w:rsid w:val="00854690"/>
    <w:rsid w:val="0085493D"/>
    <w:rsid w:val="00854C1D"/>
    <w:rsid w:val="00854EF0"/>
    <w:rsid w:val="0085517C"/>
    <w:rsid w:val="008553E1"/>
    <w:rsid w:val="008556D7"/>
    <w:rsid w:val="00855814"/>
    <w:rsid w:val="00855FB5"/>
    <w:rsid w:val="00856013"/>
    <w:rsid w:val="00856666"/>
    <w:rsid w:val="00856805"/>
    <w:rsid w:val="00856846"/>
    <w:rsid w:val="00856BE5"/>
    <w:rsid w:val="00856C34"/>
    <w:rsid w:val="008578C3"/>
    <w:rsid w:val="00857EE2"/>
    <w:rsid w:val="00860EFA"/>
    <w:rsid w:val="0086103B"/>
    <w:rsid w:val="0086177C"/>
    <w:rsid w:val="00862169"/>
    <w:rsid w:val="00862185"/>
    <w:rsid w:val="008621C6"/>
    <w:rsid w:val="00862A2E"/>
    <w:rsid w:val="00862B69"/>
    <w:rsid w:val="00862C64"/>
    <w:rsid w:val="00863005"/>
    <w:rsid w:val="008631B5"/>
    <w:rsid w:val="00863589"/>
    <w:rsid w:val="00863675"/>
    <w:rsid w:val="008637A3"/>
    <w:rsid w:val="00863837"/>
    <w:rsid w:val="00863E95"/>
    <w:rsid w:val="0086410B"/>
    <w:rsid w:val="008641DF"/>
    <w:rsid w:val="0086422E"/>
    <w:rsid w:val="008643FC"/>
    <w:rsid w:val="00864BB1"/>
    <w:rsid w:val="00864C48"/>
    <w:rsid w:val="00864D82"/>
    <w:rsid w:val="0086506D"/>
    <w:rsid w:val="0086549A"/>
    <w:rsid w:val="008654A3"/>
    <w:rsid w:val="00865546"/>
    <w:rsid w:val="0086570D"/>
    <w:rsid w:val="00865749"/>
    <w:rsid w:val="008658B9"/>
    <w:rsid w:val="00865BD4"/>
    <w:rsid w:val="00865DC1"/>
    <w:rsid w:val="0086601C"/>
    <w:rsid w:val="008663E0"/>
    <w:rsid w:val="008663FA"/>
    <w:rsid w:val="00866788"/>
    <w:rsid w:val="0086685D"/>
    <w:rsid w:val="00866B27"/>
    <w:rsid w:val="00866D57"/>
    <w:rsid w:val="00867264"/>
    <w:rsid w:val="008674C2"/>
    <w:rsid w:val="008675A3"/>
    <w:rsid w:val="008676C3"/>
    <w:rsid w:val="008678F3"/>
    <w:rsid w:val="00867BB8"/>
    <w:rsid w:val="00867E67"/>
    <w:rsid w:val="00870112"/>
    <w:rsid w:val="008709F6"/>
    <w:rsid w:val="00870A90"/>
    <w:rsid w:val="00870C8E"/>
    <w:rsid w:val="00870E61"/>
    <w:rsid w:val="00870EF9"/>
    <w:rsid w:val="00870F35"/>
    <w:rsid w:val="00870F4B"/>
    <w:rsid w:val="008713D0"/>
    <w:rsid w:val="00871AD2"/>
    <w:rsid w:val="00871CA5"/>
    <w:rsid w:val="00871F75"/>
    <w:rsid w:val="008721EA"/>
    <w:rsid w:val="00872373"/>
    <w:rsid w:val="00872813"/>
    <w:rsid w:val="00872CBC"/>
    <w:rsid w:val="00872DDE"/>
    <w:rsid w:val="00872E43"/>
    <w:rsid w:val="008730D8"/>
    <w:rsid w:val="00873392"/>
    <w:rsid w:val="008734CD"/>
    <w:rsid w:val="0087365A"/>
    <w:rsid w:val="008736ED"/>
    <w:rsid w:val="00873803"/>
    <w:rsid w:val="008738AA"/>
    <w:rsid w:val="00873E41"/>
    <w:rsid w:val="00873F9D"/>
    <w:rsid w:val="0087415A"/>
    <w:rsid w:val="008743C7"/>
    <w:rsid w:val="0087447D"/>
    <w:rsid w:val="0087471A"/>
    <w:rsid w:val="00874B42"/>
    <w:rsid w:val="00874E95"/>
    <w:rsid w:val="008750F9"/>
    <w:rsid w:val="008751CE"/>
    <w:rsid w:val="008751E9"/>
    <w:rsid w:val="00875341"/>
    <w:rsid w:val="0087536F"/>
    <w:rsid w:val="0087537C"/>
    <w:rsid w:val="008753F9"/>
    <w:rsid w:val="0087542A"/>
    <w:rsid w:val="008754AF"/>
    <w:rsid w:val="008756A6"/>
    <w:rsid w:val="008756F0"/>
    <w:rsid w:val="008759DB"/>
    <w:rsid w:val="00875B03"/>
    <w:rsid w:val="00875C21"/>
    <w:rsid w:val="00875E1B"/>
    <w:rsid w:val="00875EC5"/>
    <w:rsid w:val="00876010"/>
    <w:rsid w:val="008764BB"/>
    <w:rsid w:val="0087652D"/>
    <w:rsid w:val="00876880"/>
    <w:rsid w:val="00877230"/>
    <w:rsid w:val="0087728F"/>
    <w:rsid w:val="008773CC"/>
    <w:rsid w:val="00877869"/>
    <w:rsid w:val="00877A8E"/>
    <w:rsid w:val="00877F9E"/>
    <w:rsid w:val="00880048"/>
    <w:rsid w:val="0088046E"/>
    <w:rsid w:val="008805F9"/>
    <w:rsid w:val="008807BE"/>
    <w:rsid w:val="008808E0"/>
    <w:rsid w:val="00880A40"/>
    <w:rsid w:val="00880B74"/>
    <w:rsid w:val="008810B2"/>
    <w:rsid w:val="008810DB"/>
    <w:rsid w:val="008814B0"/>
    <w:rsid w:val="0088179C"/>
    <w:rsid w:val="0088186A"/>
    <w:rsid w:val="00881C81"/>
    <w:rsid w:val="00881CEE"/>
    <w:rsid w:val="00881E78"/>
    <w:rsid w:val="00881F63"/>
    <w:rsid w:val="00882278"/>
    <w:rsid w:val="00882C06"/>
    <w:rsid w:val="00882CC7"/>
    <w:rsid w:val="00882DC3"/>
    <w:rsid w:val="00883137"/>
    <w:rsid w:val="0088352D"/>
    <w:rsid w:val="0088364C"/>
    <w:rsid w:val="00883C9E"/>
    <w:rsid w:val="00883CC3"/>
    <w:rsid w:val="00883E76"/>
    <w:rsid w:val="00883F8C"/>
    <w:rsid w:val="008840F3"/>
    <w:rsid w:val="008845B3"/>
    <w:rsid w:val="0088475D"/>
    <w:rsid w:val="008847BB"/>
    <w:rsid w:val="00884A15"/>
    <w:rsid w:val="00884EB0"/>
    <w:rsid w:val="00885358"/>
    <w:rsid w:val="00885F75"/>
    <w:rsid w:val="00886480"/>
    <w:rsid w:val="008865C0"/>
    <w:rsid w:val="0088673B"/>
    <w:rsid w:val="008867F4"/>
    <w:rsid w:val="0088699B"/>
    <w:rsid w:val="008869F4"/>
    <w:rsid w:val="00886C66"/>
    <w:rsid w:val="00886EC4"/>
    <w:rsid w:val="008872DA"/>
    <w:rsid w:val="0088737C"/>
    <w:rsid w:val="008876F0"/>
    <w:rsid w:val="008878FB"/>
    <w:rsid w:val="00887BF0"/>
    <w:rsid w:val="00887E82"/>
    <w:rsid w:val="008901AF"/>
    <w:rsid w:val="0089020E"/>
    <w:rsid w:val="00890222"/>
    <w:rsid w:val="008903A2"/>
    <w:rsid w:val="00890886"/>
    <w:rsid w:val="008908C6"/>
    <w:rsid w:val="008909C2"/>
    <w:rsid w:val="008909E6"/>
    <w:rsid w:val="00890B2F"/>
    <w:rsid w:val="00890CE6"/>
    <w:rsid w:val="00890E9F"/>
    <w:rsid w:val="00891103"/>
    <w:rsid w:val="008911CB"/>
    <w:rsid w:val="0089128E"/>
    <w:rsid w:val="0089144A"/>
    <w:rsid w:val="00891473"/>
    <w:rsid w:val="00891754"/>
    <w:rsid w:val="0089259C"/>
    <w:rsid w:val="0089263E"/>
    <w:rsid w:val="00892A94"/>
    <w:rsid w:val="00892C16"/>
    <w:rsid w:val="00892E0F"/>
    <w:rsid w:val="0089306E"/>
    <w:rsid w:val="008931A5"/>
    <w:rsid w:val="00893347"/>
    <w:rsid w:val="008934ED"/>
    <w:rsid w:val="00893EEF"/>
    <w:rsid w:val="00893F7F"/>
    <w:rsid w:val="008944F0"/>
    <w:rsid w:val="00894547"/>
    <w:rsid w:val="00894729"/>
    <w:rsid w:val="008948F7"/>
    <w:rsid w:val="00894D8E"/>
    <w:rsid w:val="00895156"/>
    <w:rsid w:val="008951DD"/>
    <w:rsid w:val="0089524B"/>
    <w:rsid w:val="0089551E"/>
    <w:rsid w:val="00895A9B"/>
    <w:rsid w:val="00896245"/>
    <w:rsid w:val="00896360"/>
    <w:rsid w:val="008963B2"/>
    <w:rsid w:val="00896575"/>
    <w:rsid w:val="00896936"/>
    <w:rsid w:val="008969D9"/>
    <w:rsid w:val="00896A16"/>
    <w:rsid w:val="00896A2A"/>
    <w:rsid w:val="008972B8"/>
    <w:rsid w:val="008972DF"/>
    <w:rsid w:val="00897510"/>
    <w:rsid w:val="008975A2"/>
    <w:rsid w:val="00897672"/>
    <w:rsid w:val="00897AE5"/>
    <w:rsid w:val="00897B51"/>
    <w:rsid w:val="008A001B"/>
    <w:rsid w:val="008A061E"/>
    <w:rsid w:val="008A0638"/>
    <w:rsid w:val="008A0677"/>
    <w:rsid w:val="008A080A"/>
    <w:rsid w:val="008A12B3"/>
    <w:rsid w:val="008A142B"/>
    <w:rsid w:val="008A14CB"/>
    <w:rsid w:val="008A184F"/>
    <w:rsid w:val="008A195C"/>
    <w:rsid w:val="008A1BBB"/>
    <w:rsid w:val="008A1E32"/>
    <w:rsid w:val="008A1FA3"/>
    <w:rsid w:val="008A21E6"/>
    <w:rsid w:val="008A24DF"/>
    <w:rsid w:val="008A254D"/>
    <w:rsid w:val="008A25D0"/>
    <w:rsid w:val="008A2C72"/>
    <w:rsid w:val="008A33E7"/>
    <w:rsid w:val="008A3425"/>
    <w:rsid w:val="008A359D"/>
    <w:rsid w:val="008A39BA"/>
    <w:rsid w:val="008A3ADD"/>
    <w:rsid w:val="008A40BC"/>
    <w:rsid w:val="008A40DD"/>
    <w:rsid w:val="008A41CD"/>
    <w:rsid w:val="008A44F1"/>
    <w:rsid w:val="008A454C"/>
    <w:rsid w:val="008A4749"/>
    <w:rsid w:val="008A4880"/>
    <w:rsid w:val="008A4914"/>
    <w:rsid w:val="008A4A5E"/>
    <w:rsid w:val="008A4C24"/>
    <w:rsid w:val="008A502E"/>
    <w:rsid w:val="008A50B0"/>
    <w:rsid w:val="008A52B1"/>
    <w:rsid w:val="008A5447"/>
    <w:rsid w:val="008A5754"/>
    <w:rsid w:val="008A5D4B"/>
    <w:rsid w:val="008A5E0E"/>
    <w:rsid w:val="008A5F9E"/>
    <w:rsid w:val="008A5FE1"/>
    <w:rsid w:val="008A602B"/>
    <w:rsid w:val="008A6073"/>
    <w:rsid w:val="008A6482"/>
    <w:rsid w:val="008A6498"/>
    <w:rsid w:val="008A69A8"/>
    <w:rsid w:val="008A6A67"/>
    <w:rsid w:val="008A6BB5"/>
    <w:rsid w:val="008A6F60"/>
    <w:rsid w:val="008A7DED"/>
    <w:rsid w:val="008B00A0"/>
    <w:rsid w:val="008B02DE"/>
    <w:rsid w:val="008B0535"/>
    <w:rsid w:val="008B0C53"/>
    <w:rsid w:val="008B0C66"/>
    <w:rsid w:val="008B0CAA"/>
    <w:rsid w:val="008B1106"/>
    <w:rsid w:val="008B1297"/>
    <w:rsid w:val="008B13EF"/>
    <w:rsid w:val="008B15EA"/>
    <w:rsid w:val="008B176A"/>
    <w:rsid w:val="008B18F7"/>
    <w:rsid w:val="008B1AFB"/>
    <w:rsid w:val="008B1C8A"/>
    <w:rsid w:val="008B1E7B"/>
    <w:rsid w:val="008B1F01"/>
    <w:rsid w:val="008B1FFD"/>
    <w:rsid w:val="008B20F0"/>
    <w:rsid w:val="008B2220"/>
    <w:rsid w:val="008B223E"/>
    <w:rsid w:val="008B2287"/>
    <w:rsid w:val="008B27AF"/>
    <w:rsid w:val="008B2805"/>
    <w:rsid w:val="008B2B70"/>
    <w:rsid w:val="008B2C31"/>
    <w:rsid w:val="008B2E64"/>
    <w:rsid w:val="008B2E71"/>
    <w:rsid w:val="008B300A"/>
    <w:rsid w:val="008B3402"/>
    <w:rsid w:val="008B3460"/>
    <w:rsid w:val="008B440D"/>
    <w:rsid w:val="008B45B7"/>
    <w:rsid w:val="008B4EA4"/>
    <w:rsid w:val="008B4F8D"/>
    <w:rsid w:val="008B52C4"/>
    <w:rsid w:val="008B5727"/>
    <w:rsid w:val="008B593B"/>
    <w:rsid w:val="008B5B32"/>
    <w:rsid w:val="008B5BFD"/>
    <w:rsid w:val="008B6482"/>
    <w:rsid w:val="008B64FC"/>
    <w:rsid w:val="008B6643"/>
    <w:rsid w:val="008B6A17"/>
    <w:rsid w:val="008B6AA7"/>
    <w:rsid w:val="008B6D3F"/>
    <w:rsid w:val="008B6E13"/>
    <w:rsid w:val="008B6F2F"/>
    <w:rsid w:val="008B6FCC"/>
    <w:rsid w:val="008B71B4"/>
    <w:rsid w:val="008B7880"/>
    <w:rsid w:val="008B78E8"/>
    <w:rsid w:val="008B7CBC"/>
    <w:rsid w:val="008B7CD9"/>
    <w:rsid w:val="008C00FF"/>
    <w:rsid w:val="008C0307"/>
    <w:rsid w:val="008C056F"/>
    <w:rsid w:val="008C0926"/>
    <w:rsid w:val="008C097E"/>
    <w:rsid w:val="008C0B90"/>
    <w:rsid w:val="008C0BA7"/>
    <w:rsid w:val="008C0CA5"/>
    <w:rsid w:val="008C1534"/>
    <w:rsid w:val="008C18DC"/>
    <w:rsid w:val="008C1ABC"/>
    <w:rsid w:val="008C2159"/>
    <w:rsid w:val="008C2989"/>
    <w:rsid w:val="008C2A0E"/>
    <w:rsid w:val="008C32F5"/>
    <w:rsid w:val="008C3447"/>
    <w:rsid w:val="008C34E0"/>
    <w:rsid w:val="008C3501"/>
    <w:rsid w:val="008C3552"/>
    <w:rsid w:val="008C3703"/>
    <w:rsid w:val="008C3789"/>
    <w:rsid w:val="008C3862"/>
    <w:rsid w:val="008C3D0F"/>
    <w:rsid w:val="008C3D80"/>
    <w:rsid w:val="008C455D"/>
    <w:rsid w:val="008C460D"/>
    <w:rsid w:val="008C4753"/>
    <w:rsid w:val="008C478B"/>
    <w:rsid w:val="008C483C"/>
    <w:rsid w:val="008C4EF7"/>
    <w:rsid w:val="008C5039"/>
    <w:rsid w:val="008C5120"/>
    <w:rsid w:val="008C535E"/>
    <w:rsid w:val="008C539A"/>
    <w:rsid w:val="008C5544"/>
    <w:rsid w:val="008C55C0"/>
    <w:rsid w:val="008C572E"/>
    <w:rsid w:val="008C5A18"/>
    <w:rsid w:val="008C5A41"/>
    <w:rsid w:val="008C5B92"/>
    <w:rsid w:val="008C5E20"/>
    <w:rsid w:val="008C5EB3"/>
    <w:rsid w:val="008C5F8D"/>
    <w:rsid w:val="008C608E"/>
    <w:rsid w:val="008C6108"/>
    <w:rsid w:val="008C6339"/>
    <w:rsid w:val="008C658B"/>
    <w:rsid w:val="008C67E8"/>
    <w:rsid w:val="008C6986"/>
    <w:rsid w:val="008C69C5"/>
    <w:rsid w:val="008C6E71"/>
    <w:rsid w:val="008C70CA"/>
    <w:rsid w:val="008C723B"/>
    <w:rsid w:val="008C72B6"/>
    <w:rsid w:val="008C72F9"/>
    <w:rsid w:val="008C76D5"/>
    <w:rsid w:val="008C7BD2"/>
    <w:rsid w:val="008D0147"/>
    <w:rsid w:val="008D0273"/>
    <w:rsid w:val="008D06B5"/>
    <w:rsid w:val="008D07EC"/>
    <w:rsid w:val="008D09DD"/>
    <w:rsid w:val="008D0D2B"/>
    <w:rsid w:val="008D153A"/>
    <w:rsid w:val="008D1784"/>
    <w:rsid w:val="008D1833"/>
    <w:rsid w:val="008D1D6A"/>
    <w:rsid w:val="008D2269"/>
    <w:rsid w:val="008D2307"/>
    <w:rsid w:val="008D269A"/>
    <w:rsid w:val="008D2854"/>
    <w:rsid w:val="008D2CEF"/>
    <w:rsid w:val="008D2E87"/>
    <w:rsid w:val="008D3168"/>
    <w:rsid w:val="008D31E7"/>
    <w:rsid w:val="008D32E3"/>
    <w:rsid w:val="008D3395"/>
    <w:rsid w:val="008D3716"/>
    <w:rsid w:val="008D37E6"/>
    <w:rsid w:val="008D38DA"/>
    <w:rsid w:val="008D3A0B"/>
    <w:rsid w:val="008D3DDD"/>
    <w:rsid w:val="008D4255"/>
    <w:rsid w:val="008D4328"/>
    <w:rsid w:val="008D4534"/>
    <w:rsid w:val="008D4584"/>
    <w:rsid w:val="008D45BD"/>
    <w:rsid w:val="008D4688"/>
    <w:rsid w:val="008D475B"/>
    <w:rsid w:val="008D4B5E"/>
    <w:rsid w:val="008D4BA2"/>
    <w:rsid w:val="008D4C09"/>
    <w:rsid w:val="008D4D16"/>
    <w:rsid w:val="008D5265"/>
    <w:rsid w:val="008D534F"/>
    <w:rsid w:val="008D5510"/>
    <w:rsid w:val="008D5AD5"/>
    <w:rsid w:val="008D5F7E"/>
    <w:rsid w:val="008D6308"/>
    <w:rsid w:val="008D6357"/>
    <w:rsid w:val="008D676E"/>
    <w:rsid w:val="008D69A3"/>
    <w:rsid w:val="008D6D6E"/>
    <w:rsid w:val="008D7343"/>
    <w:rsid w:val="008D737A"/>
    <w:rsid w:val="008D7490"/>
    <w:rsid w:val="008D76CA"/>
    <w:rsid w:val="008D7861"/>
    <w:rsid w:val="008D78FF"/>
    <w:rsid w:val="008D796D"/>
    <w:rsid w:val="008D7BF5"/>
    <w:rsid w:val="008D7C2B"/>
    <w:rsid w:val="008D7CF1"/>
    <w:rsid w:val="008E0370"/>
    <w:rsid w:val="008E03A7"/>
    <w:rsid w:val="008E0674"/>
    <w:rsid w:val="008E09FB"/>
    <w:rsid w:val="008E0A6D"/>
    <w:rsid w:val="008E0A9D"/>
    <w:rsid w:val="008E0E2F"/>
    <w:rsid w:val="008E1541"/>
    <w:rsid w:val="008E1890"/>
    <w:rsid w:val="008E1A72"/>
    <w:rsid w:val="008E22F5"/>
    <w:rsid w:val="008E23DA"/>
    <w:rsid w:val="008E2512"/>
    <w:rsid w:val="008E2574"/>
    <w:rsid w:val="008E2895"/>
    <w:rsid w:val="008E2A37"/>
    <w:rsid w:val="008E2A72"/>
    <w:rsid w:val="008E2B43"/>
    <w:rsid w:val="008E2F14"/>
    <w:rsid w:val="008E2F34"/>
    <w:rsid w:val="008E30D5"/>
    <w:rsid w:val="008E35CC"/>
    <w:rsid w:val="008E38CE"/>
    <w:rsid w:val="008E3A90"/>
    <w:rsid w:val="008E45CF"/>
    <w:rsid w:val="008E4B23"/>
    <w:rsid w:val="008E4B66"/>
    <w:rsid w:val="008E4BE7"/>
    <w:rsid w:val="008E55E8"/>
    <w:rsid w:val="008E5651"/>
    <w:rsid w:val="008E57F8"/>
    <w:rsid w:val="008E5B6C"/>
    <w:rsid w:val="008E6125"/>
    <w:rsid w:val="008E6470"/>
    <w:rsid w:val="008E6B21"/>
    <w:rsid w:val="008E6BBF"/>
    <w:rsid w:val="008E6E74"/>
    <w:rsid w:val="008E70A4"/>
    <w:rsid w:val="008E7169"/>
    <w:rsid w:val="008E732F"/>
    <w:rsid w:val="008E74D7"/>
    <w:rsid w:val="008E7763"/>
    <w:rsid w:val="008E798D"/>
    <w:rsid w:val="008E79FB"/>
    <w:rsid w:val="008E7AE2"/>
    <w:rsid w:val="008E7E7D"/>
    <w:rsid w:val="008E7ED2"/>
    <w:rsid w:val="008E7EF1"/>
    <w:rsid w:val="008E7F3F"/>
    <w:rsid w:val="008F008E"/>
    <w:rsid w:val="008F0463"/>
    <w:rsid w:val="008F04DA"/>
    <w:rsid w:val="008F04DE"/>
    <w:rsid w:val="008F07FC"/>
    <w:rsid w:val="008F089F"/>
    <w:rsid w:val="008F0C1E"/>
    <w:rsid w:val="008F0E80"/>
    <w:rsid w:val="008F13A0"/>
    <w:rsid w:val="008F14C9"/>
    <w:rsid w:val="008F17A0"/>
    <w:rsid w:val="008F1ADC"/>
    <w:rsid w:val="008F1DA7"/>
    <w:rsid w:val="008F1EBE"/>
    <w:rsid w:val="008F2075"/>
    <w:rsid w:val="008F221C"/>
    <w:rsid w:val="008F24A0"/>
    <w:rsid w:val="008F2552"/>
    <w:rsid w:val="008F25E2"/>
    <w:rsid w:val="008F2688"/>
    <w:rsid w:val="008F29F8"/>
    <w:rsid w:val="008F2A2F"/>
    <w:rsid w:val="008F2D95"/>
    <w:rsid w:val="008F2FB2"/>
    <w:rsid w:val="008F319A"/>
    <w:rsid w:val="008F3306"/>
    <w:rsid w:val="008F3330"/>
    <w:rsid w:val="008F3519"/>
    <w:rsid w:val="008F37D4"/>
    <w:rsid w:val="008F39F8"/>
    <w:rsid w:val="008F3A18"/>
    <w:rsid w:val="008F3C54"/>
    <w:rsid w:val="008F3E20"/>
    <w:rsid w:val="008F4189"/>
    <w:rsid w:val="008F41E4"/>
    <w:rsid w:val="008F42F2"/>
    <w:rsid w:val="008F44D9"/>
    <w:rsid w:val="008F45AB"/>
    <w:rsid w:val="008F4A7E"/>
    <w:rsid w:val="008F5299"/>
    <w:rsid w:val="008F529D"/>
    <w:rsid w:val="008F52AC"/>
    <w:rsid w:val="008F542D"/>
    <w:rsid w:val="008F58EC"/>
    <w:rsid w:val="008F5B11"/>
    <w:rsid w:val="008F5E79"/>
    <w:rsid w:val="008F5EC6"/>
    <w:rsid w:val="008F5F24"/>
    <w:rsid w:val="008F5F52"/>
    <w:rsid w:val="008F6783"/>
    <w:rsid w:val="008F6918"/>
    <w:rsid w:val="008F6B9E"/>
    <w:rsid w:val="008F6D93"/>
    <w:rsid w:val="008F6FE1"/>
    <w:rsid w:val="008F6FE3"/>
    <w:rsid w:val="008F703E"/>
    <w:rsid w:val="008F7109"/>
    <w:rsid w:val="008F7503"/>
    <w:rsid w:val="008F7DC4"/>
    <w:rsid w:val="00900168"/>
    <w:rsid w:val="00900174"/>
    <w:rsid w:val="0090030C"/>
    <w:rsid w:val="0090039F"/>
    <w:rsid w:val="009003BE"/>
    <w:rsid w:val="009005ED"/>
    <w:rsid w:val="009008FD"/>
    <w:rsid w:val="00900981"/>
    <w:rsid w:val="00900D08"/>
    <w:rsid w:val="00900EEA"/>
    <w:rsid w:val="0090124C"/>
    <w:rsid w:val="00901424"/>
    <w:rsid w:val="009015B5"/>
    <w:rsid w:val="0090196C"/>
    <w:rsid w:val="00901A7C"/>
    <w:rsid w:val="00901AE8"/>
    <w:rsid w:val="00901BC2"/>
    <w:rsid w:val="00901BE3"/>
    <w:rsid w:val="00901C0E"/>
    <w:rsid w:val="00901C26"/>
    <w:rsid w:val="0090233F"/>
    <w:rsid w:val="009023B3"/>
    <w:rsid w:val="009023C0"/>
    <w:rsid w:val="00902532"/>
    <w:rsid w:val="0090271E"/>
    <w:rsid w:val="0090286F"/>
    <w:rsid w:val="009028DE"/>
    <w:rsid w:val="00902A81"/>
    <w:rsid w:val="00902B8E"/>
    <w:rsid w:val="00902F20"/>
    <w:rsid w:val="00902F3C"/>
    <w:rsid w:val="009031C2"/>
    <w:rsid w:val="0090371F"/>
    <w:rsid w:val="00903BFD"/>
    <w:rsid w:val="00903E81"/>
    <w:rsid w:val="00903ED8"/>
    <w:rsid w:val="00903F33"/>
    <w:rsid w:val="0090464D"/>
    <w:rsid w:val="009047C7"/>
    <w:rsid w:val="009047DB"/>
    <w:rsid w:val="00904912"/>
    <w:rsid w:val="009049F0"/>
    <w:rsid w:val="00904CCC"/>
    <w:rsid w:val="00904E7B"/>
    <w:rsid w:val="00904E8B"/>
    <w:rsid w:val="0090501E"/>
    <w:rsid w:val="0090536B"/>
    <w:rsid w:val="00905890"/>
    <w:rsid w:val="00905905"/>
    <w:rsid w:val="00905988"/>
    <w:rsid w:val="00905A83"/>
    <w:rsid w:val="00905BA5"/>
    <w:rsid w:val="00905D96"/>
    <w:rsid w:val="00906915"/>
    <w:rsid w:val="00906C2F"/>
    <w:rsid w:val="00906D1F"/>
    <w:rsid w:val="009070D4"/>
    <w:rsid w:val="0090732D"/>
    <w:rsid w:val="0090734D"/>
    <w:rsid w:val="00907552"/>
    <w:rsid w:val="0090759C"/>
    <w:rsid w:val="00907666"/>
    <w:rsid w:val="0090787E"/>
    <w:rsid w:val="00907899"/>
    <w:rsid w:val="00907B50"/>
    <w:rsid w:val="00907B79"/>
    <w:rsid w:val="00907BDB"/>
    <w:rsid w:val="00907D95"/>
    <w:rsid w:val="00910015"/>
    <w:rsid w:val="00910442"/>
    <w:rsid w:val="0091051E"/>
    <w:rsid w:val="00910633"/>
    <w:rsid w:val="00910BC2"/>
    <w:rsid w:val="0091108B"/>
    <w:rsid w:val="009112AB"/>
    <w:rsid w:val="0091137A"/>
    <w:rsid w:val="009114F9"/>
    <w:rsid w:val="00911761"/>
    <w:rsid w:val="00911C8A"/>
    <w:rsid w:val="00911D20"/>
    <w:rsid w:val="00911E50"/>
    <w:rsid w:val="00911F2F"/>
    <w:rsid w:val="00912142"/>
    <w:rsid w:val="0091235C"/>
    <w:rsid w:val="0091238F"/>
    <w:rsid w:val="009124ED"/>
    <w:rsid w:val="00912668"/>
    <w:rsid w:val="0091271F"/>
    <w:rsid w:val="00912797"/>
    <w:rsid w:val="00912A66"/>
    <w:rsid w:val="00912A67"/>
    <w:rsid w:val="00912BE6"/>
    <w:rsid w:val="00912C3D"/>
    <w:rsid w:val="00912E66"/>
    <w:rsid w:val="00912EFE"/>
    <w:rsid w:val="00912F9A"/>
    <w:rsid w:val="0091325E"/>
    <w:rsid w:val="009136D4"/>
    <w:rsid w:val="00913806"/>
    <w:rsid w:val="00913976"/>
    <w:rsid w:val="0091453D"/>
    <w:rsid w:val="009148D0"/>
    <w:rsid w:val="00914DA7"/>
    <w:rsid w:val="00914E18"/>
    <w:rsid w:val="00914EF1"/>
    <w:rsid w:val="009152DC"/>
    <w:rsid w:val="009158EF"/>
    <w:rsid w:val="00915BFD"/>
    <w:rsid w:val="00915C59"/>
    <w:rsid w:val="00915F63"/>
    <w:rsid w:val="00916121"/>
    <w:rsid w:val="00916670"/>
    <w:rsid w:val="009168A7"/>
    <w:rsid w:val="00916AFA"/>
    <w:rsid w:val="00916C58"/>
    <w:rsid w:val="00916E8A"/>
    <w:rsid w:val="0091779A"/>
    <w:rsid w:val="009177E9"/>
    <w:rsid w:val="00917F48"/>
    <w:rsid w:val="0092000F"/>
    <w:rsid w:val="009200E6"/>
    <w:rsid w:val="0092032C"/>
    <w:rsid w:val="00920684"/>
    <w:rsid w:val="00920C2A"/>
    <w:rsid w:val="00920FDD"/>
    <w:rsid w:val="00921021"/>
    <w:rsid w:val="00921362"/>
    <w:rsid w:val="009213B3"/>
    <w:rsid w:val="00921547"/>
    <w:rsid w:val="00921C55"/>
    <w:rsid w:val="00922164"/>
    <w:rsid w:val="009221AD"/>
    <w:rsid w:val="009221F9"/>
    <w:rsid w:val="00922943"/>
    <w:rsid w:val="00922C9D"/>
    <w:rsid w:val="00922E95"/>
    <w:rsid w:val="00922F12"/>
    <w:rsid w:val="00923366"/>
    <w:rsid w:val="00923565"/>
    <w:rsid w:val="00923D0C"/>
    <w:rsid w:val="00923FDD"/>
    <w:rsid w:val="009240B7"/>
    <w:rsid w:val="009240E0"/>
    <w:rsid w:val="009246A0"/>
    <w:rsid w:val="009246DE"/>
    <w:rsid w:val="009246E1"/>
    <w:rsid w:val="009247A7"/>
    <w:rsid w:val="00924A74"/>
    <w:rsid w:val="00924ABC"/>
    <w:rsid w:val="00924DE4"/>
    <w:rsid w:val="00925120"/>
    <w:rsid w:val="00925145"/>
    <w:rsid w:val="00925998"/>
    <w:rsid w:val="00925BB3"/>
    <w:rsid w:val="00925E38"/>
    <w:rsid w:val="0092600B"/>
    <w:rsid w:val="0092606F"/>
    <w:rsid w:val="009260BD"/>
    <w:rsid w:val="00926145"/>
    <w:rsid w:val="00926596"/>
    <w:rsid w:val="009265C7"/>
    <w:rsid w:val="00926F67"/>
    <w:rsid w:val="0092712A"/>
    <w:rsid w:val="009272B9"/>
    <w:rsid w:val="0092731A"/>
    <w:rsid w:val="009273DB"/>
    <w:rsid w:val="0092763D"/>
    <w:rsid w:val="00930059"/>
    <w:rsid w:val="00930165"/>
    <w:rsid w:val="00930320"/>
    <w:rsid w:val="00930349"/>
    <w:rsid w:val="009307DC"/>
    <w:rsid w:val="00930AFC"/>
    <w:rsid w:val="00930B74"/>
    <w:rsid w:val="00930BA3"/>
    <w:rsid w:val="00930C31"/>
    <w:rsid w:val="00930C49"/>
    <w:rsid w:val="00930CFF"/>
    <w:rsid w:val="00930D09"/>
    <w:rsid w:val="00930E33"/>
    <w:rsid w:val="00931082"/>
    <w:rsid w:val="009311D8"/>
    <w:rsid w:val="009312F9"/>
    <w:rsid w:val="009313C4"/>
    <w:rsid w:val="0093156C"/>
    <w:rsid w:val="009317EC"/>
    <w:rsid w:val="00931AB6"/>
    <w:rsid w:val="00931B87"/>
    <w:rsid w:val="00931DB9"/>
    <w:rsid w:val="009325DE"/>
    <w:rsid w:val="00932847"/>
    <w:rsid w:val="009328C9"/>
    <w:rsid w:val="009329C0"/>
    <w:rsid w:val="00932B2C"/>
    <w:rsid w:val="0093316A"/>
    <w:rsid w:val="009331CF"/>
    <w:rsid w:val="009333A9"/>
    <w:rsid w:val="009334AC"/>
    <w:rsid w:val="00934060"/>
    <w:rsid w:val="00934564"/>
    <w:rsid w:val="00934934"/>
    <w:rsid w:val="00934E38"/>
    <w:rsid w:val="00935131"/>
    <w:rsid w:val="009351E1"/>
    <w:rsid w:val="009351ED"/>
    <w:rsid w:val="00935274"/>
    <w:rsid w:val="00935345"/>
    <w:rsid w:val="0093577D"/>
    <w:rsid w:val="00935C59"/>
    <w:rsid w:val="00935E03"/>
    <w:rsid w:val="00935EDC"/>
    <w:rsid w:val="00935FB3"/>
    <w:rsid w:val="00935FF4"/>
    <w:rsid w:val="00936229"/>
    <w:rsid w:val="00936239"/>
    <w:rsid w:val="009362FD"/>
    <w:rsid w:val="00936452"/>
    <w:rsid w:val="0093673D"/>
    <w:rsid w:val="00936C84"/>
    <w:rsid w:val="00936CA6"/>
    <w:rsid w:val="00936CDE"/>
    <w:rsid w:val="00936E62"/>
    <w:rsid w:val="009373EB"/>
    <w:rsid w:val="009375CC"/>
    <w:rsid w:val="0093779B"/>
    <w:rsid w:val="00937A83"/>
    <w:rsid w:val="00937BAE"/>
    <w:rsid w:val="00937CB3"/>
    <w:rsid w:val="00937D19"/>
    <w:rsid w:val="00937E53"/>
    <w:rsid w:val="00940044"/>
    <w:rsid w:val="00940508"/>
    <w:rsid w:val="009406D1"/>
    <w:rsid w:val="00940996"/>
    <w:rsid w:val="00940D4A"/>
    <w:rsid w:val="00940FC0"/>
    <w:rsid w:val="009411E6"/>
    <w:rsid w:val="0094146D"/>
    <w:rsid w:val="0094183E"/>
    <w:rsid w:val="009419A3"/>
    <w:rsid w:val="00941A22"/>
    <w:rsid w:val="00941BF7"/>
    <w:rsid w:val="00941E1D"/>
    <w:rsid w:val="00941ED9"/>
    <w:rsid w:val="00942010"/>
    <w:rsid w:val="009421C1"/>
    <w:rsid w:val="00942437"/>
    <w:rsid w:val="00942700"/>
    <w:rsid w:val="00942829"/>
    <w:rsid w:val="00942922"/>
    <w:rsid w:val="00942986"/>
    <w:rsid w:val="00942D22"/>
    <w:rsid w:val="00942D53"/>
    <w:rsid w:val="00942E35"/>
    <w:rsid w:val="0094320A"/>
    <w:rsid w:val="00943253"/>
    <w:rsid w:val="00943364"/>
    <w:rsid w:val="00943503"/>
    <w:rsid w:val="00943D40"/>
    <w:rsid w:val="009443FA"/>
    <w:rsid w:val="009448FE"/>
    <w:rsid w:val="00944932"/>
    <w:rsid w:val="00944D43"/>
    <w:rsid w:val="00944D8A"/>
    <w:rsid w:val="009450FA"/>
    <w:rsid w:val="0094515D"/>
    <w:rsid w:val="0094528F"/>
    <w:rsid w:val="0094543D"/>
    <w:rsid w:val="0094552D"/>
    <w:rsid w:val="0094560C"/>
    <w:rsid w:val="00945A89"/>
    <w:rsid w:val="00945CDF"/>
    <w:rsid w:val="00945CE3"/>
    <w:rsid w:val="009460ED"/>
    <w:rsid w:val="00946423"/>
    <w:rsid w:val="00946480"/>
    <w:rsid w:val="009466AE"/>
    <w:rsid w:val="00946B08"/>
    <w:rsid w:val="00946B4B"/>
    <w:rsid w:val="00946CD8"/>
    <w:rsid w:val="00946F0E"/>
    <w:rsid w:val="00946FD6"/>
    <w:rsid w:val="00947180"/>
    <w:rsid w:val="00947BEB"/>
    <w:rsid w:val="00947CEC"/>
    <w:rsid w:val="009505B1"/>
    <w:rsid w:val="00950A59"/>
    <w:rsid w:val="00950BC3"/>
    <w:rsid w:val="009516B6"/>
    <w:rsid w:val="0095170D"/>
    <w:rsid w:val="0095181E"/>
    <w:rsid w:val="0095197F"/>
    <w:rsid w:val="00951A4F"/>
    <w:rsid w:val="00951BE6"/>
    <w:rsid w:val="00951C13"/>
    <w:rsid w:val="00951C5C"/>
    <w:rsid w:val="00951EB9"/>
    <w:rsid w:val="00951FF1"/>
    <w:rsid w:val="009521CF"/>
    <w:rsid w:val="009525F9"/>
    <w:rsid w:val="00952632"/>
    <w:rsid w:val="00952775"/>
    <w:rsid w:val="00952B39"/>
    <w:rsid w:val="00952E9E"/>
    <w:rsid w:val="00952EDF"/>
    <w:rsid w:val="00952F91"/>
    <w:rsid w:val="0095307F"/>
    <w:rsid w:val="00953277"/>
    <w:rsid w:val="00953A03"/>
    <w:rsid w:val="00953A23"/>
    <w:rsid w:val="00953ACD"/>
    <w:rsid w:val="00953B86"/>
    <w:rsid w:val="00953BB9"/>
    <w:rsid w:val="00953C24"/>
    <w:rsid w:val="00953C85"/>
    <w:rsid w:val="00953F03"/>
    <w:rsid w:val="009542CC"/>
    <w:rsid w:val="0095433E"/>
    <w:rsid w:val="00954479"/>
    <w:rsid w:val="009544A4"/>
    <w:rsid w:val="009548FF"/>
    <w:rsid w:val="00954A6D"/>
    <w:rsid w:val="00954BC1"/>
    <w:rsid w:val="00954F62"/>
    <w:rsid w:val="009550BD"/>
    <w:rsid w:val="0095514E"/>
    <w:rsid w:val="00955526"/>
    <w:rsid w:val="00955768"/>
    <w:rsid w:val="00955DCE"/>
    <w:rsid w:val="009560CD"/>
    <w:rsid w:val="00956509"/>
    <w:rsid w:val="009565B0"/>
    <w:rsid w:val="009565BA"/>
    <w:rsid w:val="00956892"/>
    <w:rsid w:val="009569A7"/>
    <w:rsid w:val="00957AE6"/>
    <w:rsid w:val="00957CE6"/>
    <w:rsid w:val="00957DA8"/>
    <w:rsid w:val="00957EF3"/>
    <w:rsid w:val="00957FD5"/>
    <w:rsid w:val="00960431"/>
    <w:rsid w:val="00960A18"/>
    <w:rsid w:val="00960BCF"/>
    <w:rsid w:val="00960CC4"/>
    <w:rsid w:val="009614EE"/>
    <w:rsid w:val="00961A44"/>
    <w:rsid w:val="00961A61"/>
    <w:rsid w:val="00961ADD"/>
    <w:rsid w:val="00961B82"/>
    <w:rsid w:val="00961E80"/>
    <w:rsid w:val="00961F5B"/>
    <w:rsid w:val="009621C5"/>
    <w:rsid w:val="009623D2"/>
    <w:rsid w:val="0096242D"/>
    <w:rsid w:val="009624F6"/>
    <w:rsid w:val="00962538"/>
    <w:rsid w:val="00962549"/>
    <w:rsid w:val="00962575"/>
    <w:rsid w:val="009627A3"/>
    <w:rsid w:val="00962B16"/>
    <w:rsid w:val="00962CCE"/>
    <w:rsid w:val="00962CD3"/>
    <w:rsid w:val="00962EBE"/>
    <w:rsid w:val="009632A0"/>
    <w:rsid w:val="00963511"/>
    <w:rsid w:val="00963B70"/>
    <w:rsid w:val="00963CE1"/>
    <w:rsid w:val="0096408E"/>
    <w:rsid w:val="0096416A"/>
    <w:rsid w:val="00964572"/>
    <w:rsid w:val="00964AEB"/>
    <w:rsid w:val="00964BC4"/>
    <w:rsid w:val="00964D3E"/>
    <w:rsid w:val="00964E23"/>
    <w:rsid w:val="009650EC"/>
    <w:rsid w:val="00965269"/>
    <w:rsid w:val="009655DC"/>
    <w:rsid w:val="009656F5"/>
    <w:rsid w:val="00965797"/>
    <w:rsid w:val="00965982"/>
    <w:rsid w:val="009659D5"/>
    <w:rsid w:val="009660FC"/>
    <w:rsid w:val="00966587"/>
    <w:rsid w:val="00966ADC"/>
    <w:rsid w:val="00966C09"/>
    <w:rsid w:val="009674A3"/>
    <w:rsid w:val="00967AA8"/>
    <w:rsid w:val="00967C01"/>
    <w:rsid w:val="00967CE3"/>
    <w:rsid w:val="00967D71"/>
    <w:rsid w:val="00967FC5"/>
    <w:rsid w:val="009700C3"/>
    <w:rsid w:val="00970266"/>
    <w:rsid w:val="00970CEF"/>
    <w:rsid w:val="00970D2E"/>
    <w:rsid w:val="00970FD6"/>
    <w:rsid w:val="0097127A"/>
    <w:rsid w:val="0097146B"/>
    <w:rsid w:val="0097168E"/>
    <w:rsid w:val="00971C02"/>
    <w:rsid w:val="00971FDB"/>
    <w:rsid w:val="00972030"/>
    <w:rsid w:val="009721DD"/>
    <w:rsid w:val="00972E85"/>
    <w:rsid w:val="00972FC1"/>
    <w:rsid w:val="009730DB"/>
    <w:rsid w:val="009732E6"/>
    <w:rsid w:val="00973600"/>
    <w:rsid w:val="009738AF"/>
    <w:rsid w:val="009739CA"/>
    <w:rsid w:val="00973D72"/>
    <w:rsid w:val="00973E9B"/>
    <w:rsid w:val="00974104"/>
    <w:rsid w:val="00974178"/>
    <w:rsid w:val="0097453B"/>
    <w:rsid w:val="00974587"/>
    <w:rsid w:val="009745C8"/>
    <w:rsid w:val="00974CD8"/>
    <w:rsid w:val="00974D2B"/>
    <w:rsid w:val="009751FA"/>
    <w:rsid w:val="0097551E"/>
    <w:rsid w:val="0097568A"/>
    <w:rsid w:val="00975A73"/>
    <w:rsid w:val="00975B28"/>
    <w:rsid w:val="00975D90"/>
    <w:rsid w:val="0097616A"/>
    <w:rsid w:val="009766F4"/>
    <w:rsid w:val="0097670E"/>
    <w:rsid w:val="009767D5"/>
    <w:rsid w:val="00976953"/>
    <w:rsid w:val="009769F5"/>
    <w:rsid w:val="00976D41"/>
    <w:rsid w:val="00976E91"/>
    <w:rsid w:val="00977121"/>
    <w:rsid w:val="00977442"/>
    <w:rsid w:val="0097766C"/>
    <w:rsid w:val="00977CB4"/>
    <w:rsid w:val="00977E1A"/>
    <w:rsid w:val="00977F0F"/>
    <w:rsid w:val="00977F5C"/>
    <w:rsid w:val="009802DE"/>
    <w:rsid w:val="009803D4"/>
    <w:rsid w:val="009805BB"/>
    <w:rsid w:val="00980A66"/>
    <w:rsid w:val="00980AAC"/>
    <w:rsid w:val="00980E30"/>
    <w:rsid w:val="00980EE3"/>
    <w:rsid w:val="00980F78"/>
    <w:rsid w:val="00980F87"/>
    <w:rsid w:val="009810BB"/>
    <w:rsid w:val="00981349"/>
    <w:rsid w:val="00981427"/>
    <w:rsid w:val="00981467"/>
    <w:rsid w:val="0098168B"/>
    <w:rsid w:val="009817F8"/>
    <w:rsid w:val="009818BA"/>
    <w:rsid w:val="00981D9A"/>
    <w:rsid w:val="00981E09"/>
    <w:rsid w:val="00982433"/>
    <w:rsid w:val="009828BC"/>
    <w:rsid w:val="00982AEF"/>
    <w:rsid w:val="00982CD3"/>
    <w:rsid w:val="00982FF1"/>
    <w:rsid w:val="0098305C"/>
    <w:rsid w:val="009830E8"/>
    <w:rsid w:val="009834B8"/>
    <w:rsid w:val="00983502"/>
    <w:rsid w:val="0098359F"/>
    <w:rsid w:val="009835B8"/>
    <w:rsid w:val="00983616"/>
    <w:rsid w:val="009837AE"/>
    <w:rsid w:val="00983870"/>
    <w:rsid w:val="00983E05"/>
    <w:rsid w:val="00983EAA"/>
    <w:rsid w:val="00984087"/>
    <w:rsid w:val="00984441"/>
    <w:rsid w:val="009844CF"/>
    <w:rsid w:val="0098475E"/>
    <w:rsid w:val="0098485F"/>
    <w:rsid w:val="00984DD8"/>
    <w:rsid w:val="009850A1"/>
    <w:rsid w:val="00985113"/>
    <w:rsid w:val="009856BC"/>
    <w:rsid w:val="009857BE"/>
    <w:rsid w:val="00985981"/>
    <w:rsid w:val="00985D5D"/>
    <w:rsid w:val="00985E9B"/>
    <w:rsid w:val="009860F6"/>
    <w:rsid w:val="00986178"/>
    <w:rsid w:val="00986836"/>
    <w:rsid w:val="0098697D"/>
    <w:rsid w:val="00986E51"/>
    <w:rsid w:val="00986F9B"/>
    <w:rsid w:val="00987364"/>
    <w:rsid w:val="00987427"/>
    <w:rsid w:val="0098743E"/>
    <w:rsid w:val="00987937"/>
    <w:rsid w:val="00987B7A"/>
    <w:rsid w:val="00990175"/>
    <w:rsid w:val="00990563"/>
    <w:rsid w:val="009905C9"/>
    <w:rsid w:val="00990770"/>
    <w:rsid w:val="0099085F"/>
    <w:rsid w:val="00990C39"/>
    <w:rsid w:val="00990E3B"/>
    <w:rsid w:val="00990E68"/>
    <w:rsid w:val="00990F5B"/>
    <w:rsid w:val="00991818"/>
    <w:rsid w:val="00991947"/>
    <w:rsid w:val="00991DF6"/>
    <w:rsid w:val="00992056"/>
    <w:rsid w:val="009925A1"/>
    <w:rsid w:val="009925DB"/>
    <w:rsid w:val="009928FF"/>
    <w:rsid w:val="00992DFC"/>
    <w:rsid w:val="00993114"/>
    <w:rsid w:val="0099317D"/>
    <w:rsid w:val="00993B72"/>
    <w:rsid w:val="00993CC9"/>
    <w:rsid w:val="00993E57"/>
    <w:rsid w:val="00993FB6"/>
    <w:rsid w:val="0099403D"/>
    <w:rsid w:val="009940A4"/>
    <w:rsid w:val="00994140"/>
    <w:rsid w:val="00994272"/>
    <w:rsid w:val="009943D3"/>
    <w:rsid w:val="009949C5"/>
    <w:rsid w:val="00994A2B"/>
    <w:rsid w:val="00994FDF"/>
    <w:rsid w:val="00995034"/>
    <w:rsid w:val="00995155"/>
    <w:rsid w:val="009951C2"/>
    <w:rsid w:val="0099531F"/>
    <w:rsid w:val="00995AD7"/>
    <w:rsid w:val="00995E03"/>
    <w:rsid w:val="009961B2"/>
    <w:rsid w:val="009961FA"/>
    <w:rsid w:val="009965B8"/>
    <w:rsid w:val="0099663D"/>
    <w:rsid w:val="00996FBA"/>
    <w:rsid w:val="00997307"/>
    <w:rsid w:val="0099747D"/>
    <w:rsid w:val="009975AE"/>
    <w:rsid w:val="00997958"/>
    <w:rsid w:val="00997AC5"/>
    <w:rsid w:val="00997CA6"/>
    <w:rsid w:val="00997DAF"/>
    <w:rsid w:val="00997DF6"/>
    <w:rsid w:val="009A02A3"/>
    <w:rsid w:val="009A02B8"/>
    <w:rsid w:val="009A0669"/>
    <w:rsid w:val="009A089B"/>
    <w:rsid w:val="009A09F1"/>
    <w:rsid w:val="009A0A3A"/>
    <w:rsid w:val="009A0AA3"/>
    <w:rsid w:val="009A0CB9"/>
    <w:rsid w:val="009A0D27"/>
    <w:rsid w:val="009A0D6A"/>
    <w:rsid w:val="009A0F1E"/>
    <w:rsid w:val="009A1166"/>
    <w:rsid w:val="009A11D9"/>
    <w:rsid w:val="009A1491"/>
    <w:rsid w:val="009A1740"/>
    <w:rsid w:val="009A19BD"/>
    <w:rsid w:val="009A2132"/>
    <w:rsid w:val="009A23EE"/>
    <w:rsid w:val="009A25D1"/>
    <w:rsid w:val="009A26B0"/>
    <w:rsid w:val="009A2E52"/>
    <w:rsid w:val="009A2F53"/>
    <w:rsid w:val="009A2FB2"/>
    <w:rsid w:val="009A3135"/>
    <w:rsid w:val="009A3335"/>
    <w:rsid w:val="009A3BCB"/>
    <w:rsid w:val="009A3BDD"/>
    <w:rsid w:val="009A3DD4"/>
    <w:rsid w:val="009A3E7C"/>
    <w:rsid w:val="009A40FA"/>
    <w:rsid w:val="009A4305"/>
    <w:rsid w:val="009A43E9"/>
    <w:rsid w:val="009A4499"/>
    <w:rsid w:val="009A462C"/>
    <w:rsid w:val="009A4649"/>
    <w:rsid w:val="009A4919"/>
    <w:rsid w:val="009A4C4E"/>
    <w:rsid w:val="009A4CFC"/>
    <w:rsid w:val="009A5142"/>
    <w:rsid w:val="009A5526"/>
    <w:rsid w:val="009A5787"/>
    <w:rsid w:val="009A580E"/>
    <w:rsid w:val="009A5846"/>
    <w:rsid w:val="009A58EB"/>
    <w:rsid w:val="009A5979"/>
    <w:rsid w:val="009A6030"/>
    <w:rsid w:val="009A615B"/>
    <w:rsid w:val="009A64AB"/>
    <w:rsid w:val="009A6602"/>
    <w:rsid w:val="009A6A4D"/>
    <w:rsid w:val="009A6AC5"/>
    <w:rsid w:val="009A6D22"/>
    <w:rsid w:val="009A6F74"/>
    <w:rsid w:val="009A756F"/>
    <w:rsid w:val="009A75C6"/>
    <w:rsid w:val="009A75D6"/>
    <w:rsid w:val="009A795B"/>
    <w:rsid w:val="009B03B8"/>
    <w:rsid w:val="009B0768"/>
    <w:rsid w:val="009B08D8"/>
    <w:rsid w:val="009B0B1C"/>
    <w:rsid w:val="009B0C94"/>
    <w:rsid w:val="009B0F3E"/>
    <w:rsid w:val="009B1029"/>
    <w:rsid w:val="009B11E2"/>
    <w:rsid w:val="009B1754"/>
    <w:rsid w:val="009B18DF"/>
    <w:rsid w:val="009B1C6D"/>
    <w:rsid w:val="009B1F94"/>
    <w:rsid w:val="009B2138"/>
    <w:rsid w:val="009B22CA"/>
    <w:rsid w:val="009B2BBE"/>
    <w:rsid w:val="009B2D25"/>
    <w:rsid w:val="009B2DDE"/>
    <w:rsid w:val="009B3090"/>
    <w:rsid w:val="009B3092"/>
    <w:rsid w:val="009B3283"/>
    <w:rsid w:val="009B3920"/>
    <w:rsid w:val="009B3B3B"/>
    <w:rsid w:val="009B3BBF"/>
    <w:rsid w:val="009B475B"/>
    <w:rsid w:val="009B4A1C"/>
    <w:rsid w:val="009B4B36"/>
    <w:rsid w:val="009B4BC4"/>
    <w:rsid w:val="009B4BFE"/>
    <w:rsid w:val="009B4D1B"/>
    <w:rsid w:val="009B4FEC"/>
    <w:rsid w:val="009B5591"/>
    <w:rsid w:val="009B55B5"/>
    <w:rsid w:val="009B56F6"/>
    <w:rsid w:val="009B5AC4"/>
    <w:rsid w:val="009B5B07"/>
    <w:rsid w:val="009B5B53"/>
    <w:rsid w:val="009B5FB3"/>
    <w:rsid w:val="009B60E9"/>
    <w:rsid w:val="009B62CD"/>
    <w:rsid w:val="009B62F0"/>
    <w:rsid w:val="009B63BA"/>
    <w:rsid w:val="009B66CC"/>
    <w:rsid w:val="009B6944"/>
    <w:rsid w:val="009B6C6C"/>
    <w:rsid w:val="009B6FC8"/>
    <w:rsid w:val="009B70C2"/>
    <w:rsid w:val="009B71B6"/>
    <w:rsid w:val="009B7250"/>
    <w:rsid w:val="009B757C"/>
    <w:rsid w:val="009B75BE"/>
    <w:rsid w:val="009B7734"/>
    <w:rsid w:val="009B79DE"/>
    <w:rsid w:val="009B7AB3"/>
    <w:rsid w:val="009B7C86"/>
    <w:rsid w:val="009B7F51"/>
    <w:rsid w:val="009C0197"/>
    <w:rsid w:val="009C02C6"/>
    <w:rsid w:val="009C0389"/>
    <w:rsid w:val="009C03DA"/>
    <w:rsid w:val="009C05D5"/>
    <w:rsid w:val="009C06A8"/>
    <w:rsid w:val="009C0CC4"/>
    <w:rsid w:val="009C0F03"/>
    <w:rsid w:val="009C11CE"/>
    <w:rsid w:val="009C131F"/>
    <w:rsid w:val="009C1403"/>
    <w:rsid w:val="009C1600"/>
    <w:rsid w:val="009C171B"/>
    <w:rsid w:val="009C2075"/>
    <w:rsid w:val="009C22DC"/>
    <w:rsid w:val="009C23A4"/>
    <w:rsid w:val="009C28A8"/>
    <w:rsid w:val="009C293A"/>
    <w:rsid w:val="009C2D48"/>
    <w:rsid w:val="009C2EA0"/>
    <w:rsid w:val="009C2EF8"/>
    <w:rsid w:val="009C3365"/>
    <w:rsid w:val="009C3585"/>
    <w:rsid w:val="009C398A"/>
    <w:rsid w:val="009C3BB1"/>
    <w:rsid w:val="009C3E3A"/>
    <w:rsid w:val="009C40D9"/>
    <w:rsid w:val="009C42E3"/>
    <w:rsid w:val="009C4399"/>
    <w:rsid w:val="009C45B3"/>
    <w:rsid w:val="009C46A7"/>
    <w:rsid w:val="009C487D"/>
    <w:rsid w:val="009C4D08"/>
    <w:rsid w:val="009C4D56"/>
    <w:rsid w:val="009C4D97"/>
    <w:rsid w:val="009C4F22"/>
    <w:rsid w:val="009C4FFA"/>
    <w:rsid w:val="009C5270"/>
    <w:rsid w:val="009C53FE"/>
    <w:rsid w:val="009C54F5"/>
    <w:rsid w:val="009C5EDE"/>
    <w:rsid w:val="009C5F0E"/>
    <w:rsid w:val="009C63D8"/>
    <w:rsid w:val="009C647A"/>
    <w:rsid w:val="009C6653"/>
    <w:rsid w:val="009C69C7"/>
    <w:rsid w:val="009C6BDD"/>
    <w:rsid w:val="009C6BFD"/>
    <w:rsid w:val="009C6C53"/>
    <w:rsid w:val="009C722E"/>
    <w:rsid w:val="009C74B4"/>
    <w:rsid w:val="009C74C7"/>
    <w:rsid w:val="009C75C0"/>
    <w:rsid w:val="009C7732"/>
    <w:rsid w:val="009C7B7C"/>
    <w:rsid w:val="009C7BA2"/>
    <w:rsid w:val="009C7C34"/>
    <w:rsid w:val="009C7CF6"/>
    <w:rsid w:val="009C7E8D"/>
    <w:rsid w:val="009C7F69"/>
    <w:rsid w:val="009D05B9"/>
    <w:rsid w:val="009D0782"/>
    <w:rsid w:val="009D0933"/>
    <w:rsid w:val="009D0A54"/>
    <w:rsid w:val="009D0BD2"/>
    <w:rsid w:val="009D0C0F"/>
    <w:rsid w:val="009D1023"/>
    <w:rsid w:val="009D132F"/>
    <w:rsid w:val="009D166F"/>
    <w:rsid w:val="009D17B7"/>
    <w:rsid w:val="009D1914"/>
    <w:rsid w:val="009D1BB8"/>
    <w:rsid w:val="009D1FEF"/>
    <w:rsid w:val="009D21F3"/>
    <w:rsid w:val="009D270B"/>
    <w:rsid w:val="009D2770"/>
    <w:rsid w:val="009D2EAB"/>
    <w:rsid w:val="009D2ED6"/>
    <w:rsid w:val="009D3237"/>
    <w:rsid w:val="009D3458"/>
    <w:rsid w:val="009D360C"/>
    <w:rsid w:val="009D3628"/>
    <w:rsid w:val="009D39E8"/>
    <w:rsid w:val="009D3CB7"/>
    <w:rsid w:val="009D3DA6"/>
    <w:rsid w:val="009D3EE6"/>
    <w:rsid w:val="009D4294"/>
    <w:rsid w:val="009D434E"/>
    <w:rsid w:val="009D4448"/>
    <w:rsid w:val="009D49F4"/>
    <w:rsid w:val="009D4B0A"/>
    <w:rsid w:val="009D4C2A"/>
    <w:rsid w:val="009D4E46"/>
    <w:rsid w:val="009D5018"/>
    <w:rsid w:val="009D5302"/>
    <w:rsid w:val="009D53B4"/>
    <w:rsid w:val="009D5476"/>
    <w:rsid w:val="009D552C"/>
    <w:rsid w:val="009D554C"/>
    <w:rsid w:val="009D5595"/>
    <w:rsid w:val="009D5762"/>
    <w:rsid w:val="009D583B"/>
    <w:rsid w:val="009D586F"/>
    <w:rsid w:val="009D5A95"/>
    <w:rsid w:val="009D5C31"/>
    <w:rsid w:val="009D5C96"/>
    <w:rsid w:val="009D5E1C"/>
    <w:rsid w:val="009D6299"/>
    <w:rsid w:val="009D6914"/>
    <w:rsid w:val="009D691C"/>
    <w:rsid w:val="009D6AC0"/>
    <w:rsid w:val="009D6BED"/>
    <w:rsid w:val="009D6BFF"/>
    <w:rsid w:val="009D6CAB"/>
    <w:rsid w:val="009D6F51"/>
    <w:rsid w:val="009D70A1"/>
    <w:rsid w:val="009D74DC"/>
    <w:rsid w:val="009D7753"/>
    <w:rsid w:val="009D79B8"/>
    <w:rsid w:val="009D7A69"/>
    <w:rsid w:val="009D7AB4"/>
    <w:rsid w:val="009D7F0A"/>
    <w:rsid w:val="009E0606"/>
    <w:rsid w:val="009E07A4"/>
    <w:rsid w:val="009E08F4"/>
    <w:rsid w:val="009E0A9F"/>
    <w:rsid w:val="009E0DF7"/>
    <w:rsid w:val="009E0F78"/>
    <w:rsid w:val="009E12C5"/>
    <w:rsid w:val="009E135D"/>
    <w:rsid w:val="009E189C"/>
    <w:rsid w:val="009E1A3C"/>
    <w:rsid w:val="009E1A6D"/>
    <w:rsid w:val="009E1C22"/>
    <w:rsid w:val="009E1EBA"/>
    <w:rsid w:val="009E2481"/>
    <w:rsid w:val="009E2636"/>
    <w:rsid w:val="009E295A"/>
    <w:rsid w:val="009E2A67"/>
    <w:rsid w:val="009E2D6D"/>
    <w:rsid w:val="009E2EC7"/>
    <w:rsid w:val="009E3439"/>
    <w:rsid w:val="009E37E4"/>
    <w:rsid w:val="009E3C7E"/>
    <w:rsid w:val="009E3CDB"/>
    <w:rsid w:val="009E3CEA"/>
    <w:rsid w:val="009E3D23"/>
    <w:rsid w:val="009E3D92"/>
    <w:rsid w:val="009E3EC3"/>
    <w:rsid w:val="009E3F2F"/>
    <w:rsid w:val="009E420A"/>
    <w:rsid w:val="009E4279"/>
    <w:rsid w:val="009E4313"/>
    <w:rsid w:val="009E43E8"/>
    <w:rsid w:val="009E4431"/>
    <w:rsid w:val="009E4456"/>
    <w:rsid w:val="009E44C5"/>
    <w:rsid w:val="009E46E5"/>
    <w:rsid w:val="009E478F"/>
    <w:rsid w:val="009E4BB4"/>
    <w:rsid w:val="009E4C70"/>
    <w:rsid w:val="009E4F97"/>
    <w:rsid w:val="009E4FC3"/>
    <w:rsid w:val="009E51BB"/>
    <w:rsid w:val="009E53F8"/>
    <w:rsid w:val="009E544E"/>
    <w:rsid w:val="009E5A4A"/>
    <w:rsid w:val="009E62FF"/>
    <w:rsid w:val="009E64C2"/>
    <w:rsid w:val="009E684B"/>
    <w:rsid w:val="009E6B38"/>
    <w:rsid w:val="009E6BD5"/>
    <w:rsid w:val="009E6E04"/>
    <w:rsid w:val="009E71D6"/>
    <w:rsid w:val="009E7203"/>
    <w:rsid w:val="009E7571"/>
    <w:rsid w:val="009E7696"/>
    <w:rsid w:val="009E76BD"/>
    <w:rsid w:val="009E79C7"/>
    <w:rsid w:val="009E7A04"/>
    <w:rsid w:val="009E7CE2"/>
    <w:rsid w:val="009E7F40"/>
    <w:rsid w:val="009F0027"/>
    <w:rsid w:val="009F00ED"/>
    <w:rsid w:val="009F0272"/>
    <w:rsid w:val="009F0381"/>
    <w:rsid w:val="009F0772"/>
    <w:rsid w:val="009F0B3B"/>
    <w:rsid w:val="009F0FB5"/>
    <w:rsid w:val="009F0FD3"/>
    <w:rsid w:val="009F102E"/>
    <w:rsid w:val="009F160F"/>
    <w:rsid w:val="009F1705"/>
    <w:rsid w:val="009F1763"/>
    <w:rsid w:val="009F17BF"/>
    <w:rsid w:val="009F193A"/>
    <w:rsid w:val="009F1FAB"/>
    <w:rsid w:val="009F228D"/>
    <w:rsid w:val="009F22D6"/>
    <w:rsid w:val="009F2306"/>
    <w:rsid w:val="009F2659"/>
    <w:rsid w:val="009F26D7"/>
    <w:rsid w:val="009F288A"/>
    <w:rsid w:val="009F2A39"/>
    <w:rsid w:val="009F2B4F"/>
    <w:rsid w:val="009F3318"/>
    <w:rsid w:val="009F3525"/>
    <w:rsid w:val="009F3543"/>
    <w:rsid w:val="009F3631"/>
    <w:rsid w:val="009F363C"/>
    <w:rsid w:val="009F3790"/>
    <w:rsid w:val="009F391A"/>
    <w:rsid w:val="009F3CB3"/>
    <w:rsid w:val="009F3D56"/>
    <w:rsid w:val="009F40A1"/>
    <w:rsid w:val="009F40E7"/>
    <w:rsid w:val="009F4110"/>
    <w:rsid w:val="009F476C"/>
    <w:rsid w:val="009F48C7"/>
    <w:rsid w:val="009F4C37"/>
    <w:rsid w:val="009F4D06"/>
    <w:rsid w:val="009F4EBA"/>
    <w:rsid w:val="009F4F52"/>
    <w:rsid w:val="009F5358"/>
    <w:rsid w:val="009F5678"/>
    <w:rsid w:val="009F5797"/>
    <w:rsid w:val="009F586C"/>
    <w:rsid w:val="009F58C8"/>
    <w:rsid w:val="009F5ACB"/>
    <w:rsid w:val="009F5D30"/>
    <w:rsid w:val="009F5DB2"/>
    <w:rsid w:val="009F5F8E"/>
    <w:rsid w:val="009F69D3"/>
    <w:rsid w:val="009F6A2A"/>
    <w:rsid w:val="009F6AA3"/>
    <w:rsid w:val="009F7194"/>
    <w:rsid w:val="009F722F"/>
    <w:rsid w:val="009F7851"/>
    <w:rsid w:val="009F7946"/>
    <w:rsid w:val="009F7A90"/>
    <w:rsid w:val="009F7CEB"/>
    <w:rsid w:val="00A004C0"/>
    <w:rsid w:val="00A00A14"/>
    <w:rsid w:val="00A00AF0"/>
    <w:rsid w:val="00A01511"/>
    <w:rsid w:val="00A01667"/>
    <w:rsid w:val="00A0228C"/>
    <w:rsid w:val="00A022FF"/>
    <w:rsid w:val="00A02331"/>
    <w:rsid w:val="00A0239A"/>
    <w:rsid w:val="00A027E4"/>
    <w:rsid w:val="00A02878"/>
    <w:rsid w:val="00A0292A"/>
    <w:rsid w:val="00A02AC1"/>
    <w:rsid w:val="00A02D62"/>
    <w:rsid w:val="00A02E28"/>
    <w:rsid w:val="00A02FA3"/>
    <w:rsid w:val="00A02FB3"/>
    <w:rsid w:val="00A03220"/>
    <w:rsid w:val="00A03256"/>
    <w:rsid w:val="00A03258"/>
    <w:rsid w:val="00A03C05"/>
    <w:rsid w:val="00A040FD"/>
    <w:rsid w:val="00A0415D"/>
    <w:rsid w:val="00A0426A"/>
    <w:rsid w:val="00A043E8"/>
    <w:rsid w:val="00A048E4"/>
    <w:rsid w:val="00A04B5C"/>
    <w:rsid w:val="00A04C0D"/>
    <w:rsid w:val="00A04C24"/>
    <w:rsid w:val="00A04E11"/>
    <w:rsid w:val="00A04E73"/>
    <w:rsid w:val="00A05394"/>
    <w:rsid w:val="00A053BE"/>
    <w:rsid w:val="00A0572E"/>
    <w:rsid w:val="00A058F5"/>
    <w:rsid w:val="00A0599A"/>
    <w:rsid w:val="00A05B09"/>
    <w:rsid w:val="00A05F07"/>
    <w:rsid w:val="00A060D9"/>
    <w:rsid w:val="00A0628A"/>
    <w:rsid w:val="00A0667F"/>
    <w:rsid w:val="00A06864"/>
    <w:rsid w:val="00A0694E"/>
    <w:rsid w:val="00A06B40"/>
    <w:rsid w:val="00A06D44"/>
    <w:rsid w:val="00A07327"/>
    <w:rsid w:val="00A0744D"/>
    <w:rsid w:val="00A0762A"/>
    <w:rsid w:val="00A07660"/>
    <w:rsid w:val="00A07679"/>
    <w:rsid w:val="00A076B6"/>
    <w:rsid w:val="00A07876"/>
    <w:rsid w:val="00A0797B"/>
    <w:rsid w:val="00A07B84"/>
    <w:rsid w:val="00A07BFD"/>
    <w:rsid w:val="00A07ED1"/>
    <w:rsid w:val="00A07F62"/>
    <w:rsid w:val="00A10035"/>
    <w:rsid w:val="00A100E9"/>
    <w:rsid w:val="00A1010E"/>
    <w:rsid w:val="00A10475"/>
    <w:rsid w:val="00A1069D"/>
    <w:rsid w:val="00A106F7"/>
    <w:rsid w:val="00A10868"/>
    <w:rsid w:val="00A10A18"/>
    <w:rsid w:val="00A10C99"/>
    <w:rsid w:val="00A10C9A"/>
    <w:rsid w:val="00A10E0C"/>
    <w:rsid w:val="00A10FBF"/>
    <w:rsid w:val="00A11149"/>
    <w:rsid w:val="00A112DC"/>
    <w:rsid w:val="00A116F3"/>
    <w:rsid w:val="00A1173A"/>
    <w:rsid w:val="00A11ACE"/>
    <w:rsid w:val="00A11F9F"/>
    <w:rsid w:val="00A121D2"/>
    <w:rsid w:val="00A122D3"/>
    <w:rsid w:val="00A1256E"/>
    <w:rsid w:val="00A12A11"/>
    <w:rsid w:val="00A12A44"/>
    <w:rsid w:val="00A12BD5"/>
    <w:rsid w:val="00A12D36"/>
    <w:rsid w:val="00A12EBA"/>
    <w:rsid w:val="00A13198"/>
    <w:rsid w:val="00A13699"/>
    <w:rsid w:val="00A1379B"/>
    <w:rsid w:val="00A139D5"/>
    <w:rsid w:val="00A13A2D"/>
    <w:rsid w:val="00A13A7D"/>
    <w:rsid w:val="00A13B3B"/>
    <w:rsid w:val="00A13D62"/>
    <w:rsid w:val="00A13E1F"/>
    <w:rsid w:val="00A13E82"/>
    <w:rsid w:val="00A140CC"/>
    <w:rsid w:val="00A1423B"/>
    <w:rsid w:val="00A147CE"/>
    <w:rsid w:val="00A147D6"/>
    <w:rsid w:val="00A14A18"/>
    <w:rsid w:val="00A14A1D"/>
    <w:rsid w:val="00A14F60"/>
    <w:rsid w:val="00A14F78"/>
    <w:rsid w:val="00A15062"/>
    <w:rsid w:val="00A1536A"/>
    <w:rsid w:val="00A155CC"/>
    <w:rsid w:val="00A1591B"/>
    <w:rsid w:val="00A16093"/>
    <w:rsid w:val="00A16638"/>
    <w:rsid w:val="00A1699D"/>
    <w:rsid w:val="00A169B9"/>
    <w:rsid w:val="00A16C6E"/>
    <w:rsid w:val="00A16D96"/>
    <w:rsid w:val="00A16DCD"/>
    <w:rsid w:val="00A16E2C"/>
    <w:rsid w:val="00A17025"/>
    <w:rsid w:val="00A170A0"/>
    <w:rsid w:val="00A1726B"/>
    <w:rsid w:val="00A17490"/>
    <w:rsid w:val="00A179C8"/>
    <w:rsid w:val="00A17AFE"/>
    <w:rsid w:val="00A17EB5"/>
    <w:rsid w:val="00A17EF0"/>
    <w:rsid w:val="00A2004D"/>
    <w:rsid w:val="00A20264"/>
    <w:rsid w:val="00A204E5"/>
    <w:rsid w:val="00A2056A"/>
    <w:rsid w:val="00A2067F"/>
    <w:rsid w:val="00A20AF4"/>
    <w:rsid w:val="00A20B1A"/>
    <w:rsid w:val="00A20C1E"/>
    <w:rsid w:val="00A20E48"/>
    <w:rsid w:val="00A21071"/>
    <w:rsid w:val="00A21161"/>
    <w:rsid w:val="00A216F9"/>
    <w:rsid w:val="00A22200"/>
    <w:rsid w:val="00A224A1"/>
    <w:rsid w:val="00A22529"/>
    <w:rsid w:val="00A226E2"/>
    <w:rsid w:val="00A2281F"/>
    <w:rsid w:val="00A22A39"/>
    <w:rsid w:val="00A22B5A"/>
    <w:rsid w:val="00A22FB1"/>
    <w:rsid w:val="00A2315A"/>
    <w:rsid w:val="00A23195"/>
    <w:rsid w:val="00A23201"/>
    <w:rsid w:val="00A23270"/>
    <w:rsid w:val="00A23455"/>
    <w:rsid w:val="00A234B3"/>
    <w:rsid w:val="00A235BA"/>
    <w:rsid w:val="00A235D7"/>
    <w:rsid w:val="00A23AFD"/>
    <w:rsid w:val="00A23B61"/>
    <w:rsid w:val="00A23C6D"/>
    <w:rsid w:val="00A23E45"/>
    <w:rsid w:val="00A23F4C"/>
    <w:rsid w:val="00A242EC"/>
    <w:rsid w:val="00A24368"/>
    <w:rsid w:val="00A2466A"/>
    <w:rsid w:val="00A24683"/>
    <w:rsid w:val="00A24684"/>
    <w:rsid w:val="00A247E3"/>
    <w:rsid w:val="00A2499F"/>
    <w:rsid w:val="00A252B2"/>
    <w:rsid w:val="00A259FC"/>
    <w:rsid w:val="00A25A92"/>
    <w:rsid w:val="00A25C28"/>
    <w:rsid w:val="00A25DC8"/>
    <w:rsid w:val="00A25DF4"/>
    <w:rsid w:val="00A25EEE"/>
    <w:rsid w:val="00A25F51"/>
    <w:rsid w:val="00A262DC"/>
    <w:rsid w:val="00A26495"/>
    <w:rsid w:val="00A26694"/>
    <w:rsid w:val="00A2672F"/>
    <w:rsid w:val="00A268C4"/>
    <w:rsid w:val="00A26A02"/>
    <w:rsid w:val="00A26A0D"/>
    <w:rsid w:val="00A26E4A"/>
    <w:rsid w:val="00A26F19"/>
    <w:rsid w:val="00A26F33"/>
    <w:rsid w:val="00A273A1"/>
    <w:rsid w:val="00A273F6"/>
    <w:rsid w:val="00A274DE"/>
    <w:rsid w:val="00A27977"/>
    <w:rsid w:val="00A27A52"/>
    <w:rsid w:val="00A27C1F"/>
    <w:rsid w:val="00A3039F"/>
    <w:rsid w:val="00A3095E"/>
    <w:rsid w:val="00A30E5B"/>
    <w:rsid w:val="00A314D7"/>
    <w:rsid w:val="00A319A7"/>
    <w:rsid w:val="00A31E20"/>
    <w:rsid w:val="00A324A5"/>
    <w:rsid w:val="00A32A24"/>
    <w:rsid w:val="00A32C1C"/>
    <w:rsid w:val="00A32CBB"/>
    <w:rsid w:val="00A330DA"/>
    <w:rsid w:val="00A331B7"/>
    <w:rsid w:val="00A333FD"/>
    <w:rsid w:val="00A334E6"/>
    <w:rsid w:val="00A33B23"/>
    <w:rsid w:val="00A33F30"/>
    <w:rsid w:val="00A33F72"/>
    <w:rsid w:val="00A34043"/>
    <w:rsid w:val="00A340B4"/>
    <w:rsid w:val="00A34222"/>
    <w:rsid w:val="00A34434"/>
    <w:rsid w:val="00A34436"/>
    <w:rsid w:val="00A3450F"/>
    <w:rsid w:val="00A34957"/>
    <w:rsid w:val="00A34997"/>
    <w:rsid w:val="00A3521F"/>
    <w:rsid w:val="00A3533D"/>
    <w:rsid w:val="00A3597C"/>
    <w:rsid w:val="00A35A2B"/>
    <w:rsid w:val="00A35C0A"/>
    <w:rsid w:val="00A3617A"/>
    <w:rsid w:val="00A361BC"/>
    <w:rsid w:val="00A36CF5"/>
    <w:rsid w:val="00A36F07"/>
    <w:rsid w:val="00A36F6E"/>
    <w:rsid w:val="00A370F3"/>
    <w:rsid w:val="00A37200"/>
    <w:rsid w:val="00A3727C"/>
    <w:rsid w:val="00A37414"/>
    <w:rsid w:val="00A37423"/>
    <w:rsid w:val="00A37810"/>
    <w:rsid w:val="00A37F66"/>
    <w:rsid w:val="00A40169"/>
    <w:rsid w:val="00A40599"/>
    <w:rsid w:val="00A40B2F"/>
    <w:rsid w:val="00A40BE0"/>
    <w:rsid w:val="00A40DF5"/>
    <w:rsid w:val="00A4100A"/>
    <w:rsid w:val="00A413BB"/>
    <w:rsid w:val="00A41558"/>
    <w:rsid w:val="00A41746"/>
    <w:rsid w:val="00A41E5D"/>
    <w:rsid w:val="00A41E76"/>
    <w:rsid w:val="00A41E93"/>
    <w:rsid w:val="00A42076"/>
    <w:rsid w:val="00A42424"/>
    <w:rsid w:val="00A427DB"/>
    <w:rsid w:val="00A4280E"/>
    <w:rsid w:val="00A428A1"/>
    <w:rsid w:val="00A4293F"/>
    <w:rsid w:val="00A429AD"/>
    <w:rsid w:val="00A42C16"/>
    <w:rsid w:val="00A4303F"/>
    <w:rsid w:val="00A43221"/>
    <w:rsid w:val="00A432A0"/>
    <w:rsid w:val="00A4350A"/>
    <w:rsid w:val="00A43BC3"/>
    <w:rsid w:val="00A44162"/>
    <w:rsid w:val="00A44177"/>
    <w:rsid w:val="00A441E0"/>
    <w:rsid w:val="00A441F3"/>
    <w:rsid w:val="00A4436B"/>
    <w:rsid w:val="00A44416"/>
    <w:rsid w:val="00A44432"/>
    <w:rsid w:val="00A446F3"/>
    <w:rsid w:val="00A4495A"/>
    <w:rsid w:val="00A44B8A"/>
    <w:rsid w:val="00A4502B"/>
    <w:rsid w:val="00A45200"/>
    <w:rsid w:val="00A45378"/>
    <w:rsid w:val="00A454BC"/>
    <w:rsid w:val="00A45938"/>
    <w:rsid w:val="00A459CC"/>
    <w:rsid w:val="00A45ACF"/>
    <w:rsid w:val="00A45D1F"/>
    <w:rsid w:val="00A45ECE"/>
    <w:rsid w:val="00A4645D"/>
    <w:rsid w:val="00A46B23"/>
    <w:rsid w:val="00A46D15"/>
    <w:rsid w:val="00A46DFD"/>
    <w:rsid w:val="00A46F0F"/>
    <w:rsid w:val="00A47468"/>
    <w:rsid w:val="00A4768D"/>
    <w:rsid w:val="00A47763"/>
    <w:rsid w:val="00A47B2C"/>
    <w:rsid w:val="00A47D93"/>
    <w:rsid w:val="00A5014B"/>
    <w:rsid w:val="00A50282"/>
    <w:rsid w:val="00A5043A"/>
    <w:rsid w:val="00A5048A"/>
    <w:rsid w:val="00A51225"/>
    <w:rsid w:val="00A512FB"/>
    <w:rsid w:val="00A51430"/>
    <w:rsid w:val="00A514D4"/>
    <w:rsid w:val="00A5191A"/>
    <w:rsid w:val="00A51AAE"/>
    <w:rsid w:val="00A51CB0"/>
    <w:rsid w:val="00A51DD5"/>
    <w:rsid w:val="00A51F79"/>
    <w:rsid w:val="00A52AF2"/>
    <w:rsid w:val="00A52C47"/>
    <w:rsid w:val="00A52F61"/>
    <w:rsid w:val="00A53165"/>
    <w:rsid w:val="00A5322F"/>
    <w:rsid w:val="00A535FB"/>
    <w:rsid w:val="00A53A74"/>
    <w:rsid w:val="00A53C3B"/>
    <w:rsid w:val="00A53C4D"/>
    <w:rsid w:val="00A53FA8"/>
    <w:rsid w:val="00A5453C"/>
    <w:rsid w:val="00A546A2"/>
    <w:rsid w:val="00A550AE"/>
    <w:rsid w:val="00A565E0"/>
    <w:rsid w:val="00A56634"/>
    <w:rsid w:val="00A568FA"/>
    <w:rsid w:val="00A56B76"/>
    <w:rsid w:val="00A5718F"/>
    <w:rsid w:val="00A574F4"/>
    <w:rsid w:val="00A57958"/>
    <w:rsid w:val="00A57AD5"/>
    <w:rsid w:val="00A57CE6"/>
    <w:rsid w:val="00A60174"/>
    <w:rsid w:val="00A60784"/>
    <w:rsid w:val="00A60954"/>
    <w:rsid w:val="00A60A26"/>
    <w:rsid w:val="00A60A44"/>
    <w:rsid w:val="00A60BDE"/>
    <w:rsid w:val="00A60E89"/>
    <w:rsid w:val="00A610F2"/>
    <w:rsid w:val="00A612DD"/>
    <w:rsid w:val="00A615D1"/>
    <w:rsid w:val="00A615E7"/>
    <w:rsid w:val="00A61B06"/>
    <w:rsid w:val="00A61C83"/>
    <w:rsid w:val="00A61D89"/>
    <w:rsid w:val="00A62096"/>
    <w:rsid w:val="00A6209E"/>
    <w:rsid w:val="00A62104"/>
    <w:rsid w:val="00A62596"/>
    <w:rsid w:val="00A62942"/>
    <w:rsid w:val="00A6294A"/>
    <w:rsid w:val="00A62E60"/>
    <w:rsid w:val="00A63092"/>
    <w:rsid w:val="00A63630"/>
    <w:rsid w:val="00A6374D"/>
    <w:rsid w:val="00A63831"/>
    <w:rsid w:val="00A63ACD"/>
    <w:rsid w:val="00A63CAC"/>
    <w:rsid w:val="00A63F2D"/>
    <w:rsid w:val="00A6447C"/>
    <w:rsid w:val="00A64773"/>
    <w:rsid w:val="00A649FF"/>
    <w:rsid w:val="00A64B8B"/>
    <w:rsid w:val="00A6517D"/>
    <w:rsid w:val="00A65211"/>
    <w:rsid w:val="00A65538"/>
    <w:rsid w:val="00A657E6"/>
    <w:rsid w:val="00A6599C"/>
    <w:rsid w:val="00A65B78"/>
    <w:rsid w:val="00A65C1F"/>
    <w:rsid w:val="00A66266"/>
    <w:rsid w:val="00A663B1"/>
    <w:rsid w:val="00A666B4"/>
    <w:rsid w:val="00A66C8E"/>
    <w:rsid w:val="00A66D1C"/>
    <w:rsid w:val="00A66E63"/>
    <w:rsid w:val="00A66FAB"/>
    <w:rsid w:val="00A6782A"/>
    <w:rsid w:val="00A67B34"/>
    <w:rsid w:val="00A67FC9"/>
    <w:rsid w:val="00A70465"/>
    <w:rsid w:val="00A706CF"/>
    <w:rsid w:val="00A70E43"/>
    <w:rsid w:val="00A70FD7"/>
    <w:rsid w:val="00A70FFF"/>
    <w:rsid w:val="00A711B2"/>
    <w:rsid w:val="00A713ED"/>
    <w:rsid w:val="00A71404"/>
    <w:rsid w:val="00A715D4"/>
    <w:rsid w:val="00A7172A"/>
    <w:rsid w:val="00A71AED"/>
    <w:rsid w:val="00A720FF"/>
    <w:rsid w:val="00A722B9"/>
    <w:rsid w:val="00A72339"/>
    <w:rsid w:val="00A723EB"/>
    <w:rsid w:val="00A72422"/>
    <w:rsid w:val="00A72B21"/>
    <w:rsid w:val="00A72D38"/>
    <w:rsid w:val="00A730DA"/>
    <w:rsid w:val="00A73561"/>
    <w:rsid w:val="00A735C0"/>
    <w:rsid w:val="00A739DC"/>
    <w:rsid w:val="00A739E2"/>
    <w:rsid w:val="00A73A9C"/>
    <w:rsid w:val="00A73AE1"/>
    <w:rsid w:val="00A73F1B"/>
    <w:rsid w:val="00A73FC6"/>
    <w:rsid w:val="00A7427D"/>
    <w:rsid w:val="00A74DDE"/>
    <w:rsid w:val="00A74E6D"/>
    <w:rsid w:val="00A74E94"/>
    <w:rsid w:val="00A74F72"/>
    <w:rsid w:val="00A75109"/>
    <w:rsid w:val="00A75112"/>
    <w:rsid w:val="00A7534D"/>
    <w:rsid w:val="00A754FA"/>
    <w:rsid w:val="00A756DC"/>
    <w:rsid w:val="00A75DA1"/>
    <w:rsid w:val="00A75DD6"/>
    <w:rsid w:val="00A75E9F"/>
    <w:rsid w:val="00A76037"/>
    <w:rsid w:val="00A768FA"/>
    <w:rsid w:val="00A76E33"/>
    <w:rsid w:val="00A76EA4"/>
    <w:rsid w:val="00A77541"/>
    <w:rsid w:val="00A77942"/>
    <w:rsid w:val="00A77BDE"/>
    <w:rsid w:val="00A77CBB"/>
    <w:rsid w:val="00A77DC5"/>
    <w:rsid w:val="00A77F64"/>
    <w:rsid w:val="00A801DF"/>
    <w:rsid w:val="00A80397"/>
    <w:rsid w:val="00A80B22"/>
    <w:rsid w:val="00A81383"/>
    <w:rsid w:val="00A81982"/>
    <w:rsid w:val="00A81E7D"/>
    <w:rsid w:val="00A81F21"/>
    <w:rsid w:val="00A81F82"/>
    <w:rsid w:val="00A821F6"/>
    <w:rsid w:val="00A823C1"/>
    <w:rsid w:val="00A82437"/>
    <w:rsid w:val="00A82704"/>
    <w:rsid w:val="00A82934"/>
    <w:rsid w:val="00A829E6"/>
    <w:rsid w:val="00A82C7F"/>
    <w:rsid w:val="00A82E92"/>
    <w:rsid w:val="00A83501"/>
    <w:rsid w:val="00A835D0"/>
    <w:rsid w:val="00A83803"/>
    <w:rsid w:val="00A83A27"/>
    <w:rsid w:val="00A83C72"/>
    <w:rsid w:val="00A83E57"/>
    <w:rsid w:val="00A83F60"/>
    <w:rsid w:val="00A841B0"/>
    <w:rsid w:val="00A84255"/>
    <w:rsid w:val="00A845DE"/>
    <w:rsid w:val="00A84769"/>
    <w:rsid w:val="00A84A62"/>
    <w:rsid w:val="00A84D6C"/>
    <w:rsid w:val="00A84E9A"/>
    <w:rsid w:val="00A84EAA"/>
    <w:rsid w:val="00A84EB2"/>
    <w:rsid w:val="00A84F4E"/>
    <w:rsid w:val="00A85397"/>
    <w:rsid w:val="00A85479"/>
    <w:rsid w:val="00A8568E"/>
    <w:rsid w:val="00A857DD"/>
    <w:rsid w:val="00A85A2B"/>
    <w:rsid w:val="00A85AB3"/>
    <w:rsid w:val="00A85B1B"/>
    <w:rsid w:val="00A8605C"/>
    <w:rsid w:val="00A8612D"/>
    <w:rsid w:val="00A86148"/>
    <w:rsid w:val="00A861BE"/>
    <w:rsid w:val="00A862A1"/>
    <w:rsid w:val="00A86A57"/>
    <w:rsid w:val="00A86BF1"/>
    <w:rsid w:val="00A86D60"/>
    <w:rsid w:val="00A86E17"/>
    <w:rsid w:val="00A86E91"/>
    <w:rsid w:val="00A8703C"/>
    <w:rsid w:val="00A8718C"/>
    <w:rsid w:val="00A871E6"/>
    <w:rsid w:val="00A87E07"/>
    <w:rsid w:val="00A87F55"/>
    <w:rsid w:val="00A9035B"/>
    <w:rsid w:val="00A903AB"/>
    <w:rsid w:val="00A903E9"/>
    <w:rsid w:val="00A90934"/>
    <w:rsid w:val="00A91115"/>
    <w:rsid w:val="00A91142"/>
    <w:rsid w:val="00A9117B"/>
    <w:rsid w:val="00A91329"/>
    <w:rsid w:val="00A9134A"/>
    <w:rsid w:val="00A91558"/>
    <w:rsid w:val="00A915CA"/>
    <w:rsid w:val="00A9162E"/>
    <w:rsid w:val="00A916E4"/>
    <w:rsid w:val="00A91930"/>
    <w:rsid w:val="00A91D52"/>
    <w:rsid w:val="00A91DCD"/>
    <w:rsid w:val="00A91EF2"/>
    <w:rsid w:val="00A9226A"/>
    <w:rsid w:val="00A92454"/>
    <w:rsid w:val="00A92A4C"/>
    <w:rsid w:val="00A93114"/>
    <w:rsid w:val="00A931FE"/>
    <w:rsid w:val="00A932EF"/>
    <w:rsid w:val="00A9331D"/>
    <w:rsid w:val="00A93543"/>
    <w:rsid w:val="00A93710"/>
    <w:rsid w:val="00A93927"/>
    <w:rsid w:val="00A93A19"/>
    <w:rsid w:val="00A93D46"/>
    <w:rsid w:val="00A93F16"/>
    <w:rsid w:val="00A93F6B"/>
    <w:rsid w:val="00A941DD"/>
    <w:rsid w:val="00A9436F"/>
    <w:rsid w:val="00A944AE"/>
    <w:rsid w:val="00A94672"/>
    <w:rsid w:val="00A9472A"/>
    <w:rsid w:val="00A948A6"/>
    <w:rsid w:val="00A94900"/>
    <w:rsid w:val="00A94909"/>
    <w:rsid w:val="00A94A13"/>
    <w:rsid w:val="00A94EC9"/>
    <w:rsid w:val="00A94EFC"/>
    <w:rsid w:val="00A95571"/>
    <w:rsid w:val="00A9564D"/>
    <w:rsid w:val="00A95709"/>
    <w:rsid w:val="00A95AC6"/>
    <w:rsid w:val="00A95CC8"/>
    <w:rsid w:val="00A95E6B"/>
    <w:rsid w:val="00A95EA7"/>
    <w:rsid w:val="00A963DD"/>
    <w:rsid w:val="00A9644D"/>
    <w:rsid w:val="00A969D1"/>
    <w:rsid w:val="00A96A3B"/>
    <w:rsid w:val="00A96A81"/>
    <w:rsid w:val="00A96B6E"/>
    <w:rsid w:val="00A96D1F"/>
    <w:rsid w:val="00A97200"/>
    <w:rsid w:val="00A97274"/>
    <w:rsid w:val="00A97556"/>
    <w:rsid w:val="00A9795D"/>
    <w:rsid w:val="00A97AE0"/>
    <w:rsid w:val="00A97F1D"/>
    <w:rsid w:val="00AA0299"/>
    <w:rsid w:val="00AA063F"/>
    <w:rsid w:val="00AA07C1"/>
    <w:rsid w:val="00AA0B09"/>
    <w:rsid w:val="00AA0D18"/>
    <w:rsid w:val="00AA0D58"/>
    <w:rsid w:val="00AA1044"/>
    <w:rsid w:val="00AA1322"/>
    <w:rsid w:val="00AA15A7"/>
    <w:rsid w:val="00AA1681"/>
    <w:rsid w:val="00AA1C0C"/>
    <w:rsid w:val="00AA1C80"/>
    <w:rsid w:val="00AA1CEE"/>
    <w:rsid w:val="00AA1E9F"/>
    <w:rsid w:val="00AA2209"/>
    <w:rsid w:val="00AA236C"/>
    <w:rsid w:val="00AA23F9"/>
    <w:rsid w:val="00AA26B4"/>
    <w:rsid w:val="00AA26EE"/>
    <w:rsid w:val="00AA2FA1"/>
    <w:rsid w:val="00AA34A2"/>
    <w:rsid w:val="00AA3693"/>
    <w:rsid w:val="00AA37BC"/>
    <w:rsid w:val="00AA37C5"/>
    <w:rsid w:val="00AA38FC"/>
    <w:rsid w:val="00AA3980"/>
    <w:rsid w:val="00AA3D0F"/>
    <w:rsid w:val="00AA3F38"/>
    <w:rsid w:val="00AA4007"/>
    <w:rsid w:val="00AA4291"/>
    <w:rsid w:val="00AA449E"/>
    <w:rsid w:val="00AA4620"/>
    <w:rsid w:val="00AA4A85"/>
    <w:rsid w:val="00AA500E"/>
    <w:rsid w:val="00AA5162"/>
    <w:rsid w:val="00AA51C1"/>
    <w:rsid w:val="00AA5927"/>
    <w:rsid w:val="00AA5AA6"/>
    <w:rsid w:val="00AA5F74"/>
    <w:rsid w:val="00AA6156"/>
    <w:rsid w:val="00AA63A4"/>
    <w:rsid w:val="00AA6496"/>
    <w:rsid w:val="00AA69A6"/>
    <w:rsid w:val="00AA6A6F"/>
    <w:rsid w:val="00AA6B25"/>
    <w:rsid w:val="00AA6CDC"/>
    <w:rsid w:val="00AA6CEF"/>
    <w:rsid w:val="00AA73AC"/>
    <w:rsid w:val="00AA73D5"/>
    <w:rsid w:val="00AA7B29"/>
    <w:rsid w:val="00AA7B77"/>
    <w:rsid w:val="00AB04AE"/>
    <w:rsid w:val="00AB06B0"/>
    <w:rsid w:val="00AB074C"/>
    <w:rsid w:val="00AB081A"/>
    <w:rsid w:val="00AB087D"/>
    <w:rsid w:val="00AB0AA0"/>
    <w:rsid w:val="00AB0BEA"/>
    <w:rsid w:val="00AB0C10"/>
    <w:rsid w:val="00AB0D9B"/>
    <w:rsid w:val="00AB1117"/>
    <w:rsid w:val="00AB1682"/>
    <w:rsid w:val="00AB17CA"/>
    <w:rsid w:val="00AB1837"/>
    <w:rsid w:val="00AB187A"/>
    <w:rsid w:val="00AB1881"/>
    <w:rsid w:val="00AB19A9"/>
    <w:rsid w:val="00AB1A1A"/>
    <w:rsid w:val="00AB1F80"/>
    <w:rsid w:val="00AB20AC"/>
    <w:rsid w:val="00AB22BC"/>
    <w:rsid w:val="00AB266E"/>
    <w:rsid w:val="00AB2CCE"/>
    <w:rsid w:val="00AB2E1F"/>
    <w:rsid w:val="00AB39E8"/>
    <w:rsid w:val="00AB3ADB"/>
    <w:rsid w:val="00AB3B3E"/>
    <w:rsid w:val="00AB3CE7"/>
    <w:rsid w:val="00AB3D14"/>
    <w:rsid w:val="00AB3D4B"/>
    <w:rsid w:val="00AB3DFB"/>
    <w:rsid w:val="00AB4007"/>
    <w:rsid w:val="00AB4040"/>
    <w:rsid w:val="00AB40F3"/>
    <w:rsid w:val="00AB43DB"/>
    <w:rsid w:val="00AB43E3"/>
    <w:rsid w:val="00AB4961"/>
    <w:rsid w:val="00AB4BCA"/>
    <w:rsid w:val="00AB4C6F"/>
    <w:rsid w:val="00AB514A"/>
    <w:rsid w:val="00AB5470"/>
    <w:rsid w:val="00AB56C9"/>
    <w:rsid w:val="00AB5BBA"/>
    <w:rsid w:val="00AB5C97"/>
    <w:rsid w:val="00AB5DB2"/>
    <w:rsid w:val="00AB616A"/>
    <w:rsid w:val="00AB6354"/>
    <w:rsid w:val="00AB6701"/>
    <w:rsid w:val="00AB67E8"/>
    <w:rsid w:val="00AB6B4E"/>
    <w:rsid w:val="00AB6DEB"/>
    <w:rsid w:val="00AB6EEF"/>
    <w:rsid w:val="00AB7068"/>
    <w:rsid w:val="00AB7A18"/>
    <w:rsid w:val="00AB7DF9"/>
    <w:rsid w:val="00AB8AAC"/>
    <w:rsid w:val="00AC004E"/>
    <w:rsid w:val="00AC017F"/>
    <w:rsid w:val="00AC043E"/>
    <w:rsid w:val="00AC0548"/>
    <w:rsid w:val="00AC06B6"/>
    <w:rsid w:val="00AC0748"/>
    <w:rsid w:val="00AC087E"/>
    <w:rsid w:val="00AC0C1D"/>
    <w:rsid w:val="00AC0ED2"/>
    <w:rsid w:val="00AC0EF9"/>
    <w:rsid w:val="00AC1076"/>
    <w:rsid w:val="00AC184A"/>
    <w:rsid w:val="00AC18BB"/>
    <w:rsid w:val="00AC1BBC"/>
    <w:rsid w:val="00AC1E12"/>
    <w:rsid w:val="00AC2422"/>
    <w:rsid w:val="00AC2596"/>
    <w:rsid w:val="00AC2623"/>
    <w:rsid w:val="00AC2756"/>
    <w:rsid w:val="00AC2909"/>
    <w:rsid w:val="00AC2ADA"/>
    <w:rsid w:val="00AC2ADE"/>
    <w:rsid w:val="00AC2D2E"/>
    <w:rsid w:val="00AC2F73"/>
    <w:rsid w:val="00AC2FE1"/>
    <w:rsid w:val="00AC3002"/>
    <w:rsid w:val="00AC31D7"/>
    <w:rsid w:val="00AC323A"/>
    <w:rsid w:val="00AC36AD"/>
    <w:rsid w:val="00AC3A11"/>
    <w:rsid w:val="00AC3BCD"/>
    <w:rsid w:val="00AC4374"/>
    <w:rsid w:val="00AC438F"/>
    <w:rsid w:val="00AC471A"/>
    <w:rsid w:val="00AC48D2"/>
    <w:rsid w:val="00AC4BFD"/>
    <w:rsid w:val="00AC4F12"/>
    <w:rsid w:val="00AC50E3"/>
    <w:rsid w:val="00AC512D"/>
    <w:rsid w:val="00AC5827"/>
    <w:rsid w:val="00AC5885"/>
    <w:rsid w:val="00AC59CF"/>
    <w:rsid w:val="00AC5C35"/>
    <w:rsid w:val="00AC5DB0"/>
    <w:rsid w:val="00AC61AD"/>
    <w:rsid w:val="00AC679E"/>
    <w:rsid w:val="00AC68EC"/>
    <w:rsid w:val="00AC69EE"/>
    <w:rsid w:val="00AC6CA5"/>
    <w:rsid w:val="00AC6D8C"/>
    <w:rsid w:val="00AC6DF2"/>
    <w:rsid w:val="00AC6E3B"/>
    <w:rsid w:val="00AC7165"/>
    <w:rsid w:val="00AC731E"/>
    <w:rsid w:val="00AC747A"/>
    <w:rsid w:val="00AC761C"/>
    <w:rsid w:val="00AD00A4"/>
    <w:rsid w:val="00AD01D0"/>
    <w:rsid w:val="00AD0275"/>
    <w:rsid w:val="00AD02E1"/>
    <w:rsid w:val="00AD048D"/>
    <w:rsid w:val="00AD071C"/>
    <w:rsid w:val="00AD0A75"/>
    <w:rsid w:val="00AD0AE8"/>
    <w:rsid w:val="00AD0BB3"/>
    <w:rsid w:val="00AD10B4"/>
    <w:rsid w:val="00AD182F"/>
    <w:rsid w:val="00AD1964"/>
    <w:rsid w:val="00AD196B"/>
    <w:rsid w:val="00AD204B"/>
    <w:rsid w:val="00AD213D"/>
    <w:rsid w:val="00AD2927"/>
    <w:rsid w:val="00AD2976"/>
    <w:rsid w:val="00AD2A04"/>
    <w:rsid w:val="00AD2DBF"/>
    <w:rsid w:val="00AD2E38"/>
    <w:rsid w:val="00AD30D9"/>
    <w:rsid w:val="00AD3362"/>
    <w:rsid w:val="00AD33A4"/>
    <w:rsid w:val="00AD3528"/>
    <w:rsid w:val="00AD35BC"/>
    <w:rsid w:val="00AD36D3"/>
    <w:rsid w:val="00AD3738"/>
    <w:rsid w:val="00AD38CC"/>
    <w:rsid w:val="00AD3A70"/>
    <w:rsid w:val="00AD3FE3"/>
    <w:rsid w:val="00AD4197"/>
    <w:rsid w:val="00AD4520"/>
    <w:rsid w:val="00AD4613"/>
    <w:rsid w:val="00AD4F32"/>
    <w:rsid w:val="00AD51C9"/>
    <w:rsid w:val="00AD53D8"/>
    <w:rsid w:val="00AD542F"/>
    <w:rsid w:val="00AD5598"/>
    <w:rsid w:val="00AD55DD"/>
    <w:rsid w:val="00AD56E5"/>
    <w:rsid w:val="00AD5B04"/>
    <w:rsid w:val="00AD5D04"/>
    <w:rsid w:val="00AD5D4B"/>
    <w:rsid w:val="00AD5E42"/>
    <w:rsid w:val="00AD6055"/>
    <w:rsid w:val="00AD6111"/>
    <w:rsid w:val="00AD6419"/>
    <w:rsid w:val="00AD64CD"/>
    <w:rsid w:val="00AD6599"/>
    <w:rsid w:val="00AD712A"/>
    <w:rsid w:val="00AD723D"/>
    <w:rsid w:val="00AD7331"/>
    <w:rsid w:val="00AD73FD"/>
    <w:rsid w:val="00AD754B"/>
    <w:rsid w:val="00AD7997"/>
    <w:rsid w:val="00AD7EB4"/>
    <w:rsid w:val="00AD7F4E"/>
    <w:rsid w:val="00AD7FFD"/>
    <w:rsid w:val="00AE00AE"/>
    <w:rsid w:val="00AE00E2"/>
    <w:rsid w:val="00AE054A"/>
    <w:rsid w:val="00AE0693"/>
    <w:rsid w:val="00AE0CEE"/>
    <w:rsid w:val="00AE147C"/>
    <w:rsid w:val="00AE14A9"/>
    <w:rsid w:val="00AE14FD"/>
    <w:rsid w:val="00AE160A"/>
    <w:rsid w:val="00AE18DC"/>
    <w:rsid w:val="00AE18EC"/>
    <w:rsid w:val="00AE1C81"/>
    <w:rsid w:val="00AE1F22"/>
    <w:rsid w:val="00AE22E9"/>
    <w:rsid w:val="00AE25BB"/>
    <w:rsid w:val="00AE25F7"/>
    <w:rsid w:val="00AE2A68"/>
    <w:rsid w:val="00AE2AAB"/>
    <w:rsid w:val="00AE314F"/>
    <w:rsid w:val="00AE36AC"/>
    <w:rsid w:val="00AE3A5A"/>
    <w:rsid w:val="00AE3BDF"/>
    <w:rsid w:val="00AE3CE5"/>
    <w:rsid w:val="00AE3FBF"/>
    <w:rsid w:val="00AE3FC7"/>
    <w:rsid w:val="00AE4500"/>
    <w:rsid w:val="00AE4539"/>
    <w:rsid w:val="00AE4991"/>
    <w:rsid w:val="00AE4A13"/>
    <w:rsid w:val="00AE4B67"/>
    <w:rsid w:val="00AE4C37"/>
    <w:rsid w:val="00AE4E68"/>
    <w:rsid w:val="00AE4E74"/>
    <w:rsid w:val="00AE520A"/>
    <w:rsid w:val="00AE5274"/>
    <w:rsid w:val="00AE56D4"/>
    <w:rsid w:val="00AE571C"/>
    <w:rsid w:val="00AE576A"/>
    <w:rsid w:val="00AE5A6D"/>
    <w:rsid w:val="00AE65B6"/>
    <w:rsid w:val="00AE69C9"/>
    <w:rsid w:val="00AE6BCE"/>
    <w:rsid w:val="00AE6ED1"/>
    <w:rsid w:val="00AE70AF"/>
    <w:rsid w:val="00AE772D"/>
    <w:rsid w:val="00AE792B"/>
    <w:rsid w:val="00AE7C90"/>
    <w:rsid w:val="00AE7F10"/>
    <w:rsid w:val="00AF0172"/>
    <w:rsid w:val="00AF0217"/>
    <w:rsid w:val="00AF0278"/>
    <w:rsid w:val="00AF02C7"/>
    <w:rsid w:val="00AF04E2"/>
    <w:rsid w:val="00AF076D"/>
    <w:rsid w:val="00AF0D0D"/>
    <w:rsid w:val="00AF0D3B"/>
    <w:rsid w:val="00AF0DD5"/>
    <w:rsid w:val="00AF0DF9"/>
    <w:rsid w:val="00AF0E17"/>
    <w:rsid w:val="00AF11F8"/>
    <w:rsid w:val="00AF1965"/>
    <w:rsid w:val="00AF1A88"/>
    <w:rsid w:val="00AF1F67"/>
    <w:rsid w:val="00AF1F79"/>
    <w:rsid w:val="00AF27F1"/>
    <w:rsid w:val="00AF2B83"/>
    <w:rsid w:val="00AF2C8B"/>
    <w:rsid w:val="00AF2D05"/>
    <w:rsid w:val="00AF2E58"/>
    <w:rsid w:val="00AF2EA7"/>
    <w:rsid w:val="00AF3323"/>
    <w:rsid w:val="00AF3820"/>
    <w:rsid w:val="00AF3AF8"/>
    <w:rsid w:val="00AF3E59"/>
    <w:rsid w:val="00AF3EEA"/>
    <w:rsid w:val="00AF3FF7"/>
    <w:rsid w:val="00AF4001"/>
    <w:rsid w:val="00AF41F4"/>
    <w:rsid w:val="00AF4677"/>
    <w:rsid w:val="00AF4BE4"/>
    <w:rsid w:val="00AF4C16"/>
    <w:rsid w:val="00AF4DD9"/>
    <w:rsid w:val="00AF4DF0"/>
    <w:rsid w:val="00AF4E59"/>
    <w:rsid w:val="00AF4E80"/>
    <w:rsid w:val="00AF4FB1"/>
    <w:rsid w:val="00AF52CB"/>
    <w:rsid w:val="00AF53E0"/>
    <w:rsid w:val="00AF5FA8"/>
    <w:rsid w:val="00AF647B"/>
    <w:rsid w:val="00AF6526"/>
    <w:rsid w:val="00AF6A53"/>
    <w:rsid w:val="00AF6A6D"/>
    <w:rsid w:val="00AF6D14"/>
    <w:rsid w:val="00AF6F08"/>
    <w:rsid w:val="00AF7091"/>
    <w:rsid w:val="00AF7178"/>
    <w:rsid w:val="00AF7263"/>
    <w:rsid w:val="00AF754E"/>
    <w:rsid w:val="00AF76D3"/>
    <w:rsid w:val="00AF78F2"/>
    <w:rsid w:val="00AF7C07"/>
    <w:rsid w:val="00AF7CCB"/>
    <w:rsid w:val="00B00017"/>
    <w:rsid w:val="00B000B6"/>
    <w:rsid w:val="00B001B0"/>
    <w:rsid w:val="00B00266"/>
    <w:rsid w:val="00B002F5"/>
    <w:rsid w:val="00B00DC9"/>
    <w:rsid w:val="00B00F86"/>
    <w:rsid w:val="00B01396"/>
    <w:rsid w:val="00B015E9"/>
    <w:rsid w:val="00B0169D"/>
    <w:rsid w:val="00B01E0F"/>
    <w:rsid w:val="00B01FED"/>
    <w:rsid w:val="00B0230D"/>
    <w:rsid w:val="00B0256D"/>
    <w:rsid w:val="00B02672"/>
    <w:rsid w:val="00B028FE"/>
    <w:rsid w:val="00B02CE9"/>
    <w:rsid w:val="00B033D0"/>
    <w:rsid w:val="00B035F1"/>
    <w:rsid w:val="00B0366C"/>
    <w:rsid w:val="00B037F2"/>
    <w:rsid w:val="00B03D71"/>
    <w:rsid w:val="00B0451D"/>
    <w:rsid w:val="00B04943"/>
    <w:rsid w:val="00B04D09"/>
    <w:rsid w:val="00B0529B"/>
    <w:rsid w:val="00B054AF"/>
    <w:rsid w:val="00B054F4"/>
    <w:rsid w:val="00B05922"/>
    <w:rsid w:val="00B0593F"/>
    <w:rsid w:val="00B05A6C"/>
    <w:rsid w:val="00B05C8F"/>
    <w:rsid w:val="00B05CD6"/>
    <w:rsid w:val="00B05E21"/>
    <w:rsid w:val="00B05FD4"/>
    <w:rsid w:val="00B060E2"/>
    <w:rsid w:val="00B06212"/>
    <w:rsid w:val="00B062B4"/>
    <w:rsid w:val="00B06813"/>
    <w:rsid w:val="00B068C3"/>
    <w:rsid w:val="00B06E8A"/>
    <w:rsid w:val="00B0711A"/>
    <w:rsid w:val="00B0716F"/>
    <w:rsid w:val="00B072C1"/>
    <w:rsid w:val="00B07553"/>
    <w:rsid w:val="00B077B8"/>
    <w:rsid w:val="00B07882"/>
    <w:rsid w:val="00B07897"/>
    <w:rsid w:val="00B078B6"/>
    <w:rsid w:val="00B07C37"/>
    <w:rsid w:val="00B07DC4"/>
    <w:rsid w:val="00B07EB9"/>
    <w:rsid w:val="00B10316"/>
    <w:rsid w:val="00B1076B"/>
    <w:rsid w:val="00B1096A"/>
    <w:rsid w:val="00B10D90"/>
    <w:rsid w:val="00B110B4"/>
    <w:rsid w:val="00B1129A"/>
    <w:rsid w:val="00B112DA"/>
    <w:rsid w:val="00B11C15"/>
    <w:rsid w:val="00B11EA0"/>
    <w:rsid w:val="00B11EFC"/>
    <w:rsid w:val="00B1227D"/>
    <w:rsid w:val="00B12408"/>
    <w:rsid w:val="00B124EF"/>
    <w:rsid w:val="00B129F9"/>
    <w:rsid w:val="00B12B40"/>
    <w:rsid w:val="00B12B73"/>
    <w:rsid w:val="00B12CDA"/>
    <w:rsid w:val="00B12E4C"/>
    <w:rsid w:val="00B13338"/>
    <w:rsid w:val="00B1358D"/>
    <w:rsid w:val="00B13689"/>
    <w:rsid w:val="00B13A2D"/>
    <w:rsid w:val="00B13AC2"/>
    <w:rsid w:val="00B13E50"/>
    <w:rsid w:val="00B14179"/>
    <w:rsid w:val="00B148B5"/>
    <w:rsid w:val="00B14A43"/>
    <w:rsid w:val="00B14A87"/>
    <w:rsid w:val="00B14C94"/>
    <w:rsid w:val="00B15321"/>
    <w:rsid w:val="00B15406"/>
    <w:rsid w:val="00B1542E"/>
    <w:rsid w:val="00B155B2"/>
    <w:rsid w:val="00B1570A"/>
    <w:rsid w:val="00B157EE"/>
    <w:rsid w:val="00B1580E"/>
    <w:rsid w:val="00B158CB"/>
    <w:rsid w:val="00B15DCB"/>
    <w:rsid w:val="00B16031"/>
    <w:rsid w:val="00B16158"/>
    <w:rsid w:val="00B163AD"/>
    <w:rsid w:val="00B16A21"/>
    <w:rsid w:val="00B16ED1"/>
    <w:rsid w:val="00B17453"/>
    <w:rsid w:val="00B17592"/>
    <w:rsid w:val="00B1764B"/>
    <w:rsid w:val="00B17775"/>
    <w:rsid w:val="00B17C2F"/>
    <w:rsid w:val="00B17CCB"/>
    <w:rsid w:val="00B17E97"/>
    <w:rsid w:val="00B17FDB"/>
    <w:rsid w:val="00B200B9"/>
    <w:rsid w:val="00B204A6"/>
    <w:rsid w:val="00B20703"/>
    <w:rsid w:val="00B20903"/>
    <w:rsid w:val="00B20FA2"/>
    <w:rsid w:val="00B211F2"/>
    <w:rsid w:val="00B2138A"/>
    <w:rsid w:val="00B216B1"/>
    <w:rsid w:val="00B2181F"/>
    <w:rsid w:val="00B21B29"/>
    <w:rsid w:val="00B21BB1"/>
    <w:rsid w:val="00B2213F"/>
    <w:rsid w:val="00B22190"/>
    <w:rsid w:val="00B225D0"/>
    <w:rsid w:val="00B226C0"/>
    <w:rsid w:val="00B226D7"/>
    <w:rsid w:val="00B229BC"/>
    <w:rsid w:val="00B22E54"/>
    <w:rsid w:val="00B2302E"/>
    <w:rsid w:val="00B235C9"/>
    <w:rsid w:val="00B23A39"/>
    <w:rsid w:val="00B23AF6"/>
    <w:rsid w:val="00B24041"/>
    <w:rsid w:val="00B244D6"/>
    <w:rsid w:val="00B24544"/>
    <w:rsid w:val="00B24B4C"/>
    <w:rsid w:val="00B24D49"/>
    <w:rsid w:val="00B24EAA"/>
    <w:rsid w:val="00B24F93"/>
    <w:rsid w:val="00B25105"/>
    <w:rsid w:val="00B2561E"/>
    <w:rsid w:val="00B25675"/>
    <w:rsid w:val="00B259AA"/>
    <w:rsid w:val="00B259DF"/>
    <w:rsid w:val="00B25A0C"/>
    <w:rsid w:val="00B25AE3"/>
    <w:rsid w:val="00B25D68"/>
    <w:rsid w:val="00B26589"/>
    <w:rsid w:val="00B267D8"/>
    <w:rsid w:val="00B26968"/>
    <w:rsid w:val="00B270A9"/>
    <w:rsid w:val="00B27118"/>
    <w:rsid w:val="00B27185"/>
    <w:rsid w:val="00B2732D"/>
    <w:rsid w:val="00B2772E"/>
    <w:rsid w:val="00B2777B"/>
    <w:rsid w:val="00B27959"/>
    <w:rsid w:val="00B27999"/>
    <w:rsid w:val="00B27ACD"/>
    <w:rsid w:val="00B27E82"/>
    <w:rsid w:val="00B27F88"/>
    <w:rsid w:val="00B30120"/>
    <w:rsid w:val="00B30197"/>
    <w:rsid w:val="00B3042E"/>
    <w:rsid w:val="00B3052E"/>
    <w:rsid w:val="00B307C9"/>
    <w:rsid w:val="00B30A5D"/>
    <w:rsid w:val="00B30BA3"/>
    <w:rsid w:val="00B30C57"/>
    <w:rsid w:val="00B30D73"/>
    <w:rsid w:val="00B30D82"/>
    <w:rsid w:val="00B30F10"/>
    <w:rsid w:val="00B3155B"/>
    <w:rsid w:val="00B315D9"/>
    <w:rsid w:val="00B3186E"/>
    <w:rsid w:val="00B31E8A"/>
    <w:rsid w:val="00B320C0"/>
    <w:rsid w:val="00B32B6C"/>
    <w:rsid w:val="00B32C3A"/>
    <w:rsid w:val="00B32D59"/>
    <w:rsid w:val="00B3305E"/>
    <w:rsid w:val="00B3380A"/>
    <w:rsid w:val="00B33914"/>
    <w:rsid w:val="00B33E9B"/>
    <w:rsid w:val="00B33FB0"/>
    <w:rsid w:val="00B34689"/>
    <w:rsid w:val="00B346A6"/>
    <w:rsid w:val="00B346B6"/>
    <w:rsid w:val="00B34976"/>
    <w:rsid w:val="00B349EF"/>
    <w:rsid w:val="00B34D71"/>
    <w:rsid w:val="00B34E3F"/>
    <w:rsid w:val="00B34E57"/>
    <w:rsid w:val="00B35136"/>
    <w:rsid w:val="00B35276"/>
    <w:rsid w:val="00B352FB"/>
    <w:rsid w:val="00B353E9"/>
    <w:rsid w:val="00B35519"/>
    <w:rsid w:val="00B3565B"/>
    <w:rsid w:val="00B35C0E"/>
    <w:rsid w:val="00B35D0F"/>
    <w:rsid w:val="00B35EB9"/>
    <w:rsid w:val="00B35F30"/>
    <w:rsid w:val="00B360B4"/>
    <w:rsid w:val="00B3610C"/>
    <w:rsid w:val="00B3649B"/>
    <w:rsid w:val="00B366D7"/>
    <w:rsid w:val="00B367D1"/>
    <w:rsid w:val="00B367E2"/>
    <w:rsid w:val="00B3689E"/>
    <w:rsid w:val="00B36B13"/>
    <w:rsid w:val="00B37093"/>
    <w:rsid w:val="00B37184"/>
    <w:rsid w:val="00B372E4"/>
    <w:rsid w:val="00B3739D"/>
    <w:rsid w:val="00B3755E"/>
    <w:rsid w:val="00B37594"/>
    <w:rsid w:val="00B375FB"/>
    <w:rsid w:val="00B37CA4"/>
    <w:rsid w:val="00B37F9B"/>
    <w:rsid w:val="00B402C8"/>
    <w:rsid w:val="00B403A9"/>
    <w:rsid w:val="00B40A76"/>
    <w:rsid w:val="00B40EB0"/>
    <w:rsid w:val="00B411B4"/>
    <w:rsid w:val="00B41731"/>
    <w:rsid w:val="00B41AE8"/>
    <w:rsid w:val="00B41F67"/>
    <w:rsid w:val="00B41F79"/>
    <w:rsid w:val="00B4220C"/>
    <w:rsid w:val="00B42396"/>
    <w:rsid w:val="00B423A8"/>
    <w:rsid w:val="00B42617"/>
    <w:rsid w:val="00B4266B"/>
    <w:rsid w:val="00B4269F"/>
    <w:rsid w:val="00B4284C"/>
    <w:rsid w:val="00B428F5"/>
    <w:rsid w:val="00B42CE4"/>
    <w:rsid w:val="00B43152"/>
    <w:rsid w:val="00B43165"/>
    <w:rsid w:val="00B433BF"/>
    <w:rsid w:val="00B433FF"/>
    <w:rsid w:val="00B4342E"/>
    <w:rsid w:val="00B439DE"/>
    <w:rsid w:val="00B43A28"/>
    <w:rsid w:val="00B441E6"/>
    <w:rsid w:val="00B442C5"/>
    <w:rsid w:val="00B444BF"/>
    <w:rsid w:val="00B446C2"/>
    <w:rsid w:val="00B44F26"/>
    <w:rsid w:val="00B44FAB"/>
    <w:rsid w:val="00B45110"/>
    <w:rsid w:val="00B452BB"/>
    <w:rsid w:val="00B454EA"/>
    <w:rsid w:val="00B45799"/>
    <w:rsid w:val="00B45B1D"/>
    <w:rsid w:val="00B45F6F"/>
    <w:rsid w:val="00B46212"/>
    <w:rsid w:val="00B462EE"/>
    <w:rsid w:val="00B46477"/>
    <w:rsid w:val="00B4651E"/>
    <w:rsid w:val="00B4656A"/>
    <w:rsid w:val="00B466FF"/>
    <w:rsid w:val="00B467EF"/>
    <w:rsid w:val="00B46A3C"/>
    <w:rsid w:val="00B46A7A"/>
    <w:rsid w:val="00B46FC8"/>
    <w:rsid w:val="00B47068"/>
    <w:rsid w:val="00B470ED"/>
    <w:rsid w:val="00B47354"/>
    <w:rsid w:val="00B475A8"/>
    <w:rsid w:val="00B4771E"/>
    <w:rsid w:val="00B5005E"/>
    <w:rsid w:val="00B504CE"/>
    <w:rsid w:val="00B50592"/>
    <w:rsid w:val="00B5081C"/>
    <w:rsid w:val="00B50A74"/>
    <w:rsid w:val="00B50D5F"/>
    <w:rsid w:val="00B50E48"/>
    <w:rsid w:val="00B50F10"/>
    <w:rsid w:val="00B50FF8"/>
    <w:rsid w:val="00B5177A"/>
    <w:rsid w:val="00B51ACA"/>
    <w:rsid w:val="00B51B35"/>
    <w:rsid w:val="00B51C7C"/>
    <w:rsid w:val="00B51D23"/>
    <w:rsid w:val="00B51F9E"/>
    <w:rsid w:val="00B5263F"/>
    <w:rsid w:val="00B52862"/>
    <w:rsid w:val="00B529DB"/>
    <w:rsid w:val="00B52B02"/>
    <w:rsid w:val="00B52CF7"/>
    <w:rsid w:val="00B52D97"/>
    <w:rsid w:val="00B53109"/>
    <w:rsid w:val="00B5311E"/>
    <w:rsid w:val="00B53969"/>
    <w:rsid w:val="00B53D3E"/>
    <w:rsid w:val="00B5425E"/>
    <w:rsid w:val="00B54562"/>
    <w:rsid w:val="00B54864"/>
    <w:rsid w:val="00B5495B"/>
    <w:rsid w:val="00B54BF0"/>
    <w:rsid w:val="00B54E85"/>
    <w:rsid w:val="00B5507E"/>
    <w:rsid w:val="00B55852"/>
    <w:rsid w:val="00B55CAC"/>
    <w:rsid w:val="00B56195"/>
    <w:rsid w:val="00B563BA"/>
    <w:rsid w:val="00B565F8"/>
    <w:rsid w:val="00B56697"/>
    <w:rsid w:val="00B5679A"/>
    <w:rsid w:val="00B568F4"/>
    <w:rsid w:val="00B56ADD"/>
    <w:rsid w:val="00B56B78"/>
    <w:rsid w:val="00B56D6A"/>
    <w:rsid w:val="00B56E19"/>
    <w:rsid w:val="00B56E3E"/>
    <w:rsid w:val="00B56F19"/>
    <w:rsid w:val="00B57001"/>
    <w:rsid w:val="00B5737B"/>
    <w:rsid w:val="00B57892"/>
    <w:rsid w:val="00B57AE4"/>
    <w:rsid w:val="00B57E9F"/>
    <w:rsid w:val="00B601FD"/>
    <w:rsid w:val="00B60451"/>
    <w:rsid w:val="00B605B7"/>
    <w:rsid w:val="00B6061C"/>
    <w:rsid w:val="00B60E45"/>
    <w:rsid w:val="00B60EB4"/>
    <w:rsid w:val="00B60FA2"/>
    <w:rsid w:val="00B6105C"/>
    <w:rsid w:val="00B61304"/>
    <w:rsid w:val="00B61645"/>
    <w:rsid w:val="00B61CB2"/>
    <w:rsid w:val="00B61D1E"/>
    <w:rsid w:val="00B6240F"/>
    <w:rsid w:val="00B626F5"/>
    <w:rsid w:val="00B62BB1"/>
    <w:rsid w:val="00B62BCA"/>
    <w:rsid w:val="00B62C3A"/>
    <w:rsid w:val="00B62C3C"/>
    <w:rsid w:val="00B62CDD"/>
    <w:rsid w:val="00B631C9"/>
    <w:rsid w:val="00B63352"/>
    <w:rsid w:val="00B63460"/>
    <w:rsid w:val="00B63527"/>
    <w:rsid w:val="00B6374E"/>
    <w:rsid w:val="00B63B53"/>
    <w:rsid w:val="00B63E36"/>
    <w:rsid w:val="00B63E54"/>
    <w:rsid w:val="00B63E94"/>
    <w:rsid w:val="00B6449C"/>
    <w:rsid w:val="00B64845"/>
    <w:rsid w:val="00B6507A"/>
    <w:rsid w:val="00B6522A"/>
    <w:rsid w:val="00B65A46"/>
    <w:rsid w:val="00B661FB"/>
    <w:rsid w:val="00B666EC"/>
    <w:rsid w:val="00B666F0"/>
    <w:rsid w:val="00B6675C"/>
    <w:rsid w:val="00B66B08"/>
    <w:rsid w:val="00B66C04"/>
    <w:rsid w:val="00B66C37"/>
    <w:rsid w:val="00B66C4F"/>
    <w:rsid w:val="00B66DA0"/>
    <w:rsid w:val="00B66EC7"/>
    <w:rsid w:val="00B67069"/>
    <w:rsid w:val="00B67119"/>
    <w:rsid w:val="00B67833"/>
    <w:rsid w:val="00B679E4"/>
    <w:rsid w:val="00B67B86"/>
    <w:rsid w:val="00B67C5E"/>
    <w:rsid w:val="00B67D50"/>
    <w:rsid w:val="00B67D92"/>
    <w:rsid w:val="00B67DE4"/>
    <w:rsid w:val="00B70011"/>
    <w:rsid w:val="00B7001D"/>
    <w:rsid w:val="00B704D9"/>
    <w:rsid w:val="00B70522"/>
    <w:rsid w:val="00B707A9"/>
    <w:rsid w:val="00B7089D"/>
    <w:rsid w:val="00B7091A"/>
    <w:rsid w:val="00B7099E"/>
    <w:rsid w:val="00B709FC"/>
    <w:rsid w:val="00B70B88"/>
    <w:rsid w:val="00B70F1B"/>
    <w:rsid w:val="00B71658"/>
    <w:rsid w:val="00B71675"/>
    <w:rsid w:val="00B716DF"/>
    <w:rsid w:val="00B7184A"/>
    <w:rsid w:val="00B71AC2"/>
    <w:rsid w:val="00B71B62"/>
    <w:rsid w:val="00B721CA"/>
    <w:rsid w:val="00B72565"/>
    <w:rsid w:val="00B72645"/>
    <w:rsid w:val="00B7265B"/>
    <w:rsid w:val="00B7286C"/>
    <w:rsid w:val="00B72AD4"/>
    <w:rsid w:val="00B72BD0"/>
    <w:rsid w:val="00B72C2F"/>
    <w:rsid w:val="00B72E62"/>
    <w:rsid w:val="00B72F6D"/>
    <w:rsid w:val="00B73A69"/>
    <w:rsid w:val="00B73DCD"/>
    <w:rsid w:val="00B740CB"/>
    <w:rsid w:val="00B740DE"/>
    <w:rsid w:val="00B745E3"/>
    <w:rsid w:val="00B746C9"/>
    <w:rsid w:val="00B74E6D"/>
    <w:rsid w:val="00B74ECD"/>
    <w:rsid w:val="00B74EE9"/>
    <w:rsid w:val="00B74F75"/>
    <w:rsid w:val="00B753FC"/>
    <w:rsid w:val="00B75814"/>
    <w:rsid w:val="00B758C9"/>
    <w:rsid w:val="00B75BAA"/>
    <w:rsid w:val="00B75BC0"/>
    <w:rsid w:val="00B75C5E"/>
    <w:rsid w:val="00B75E8B"/>
    <w:rsid w:val="00B75FFE"/>
    <w:rsid w:val="00B76291"/>
    <w:rsid w:val="00B7636B"/>
    <w:rsid w:val="00B76492"/>
    <w:rsid w:val="00B76498"/>
    <w:rsid w:val="00B769A2"/>
    <w:rsid w:val="00B76A00"/>
    <w:rsid w:val="00B76C9D"/>
    <w:rsid w:val="00B77346"/>
    <w:rsid w:val="00B7768F"/>
    <w:rsid w:val="00B77809"/>
    <w:rsid w:val="00B7796D"/>
    <w:rsid w:val="00B77AA0"/>
    <w:rsid w:val="00B77AA1"/>
    <w:rsid w:val="00B77BAC"/>
    <w:rsid w:val="00B77DBA"/>
    <w:rsid w:val="00B8002C"/>
    <w:rsid w:val="00B8041D"/>
    <w:rsid w:val="00B8044E"/>
    <w:rsid w:val="00B8086A"/>
    <w:rsid w:val="00B80948"/>
    <w:rsid w:val="00B80B83"/>
    <w:rsid w:val="00B80F9C"/>
    <w:rsid w:val="00B81187"/>
    <w:rsid w:val="00B81731"/>
    <w:rsid w:val="00B81DA4"/>
    <w:rsid w:val="00B82171"/>
    <w:rsid w:val="00B8218B"/>
    <w:rsid w:val="00B82198"/>
    <w:rsid w:val="00B8252D"/>
    <w:rsid w:val="00B8254D"/>
    <w:rsid w:val="00B8283B"/>
    <w:rsid w:val="00B82B10"/>
    <w:rsid w:val="00B82B75"/>
    <w:rsid w:val="00B82D50"/>
    <w:rsid w:val="00B82F97"/>
    <w:rsid w:val="00B83176"/>
    <w:rsid w:val="00B831CE"/>
    <w:rsid w:val="00B83300"/>
    <w:rsid w:val="00B83E62"/>
    <w:rsid w:val="00B8422E"/>
    <w:rsid w:val="00B84634"/>
    <w:rsid w:val="00B846B6"/>
    <w:rsid w:val="00B84B35"/>
    <w:rsid w:val="00B84C0B"/>
    <w:rsid w:val="00B84F57"/>
    <w:rsid w:val="00B851EA"/>
    <w:rsid w:val="00B85229"/>
    <w:rsid w:val="00B855DD"/>
    <w:rsid w:val="00B8560C"/>
    <w:rsid w:val="00B8586B"/>
    <w:rsid w:val="00B85A87"/>
    <w:rsid w:val="00B85AE6"/>
    <w:rsid w:val="00B85DA9"/>
    <w:rsid w:val="00B86040"/>
    <w:rsid w:val="00B86041"/>
    <w:rsid w:val="00B86087"/>
    <w:rsid w:val="00B86159"/>
    <w:rsid w:val="00B863A0"/>
    <w:rsid w:val="00B86951"/>
    <w:rsid w:val="00B873C9"/>
    <w:rsid w:val="00B87433"/>
    <w:rsid w:val="00B87655"/>
    <w:rsid w:val="00B87714"/>
    <w:rsid w:val="00B87732"/>
    <w:rsid w:val="00B87D35"/>
    <w:rsid w:val="00B90191"/>
    <w:rsid w:val="00B9067E"/>
    <w:rsid w:val="00B90E56"/>
    <w:rsid w:val="00B912A5"/>
    <w:rsid w:val="00B91868"/>
    <w:rsid w:val="00B91AC5"/>
    <w:rsid w:val="00B91FE6"/>
    <w:rsid w:val="00B92023"/>
    <w:rsid w:val="00B920CC"/>
    <w:rsid w:val="00B924D6"/>
    <w:rsid w:val="00B92AA3"/>
    <w:rsid w:val="00B92D39"/>
    <w:rsid w:val="00B92E54"/>
    <w:rsid w:val="00B9320C"/>
    <w:rsid w:val="00B93286"/>
    <w:rsid w:val="00B93511"/>
    <w:rsid w:val="00B93685"/>
    <w:rsid w:val="00B936CC"/>
    <w:rsid w:val="00B93AF1"/>
    <w:rsid w:val="00B93B96"/>
    <w:rsid w:val="00B93CCD"/>
    <w:rsid w:val="00B93F3D"/>
    <w:rsid w:val="00B93FA3"/>
    <w:rsid w:val="00B94273"/>
    <w:rsid w:val="00B944EB"/>
    <w:rsid w:val="00B945D4"/>
    <w:rsid w:val="00B94B34"/>
    <w:rsid w:val="00B94FBA"/>
    <w:rsid w:val="00B95151"/>
    <w:rsid w:val="00B9547B"/>
    <w:rsid w:val="00B95A92"/>
    <w:rsid w:val="00B961E8"/>
    <w:rsid w:val="00B96644"/>
    <w:rsid w:val="00B96898"/>
    <w:rsid w:val="00B975EF"/>
    <w:rsid w:val="00B97662"/>
    <w:rsid w:val="00B976B7"/>
    <w:rsid w:val="00B97872"/>
    <w:rsid w:val="00B97A67"/>
    <w:rsid w:val="00BA01AB"/>
    <w:rsid w:val="00BA05CA"/>
    <w:rsid w:val="00BA0CEA"/>
    <w:rsid w:val="00BA0E7B"/>
    <w:rsid w:val="00BA1195"/>
    <w:rsid w:val="00BA1455"/>
    <w:rsid w:val="00BA1665"/>
    <w:rsid w:val="00BA1AF9"/>
    <w:rsid w:val="00BA1C27"/>
    <w:rsid w:val="00BA26A3"/>
    <w:rsid w:val="00BA2945"/>
    <w:rsid w:val="00BA2CB0"/>
    <w:rsid w:val="00BA2FC7"/>
    <w:rsid w:val="00BA31C3"/>
    <w:rsid w:val="00BA3306"/>
    <w:rsid w:val="00BA3562"/>
    <w:rsid w:val="00BA377D"/>
    <w:rsid w:val="00BA393D"/>
    <w:rsid w:val="00BA3D70"/>
    <w:rsid w:val="00BA43C5"/>
    <w:rsid w:val="00BA44BA"/>
    <w:rsid w:val="00BA481E"/>
    <w:rsid w:val="00BA482C"/>
    <w:rsid w:val="00BA4959"/>
    <w:rsid w:val="00BA4CA5"/>
    <w:rsid w:val="00BA4CA8"/>
    <w:rsid w:val="00BA4EFF"/>
    <w:rsid w:val="00BA5395"/>
    <w:rsid w:val="00BA54DB"/>
    <w:rsid w:val="00BA5724"/>
    <w:rsid w:val="00BA5E32"/>
    <w:rsid w:val="00BA631C"/>
    <w:rsid w:val="00BA6689"/>
    <w:rsid w:val="00BA6A6B"/>
    <w:rsid w:val="00BA6AA1"/>
    <w:rsid w:val="00BA6E0B"/>
    <w:rsid w:val="00BA727F"/>
    <w:rsid w:val="00BA73EE"/>
    <w:rsid w:val="00BA787A"/>
    <w:rsid w:val="00BA7A42"/>
    <w:rsid w:val="00BB015D"/>
    <w:rsid w:val="00BB02C5"/>
    <w:rsid w:val="00BB0407"/>
    <w:rsid w:val="00BB059A"/>
    <w:rsid w:val="00BB079A"/>
    <w:rsid w:val="00BB08FE"/>
    <w:rsid w:val="00BB0C5A"/>
    <w:rsid w:val="00BB0CA8"/>
    <w:rsid w:val="00BB0E59"/>
    <w:rsid w:val="00BB0E85"/>
    <w:rsid w:val="00BB0FD1"/>
    <w:rsid w:val="00BB1036"/>
    <w:rsid w:val="00BB1062"/>
    <w:rsid w:val="00BB114A"/>
    <w:rsid w:val="00BB131C"/>
    <w:rsid w:val="00BB14CF"/>
    <w:rsid w:val="00BB170A"/>
    <w:rsid w:val="00BB1834"/>
    <w:rsid w:val="00BB192D"/>
    <w:rsid w:val="00BB19CA"/>
    <w:rsid w:val="00BB1C59"/>
    <w:rsid w:val="00BB1E66"/>
    <w:rsid w:val="00BB1E6F"/>
    <w:rsid w:val="00BB2329"/>
    <w:rsid w:val="00BB23F9"/>
    <w:rsid w:val="00BB24CE"/>
    <w:rsid w:val="00BB25EE"/>
    <w:rsid w:val="00BB2827"/>
    <w:rsid w:val="00BB29F0"/>
    <w:rsid w:val="00BB2AA0"/>
    <w:rsid w:val="00BB2AA4"/>
    <w:rsid w:val="00BB2AA9"/>
    <w:rsid w:val="00BB2B38"/>
    <w:rsid w:val="00BB2B52"/>
    <w:rsid w:val="00BB2CFC"/>
    <w:rsid w:val="00BB2D95"/>
    <w:rsid w:val="00BB3110"/>
    <w:rsid w:val="00BB3612"/>
    <w:rsid w:val="00BB3805"/>
    <w:rsid w:val="00BB3887"/>
    <w:rsid w:val="00BB39DD"/>
    <w:rsid w:val="00BB3AC8"/>
    <w:rsid w:val="00BB3BA5"/>
    <w:rsid w:val="00BB3D71"/>
    <w:rsid w:val="00BB3EDB"/>
    <w:rsid w:val="00BB40F1"/>
    <w:rsid w:val="00BB4297"/>
    <w:rsid w:val="00BB4602"/>
    <w:rsid w:val="00BB4754"/>
    <w:rsid w:val="00BB4BC4"/>
    <w:rsid w:val="00BB4C2B"/>
    <w:rsid w:val="00BB4D56"/>
    <w:rsid w:val="00BB4FF5"/>
    <w:rsid w:val="00BB5042"/>
    <w:rsid w:val="00BB516F"/>
    <w:rsid w:val="00BB5473"/>
    <w:rsid w:val="00BB54A6"/>
    <w:rsid w:val="00BB554A"/>
    <w:rsid w:val="00BB5612"/>
    <w:rsid w:val="00BB5B44"/>
    <w:rsid w:val="00BB5BEE"/>
    <w:rsid w:val="00BB5CCB"/>
    <w:rsid w:val="00BB5F1C"/>
    <w:rsid w:val="00BB5FF9"/>
    <w:rsid w:val="00BB643B"/>
    <w:rsid w:val="00BB6474"/>
    <w:rsid w:val="00BB6670"/>
    <w:rsid w:val="00BB672B"/>
    <w:rsid w:val="00BB6875"/>
    <w:rsid w:val="00BB69EE"/>
    <w:rsid w:val="00BB6B98"/>
    <w:rsid w:val="00BB715B"/>
    <w:rsid w:val="00BB73C4"/>
    <w:rsid w:val="00BB7479"/>
    <w:rsid w:val="00BB771D"/>
    <w:rsid w:val="00BB783E"/>
    <w:rsid w:val="00BB7993"/>
    <w:rsid w:val="00BB7A36"/>
    <w:rsid w:val="00BB7A5A"/>
    <w:rsid w:val="00BB7FE8"/>
    <w:rsid w:val="00BC04B0"/>
    <w:rsid w:val="00BC058F"/>
    <w:rsid w:val="00BC0662"/>
    <w:rsid w:val="00BC0839"/>
    <w:rsid w:val="00BC08F1"/>
    <w:rsid w:val="00BC0FCB"/>
    <w:rsid w:val="00BC119E"/>
    <w:rsid w:val="00BC19B1"/>
    <w:rsid w:val="00BC1A82"/>
    <w:rsid w:val="00BC1CAF"/>
    <w:rsid w:val="00BC1CD7"/>
    <w:rsid w:val="00BC1ECD"/>
    <w:rsid w:val="00BC1F48"/>
    <w:rsid w:val="00BC2218"/>
    <w:rsid w:val="00BC2370"/>
    <w:rsid w:val="00BC24EE"/>
    <w:rsid w:val="00BC2946"/>
    <w:rsid w:val="00BC2A39"/>
    <w:rsid w:val="00BC2AC1"/>
    <w:rsid w:val="00BC3049"/>
    <w:rsid w:val="00BC34A1"/>
    <w:rsid w:val="00BC377F"/>
    <w:rsid w:val="00BC3791"/>
    <w:rsid w:val="00BC37D8"/>
    <w:rsid w:val="00BC394F"/>
    <w:rsid w:val="00BC3A33"/>
    <w:rsid w:val="00BC3BF5"/>
    <w:rsid w:val="00BC3CDA"/>
    <w:rsid w:val="00BC4066"/>
    <w:rsid w:val="00BC4343"/>
    <w:rsid w:val="00BC484D"/>
    <w:rsid w:val="00BC4C71"/>
    <w:rsid w:val="00BC4C81"/>
    <w:rsid w:val="00BC4D45"/>
    <w:rsid w:val="00BC4E0F"/>
    <w:rsid w:val="00BC4F29"/>
    <w:rsid w:val="00BC5108"/>
    <w:rsid w:val="00BC533D"/>
    <w:rsid w:val="00BC5667"/>
    <w:rsid w:val="00BC5965"/>
    <w:rsid w:val="00BC5D6C"/>
    <w:rsid w:val="00BC5DAD"/>
    <w:rsid w:val="00BC5E50"/>
    <w:rsid w:val="00BC5EA4"/>
    <w:rsid w:val="00BC608B"/>
    <w:rsid w:val="00BC619A"/>
    <w:rsid w:val="00BC64A7"/>
    <w:rsid w:val="00BC67A0"/>
    <w:rsid w:val="00BC67B8"/>
    <w:rsid w:val="00BC67E8"/>
    <w:rsid w:val="00BC68F1"/>
    <w:rsid w:val="00BC6C0C"/>
    <w:rsid w:val="00BC6C3F"/>
    <w:rsid w:val="00BC711E"/>
    <w:rsid w:val="00BC724B"/>
    <w:rsid w:val="00BC76DB"/>
    <w:rsid w:val="00BC79BA"/>
    <w:rsid w:val="00BC7AB2"/>
    <w:rsid w:val="00BC7B56"/>
    <w:rsid w:val="00BC7C36"/>
    <w:rsid w:val="00BC7F27"/>
    <w:rsid w:val="00BD02F2"/>
    <w:rsid w:val="00BD03EC"/>
    <w:rsid w:val="00BD08CE"/>
    <w:rsid w:val="00BD0A7E"/>
    <w:rsid w:val="00BD0AC7"/>
    <w:rsid w:val="00BD0DA1"/>
    <w:rsid w:val="00BD138A"/>
    <w:rsid w:val="00BD1540"/>
    <w:rsid w:val="00BD160A"/>
    <w:rsid w:val="00BD1687"/>
    <w:rsid w:val="00BD186D"/>
    <w:rsid w:val="00BD1AE6"/>
    <w:rsid w:val="00BD1E12"/>
    <w:rsid w:val="00BD1E57"/>
    <w:rsid w:val="00BD1F43"/>
    <w:rsid w:val="00BD20D3"/>
    <w:rsid w:val="00BD275C"/>
    <w:rsid w:val="00BD2787"/>
    <w:rsid w:val="00BD29C3"/>
    <w:rsid w:val="00BD2ABB"/>
    <w:rsid w:val="00BD3176"/>
    <w:rsid w:val="00BD3584"/>
    <w:rsid w:val="00BD3696"/>
    <w:rsid w:val="00BD39C1"/>
    <w:rsid w:val="00BD3A61"/>
    <w:rsid w:val="00BD3CE1"/>
    <w:rsid w:val="00BD3F9D"/>
    <w:rsid w:val="00BD3FB3"/>
    <w:rsid w:val="00BD41EE"/>
    <w:rsid w:val="00BD4272"/>
    <w:rsid w:val="00BD42E2"/>
    <w:rsid w:val="00BD4485"/>
    <w:rsid w:val="00BD4687"/>
    <w:rsid w:val="00BD4763"/>
    <w:rsid w:val="00BD48A1"/>
    <w:rsid w:val="00BD4B31"/>
    <w:rsid w:val="00BD4C89"/>
    <w:rsid w:val="00BD4D8C"/>
    <w:rsid w:val="00BD4E18"/>
    <w:rsid w:val="00BD532D"/>
    <w:rsid w:val="00BD5426"/>
    <w:rsid w:val="00BD562F"/>
    <w:rsid w:val="00BD5684"/>
    <w:rsid w:val="00BD56D5"/>
    <w:rsid w:val="00BD590A"/>
    <w:rsid w:val="00BD5BF2"/>
    <w:rsid w:val="00BD5D8E"/>
    <w:rsid w:val="00BD637A"/>
    <w:rsid w:val="00BD6402"/>
    <w:rsid w:val="00BD65BC"/>
    <w:rsid w:val="00BD66C5"/>
    <w:rsid w:val="00BD67B7"/>
    <w:rsid w:val="00BD686D"/>
    <w:rsid w:val="00BD7060"/>
    <w:rsid w:val="00BD71F9"/>
    <w:rsid w:val="00BD7895"/>
    <w:rsid w:val="00BD79AD"/>
    <w:rsid w:val="00BD7D0E"/>
    <w:rsid w:val="00BE0161"/>
    <w:rsid w:val="00BE03BA"/>
    <w:rsid w:val="00BE05CD"/>
    <w:rsid w:val="00BE07C5"/>
    <w:rsid w:val="00BE07EF"/>
    <w:rsid w:val="00BE0AC8"/>
    <w:rsid w:val="00BE0B5A"/>
    <w:rsid w:val="00BE0D85"/>
    <w:rsid w:val="00BE0D9E"/>
    <w:rsid w:val="00BE107A"/>
    <w:rsid w:val="00BE153B"/>
    <w:rsid w:val="00BE1A3C"/>
    <w:rsid w:val="00BE1D08"/>
    <w:rsid w:val="00BE25F1"/>
    <w:rsid w:val="00BE2621"/>
    <w:rsid w:val="00BE2E9A"/>
    <w:rsid w:val="00BE3384"/>
    <w:rsid w:val="00BE3445"/>
    <w:rsid w:val="00BE35E9"/>
    <w:rsid w:val="00BE3607"/>
    <w:rsid w:val="00BE373C"/>
    <w:rsid w:val="00BE37E9"/>
    <w:rsid w:val="00BE3B14"/>
    <w:rsid w:val="00BE3C76"/>
    <w:rsid w:val="00BE3C83"/>
    <w:rsid w:val="00BE3CAA"/>
    <w:rsid w:val="00BE3CDF"/>
    <w:rsid w:val="00BE3D49"/>
    <w:rsid w:val="00BE3E5F"/>
    <w:rsid w:val="00BE3ED7"/>
    <w:rsid w:val="00BE4056"/>
    <w:rsid w:val="00BE410C"/>
    <w:rsid w:val="00BE46D8"/>
    <w:rsid w:val="00BE4DD3"/>
    <w:rsid w:val="00BE5464"/>
    <w:rsid w:val="00BE5490"/>
    <w:rsid w:val="00BE5564"/>
    <w:rsid w:val="00BE55EA"/>
    <w:rsid w:val="00BE583A"/>
    <w:rsid w:val="00BE5A1B"/>
    <w:rsid w:val="00BE5D45"/>
    <w:rsid w:val="00BE659B"/>
    <w:rsid w:val="00BE6685"/>
    <w:rsid w:val="00BE6B6C"/>
    <w:rsid w:val="00BE6C91"/>
    <w:rsid w:val="00BE6CAF"/>
    <w:rsid w:val="00BE6E94"/>
    <w:rsid w:val="00BE7445"/>
    <w:rsid w:val="00BE759B"/>
    <w:rsid w:val="00BE7858"/>
    <w:rsid w:val="00BE7AD6"/>
    <w:rsid w:val="00BE7C77"/>
    <w:rsid w:val="00BE7D51"/>
    <w:rsid w:val="00BF0504"/>
    <w:rsid w:val="00BF0E1B"/>
    <w:rsid w:val="00BF0F69"/>
    <w:rsid w:val="00BF1007"/>
    <w:rsid w:val="00BF10F5"/>
    <w:rsid w:val="00BF12D5"/>
    <w:rsid w:val="00BF195B"/>
    <w:rsid w:val="00BF1A48"/>
    <w:rsid w:val="00BF1ACB"/>
    <w:rsid w:val="00BF1F7D"/>
    <w:rsid w:val="00BF2298"/>
    <w:rsid w:val="00BF2529"/>
    <w:rsid w:val="00BF285A"/>
    <w:rsid w:val="00BF2AF3"/>
    <w:rsid w:val="00BF2D48"/>
    <w:rsid w:val="00BF2DBC"/>
    <w:rsid w:val="00BF2FF5"/>
    <w:rsid w:val="00BF30DE"/>
    <w:rsid w:val="00BF338F"/>
    <w:rsid w:val="00BF383E"/>
    <w:rsid w:val="00BF395F"/>
    <w:rsid w:val="00BF3C31"/>
    <w:rsid w:val="00BF4311"/>
    <w:rsid w:val="00BF433A"/>
    <w:rsid w:val="00BF43A2"/>
    <w:rsid w:val="00BF47EA"/>
    <w:rsid w:val="00BF4859"/>
    <w:rsid w:val="00BF4EAE"/>
    <w:rsid w:val="00BF5205"/>
    <w:rsid w:val="00BF52C7"/>
    <w:rsid w:val="00BF5351"/>
    <w:rsid w:val="00BF53ED"/>
    <w:rsid w:val="00BF5482"/>
    <w:rsid w:val="00BF56C6"/>
    <w:rsid w:val="00BF5BCC"/>
    <w:rsid w:val="00BF5D57"/>
    <w:rsid w:val="00BF616A"/>
    <w:rsid w:val="00BF6957"/>
    <w:rsid w:val="00BF72F9"/>
    <w:rsid w:val="00BF7339"/>
    <w:rsid w:val="00BF75E6"/>
    <w:rsid w:val="00BF76C8"/>
    <w:rsid w:val="00BF7961"/>
    <w:rsid w:val="00BF7A17"/>
    <w:rsid w:val="00BF7B5A"/>
    <w:rsid w:val="00BF7E30"/>
    <w:rsid w:val="00C006CF"/>
    <w:rsid w:val="00C00914"/>
    <w:rsid w:val="00C00D32"/>
    <w:rsid w:val="00C00D46"/>
    <w:rsid w:val="00C00E1F"/>
    <w:rsid w:val="00C01300"/>
    <w:rsid w:val="00C0143D"/>
    <w:rsid w:val="00C01462"/>
    <w:rsid w:val="00C016C6"/>
    <w:rsid w:val="00C017D4"/>
    <w:rsid w:val="00C01FF1"/>
    <w:rsid w:val="00C0212E"/>
    <w:rsid w:val="00C02282"/>
    <w:rsid w:val="00C02317"/>
    <w:rsid w:val="00C025B2"/>
    <w:rsid w:val="00C025E6"/>
    <w:rsid w:val="00C0274D"/>
    <w:rsid w:val="00C029A9"/>
    <w:rsid w:val="00C02A02"/>
    <w:rsid w:val="00C02D82"/>
    <w:rsid w:val="00C03068"/>
    <w:rsid w:val="00C031FA"/>
    <w:rsid w:val="00C035E6"/>
    <w:rsid w:val="00C0360D"/>
    <w:rsid w:val="00C038A6"/>
    <w:rsid w:val="00C038FE"/>
    <w:rsid w:val="00C03C93"/>
    <w:rsid w:val="00C03C9E"/>
    <w:rsid w:val="00C03DED"/>
    <w:rsid w:val="00C0408D"/>
    <w:rsid w:val="00C043E8"/>
    <w:rsid w:val="00C044FC"/>
    <w:rsid w:val="00C04BB7"/>
    <w:rsid w:val="00C05281"/>
    <w:rsid w:val="00C0537B"/>
    <w:rsid w:val="00C053BC"/>
    <w:rsid w:val="00C05912"/>
    <w:rsid w:val="00C05A63"/>
    <w:rsid w:val="00C05B99"/>
    <w:rsid w:val="00C05DD1"/>
    <w:rsid w:val="00C05EB4"/>
    <w:rsid w:val="00C0602A"/>
    <w:rsid w:val="00C062AE"/>
    <w:rsid w:val="00C06459"/>
    <w:rsid w:val="00C06630"/>
    <w:rsid w:val="00C06BFA"/>
    <w:rsid w:val="00C06DD6"/>
    <w:rsid w:val="00C06F92"/>
    <w:rsid w:val="00C07417"/>
    <w:rsid w:val="00C074E9"/>
    <w:rsid w:val="00C07804"/>
    <w:rsid w:val="00C07BBA"/>
    <w:rsid w:val="00C07CFD"/>
    <w:rsid w:val="00C10407"/>
    <w:rsid w:val="00C104DD"/>
    <w:rsid w:val="00C1051B"/>
    <w:rsid w:val="00C10B20"/>
    <w:rsid w:val="00C10B79"/>
    <w:rsid w:val="00C10B98"/>
    <w:rsid w:val="00C10ECE"/>
    <w:rsid w:val="00C10EF7"/>
    <w:rsid w:val="00C10FA8"/>
    <w:rsid w:val="00C110E0"/>
    <w:rsid w:val="00C115F0"/>
    <w:rsid w:val="00C11897"/>
    <w:rsid w:val="00C11A01"/>
    <w:rsid w:val="00C11D37"/>
    <w:rsid w:val="00C11FA3"/>
    <w:rsid w:val="00C12210"/>
    <w:rsid w:val="00C12383"/>
    <w:rsid w:val="00C124DB"/>
    <w:rsid w:val="00C12586"/>
    <w:rsid w:val="00C127E2"/>
    <w:rsid w:val="00C1317D"/>
    <w:rsid w:val="00C13749"/>
    <w:rsid w:val="00C13C8B"/>
    <w:rsid w:val="00C140A7"/>
    <w:rsid w:val="00C1436D"/>
    <w:rsid w:val="00C14515"/>
    <w:rsid w:val="00C14982"/>
    <w:rsid w:val="00C14A4B"/>
    <w:rsid w:val="00C14B74"/>
    <w:rsid w:val="00C14EC5"/>
    <w:rsid w:val="00C14F1D"/>
    <w:rsid w:val="00C14F28"/>
    <w:rsid w:val="00C14F59"/>
    <w:rsid w:val="00C15126"/>
    <w:rsid w:val="00C15769"/>
    <w:rsid w:val="00C15953"/>
    <w:rsid w:val="00C159E6"/>
    <w:rsid w:val="00C15B4A"/>
    <w:rsid w:val="00C15EDC"/>
    <w:rsid w:val="00C15F56"/>
    <w:rsid w:val="00C16297"/>
    <w:rsid w:val="00C164A4"/>
    <w:rsid w:val="00C16827"/>
    <w:rsid w:val="00C168E8"/>
    <w:rsid w:val="00C16ACC"/>
    <w:rsid w:val="00C16B00"/>
    <w:rsid w:val="00C16B66"/>
    <w:rsid w:val="00C16E0C"/>
    <w:rsid w:val="00C17105"/>
    <w:rsid w:val="00C172F7"/>
    <w:rsid w:val="00C175F0"/>
    <w:rsid w:val="00C177F8"/>
    <w:rsid w:val="00C17968"/>
    <w:rsid w:val="00C203C3"/>
    <w:rsid w:val="00C205E7"/>
    <w:rsid w:val="00C20737"/>
    <w:rsid w:val="00C207AC"/>
    <w:rsid w:val="00C20CD6"/>
    <w:rsid w:val="00C20DCB"/>
    <w:rsid w:val="00C20F05"/>
    <w:rsid w:val="00C2135C"/>
    <w:rsid w:val="00C2162A"/>
    <w:rsid w:val="00C216F7"/>
    <w:rsid w:val="00C2180F"/>
    <w:rsid w:val="00C21EA8"/>
    <w:rsid w:val="00C221BF"/>
    <w:rsid w:val="00C22425"/>
    <w:rsid w:val="00C2328C"/>
    <w:rsid w:val="00C23315"/>
    <w:rsid w:val="00C23D13"/>
    <w:rsid w:val="00C23FEA"/>
    <w:rsid w:val="00C241DF"/>
    <w:rsid w:val="00C24444"/>
    <w:rsid w:val="00C2456B"/>
    <w:rsid w:val="00C24A12"/>
    <w:rsid w:val="00C24A55"/>
    <w:rsid w:val="00C25210"/>
    <w:rsid w:val="00C25E00"/>
    <w:rsid w:val="00C25E05"/>
    <w:rsid w:val="00C25F99"/>
    <w:rsid w:val="00C26095"/>
    <w:rsid w:val="00C262DC"/>
    <w:rsid w:val="00C26663"/>
    <w:rsid w:val="00C26778"/>
    <w:rsid w:val="00C268CF"/>
    <w:rsid w:val="00C26DC4"/>
    <w:rsid w:val="00C26FB8"/>
    <w:rsid w:val="00C2709E"/>
    <w:rsid w:val="00C2717C"/>
    <w:rsid w:val="00C274A1"/>
    <w:rsid w:val="00C2756F"/>
    <w:rsid w:val="00C27597"/>
    <w:rsid w:val="00C27670"/>
    <w:rsid w:val="00C27D11"/>
    <w:rsid w:val="00C27F63"/>
    <w:rsid w:val="00C300A0"/>
    <w:rsid w:val="00C3014A"/>
    <w:rsid w:val="00C305F7"/>
    <w:rsid w:val="00C30CAC"/>
    <w:rsid w:val="00C30D55"/>
    <w:rsid w:val="00C30F2D"/>
    <w:rsid w:val="00C30F71"/>
    <w:rsid w:val="00C30FC7"/>
    <w:rsid w:val="00C31072"/>
    <w:rsid w:val="00C3139D"/>
    <w:rsid w:val="00C316C2"/>
    <w:rsid w:val="00C317B3"/>
    <w:rsid w:val="00C317F3"/>
    <w:rsid w:val="00C31CB1"/>
    <w:rsid w:val="00C31F23"/>
    <w:rsid w:val="00C32157"/>
    <w:rsid w:val="00C32668"/>
    <w:rsid w:val="00C326A9"/>
    <w:rsid w:val="00C327E5"/>
    <w:rsid w:val="00C32CAE"/>
    <w:rsid w:val="00C32E92"/>
    <w:rsid w:val="00C3330F"/>
    <w:rsid w:val="00C335E6"/>
    <w:rsid w:val="00C336C1"/>
    <w:rsid w:val="00C33927"/>
    <w:rsid w:val="00C339CC"/>
    <w:rsid w:val="00C33C1F"/>
    <w:rsid w:val="00C33E52"/>
    <w:rsid w:val="00C33EA5"/>
    <w:rsid w:val="00C33F31"/>
    <w:rsid w:val="00C33FA7"/>
    <w:rsid w:val="00C3415E"/>
    <w:rsid w:val="00C341E1"/>
    <w:rsid w:val="00C3458A"/>
    <w:rsid w:val="00C349C2"/>
    <w:rsid w:val="00C34CEF"/>
    <w:rsid w:val="00C34DBE"/>
    <w:rsid w:val="00C34F0E"/>
    <w:rsid w:val="00C34F5C"/>
    <w:rsid w:val="00C351BA"/>
    <w:rsid w:val="00C35200"/>
    <w:rsid w:val="00C35519"/>
    <w:rsid w:val="00C35BAB"/>
    <w:rsid w:val="00C35D4F"/>
    <w:rsid w:val="00C35E15"/>
    <w:rsid w:val="00C35E1C"/>
    <w:rsid w:val="00C361F4"/>
    <w:rsid w:val="00C362FE"/>
    <w:rsid w:val="00C3669B"/>
    <w:rsid w:val="00C367FE"/>
    <w:rsid w:val="00C3691C"/>
    <w:rsid w:val="00C36B88"/>
    <w:rsid w:val="00C36DDB"/>
    <w:rsid w:val="00C36ED8"/>
    <w:rsid w:val="00C3771D"/>
    <w:rsid w:val="00C37AFE"/>
    <w:rsid w:val="00C37D46"/>
    <w:rsid w:val="00C37F62"/>
    <w:rsid w:val="00C40000"/>
    <w:rsid w:val="00C4052E"/>
    <w:rsid w:val="00C40B92"/>
    <w:rsid w:val="00C40E25"/>
    <w:rsid w:val="00C41086"/>
    <w:rsid w:val="00C411BF"/>
    <w:rsid w:val="00C411C4"/>
    <w:rsid w:val="00C41385"/>
    <w:rsid w:val="00C41749"/>
    <w:rsid w:val="00C4180A"/>
    <w:rsid w:val="00C41E9D"/>
    <w:rsid w:val="00C41EA4"/>
    <w:rsid w:val="00C41EC4"/>
    <w:rsid w:val="00C41EC7"/>
    <w:rsid w:val="00C420C9"/>
    <w:rsid w:val="00C42422"/>
    <w:rsid w:val="00C4248A"/>
    <w:rsid w:val="00C4265A"/>
    <w:rsid w:val="00C42724"/>
    <w:rsid w:val="00C42AA6"/>
    <w:rsid w:val="00C42DCC"/>
    <w:rsid w:val="00C42E81"/>
    <w:rsid w:val="00C4322E"/>
    <w:rsid w:val="00C43287"/>
    <w:rsid w:val="00C43512"/>
    <w:rsid w:val="00C438BD"/>
    <w:rsid w:val="00C43CA7"/>
    <w:rsid w:val="00C43D01"/>
    <w:rsid w:val="00C4426E"/>
    <w:rsid w:val="00C4456A"/>
    <w:rsid w:val="00C44829"/>
    <w:rsid w:val="00C44C37"/>
    <w:rsid w:val="00C44CAF"/>
    <w:rsid w:val="00C44E9B"/>
    <w:rsid w:val="00C45986"/>
    <w:rsid w:val="00C4601B"/>
    <w:rsid w:val="00C4617F"/>
    <w:rsid w:val="00C46258"/>
    <w:rsid w:val="00C46472"/>
    <w:rsid w:val="00C464FE"/>
    <w:rsid w:val="00C46AE5"/>
    <w:rsid w:val="00C46D59"/>
    <w:rsid w:val="00C46E3F"/>
    <w:rsid w:val="00C474BE"/>
    <w:rsid w:val="00C47654"/>
    <w:rsid w:val="00C47806"/>
    <w:rsid w:val="00C47CD5"/>
    <w:rsid w:val="00C47E3C"/>
    <w:rsid w:val="00C47E70"/>
    <w:rsid w:val="00C47EFE"/>
    <w:rsid w:val="00C500D4"/>
    <w:rsid w:val="00C501B6"/>
    <w:rsid w:val="00C502F5"/>
    <w:rsid w:val="00C50449"/>
    <w:rsid w:val="00C50526"/>
    <w:rsid w:val="00C50625"/>
    <w:rsid w:val="00C5095E"/>
    <w:rsid w:val="00C50B76"/>
    <w:rsid w:val="00C50C1E"/>
    <w:rsid w:val="00C50E3C"/>
    <w:rsid w:val="00C50EAF"/>
    <w:rsid w:val="00C5130D"/>
    <w:rsid w:val="00C51881"/>
    <w:rsid w:val="00C518BE"/>
    <w:rsid w:val="00C51943"/>
    <w:rsid w:val="00C51A8E"/>
    <w:rsid w:val="00C51EB3"/>
    <w:rsid w:val="00C52449"/>
    <w:rsid w:val="00C526BE"/>
    <w:rsid w:val="00C52A18"/>
    <w:rsid w:val="00C52A69"/>
    <w:rsid w:val="00C52BC1"/>
    <w:rsid w:val="00C52BE0"/>
    <w:rsid w:val="00C52C29"/>
    <w:rsid w:val="00C52D68"/>
    <w:rsid w:val="00C530BD"/>
    <w:rsid w:val="00C531DA"/>
    <w:rsid w:val="00C53375"/>
    <w:rsid w:val="00C533B0"/>
    <w:rsid w:val="00C53426"/>
    <w:rsid w:val="00C53450"/>
    <w:rsid w:val="00C535D9"/>
    <w:rsid w:val="00C5362E"/>
    <w:rsid w:val="00C53958"/>
    <w:rsid w:val="00C53980"/>
    <w:rsid w:val="00C539FC"/>
    <w:rsid w:val="00C53C69"/>
    <w:rsid w:val="00C53CEF"/>
    <w:rsid w:val="00C53F61"/>
    <w:rsid w:val="00C53F69"/>
    <w:rsid w:val="00C54420"/>
    <w:rsid w:val="00C544FA"/>
    <w:rsid w:val="00C5451A"/>
    <w:rsid w:val="00C545FC"/>
    <w:rsid w:val="00C54690"/>
    <w:rsid w:val="00C546A6"/>
    <w:rsid w:val="00C54811"/>
    <w:rsid w:val="00C54EF1"/>
    <w:rsid w:val="00C55A99"/>
    <w:rsid w:val="00C56093"/>
    <w:rsid w:val="00C561C0"/>
    <w:rsid w:val="00C5637C"/>
    <w:rsid w:val="00C565B9"/>
    <w:rsid w:val="00C56680"/>
    <w:rsid w:val="00C566D7"/>
    <w:rsid w:val="00C5686A"/>
    <w:rsid w:val="00C569EE"/>
    <w:rsid w:val="00C56A2D"/>
    <w:rsid w:val="00C56B59"/>
    <w:rsid w:val="00C56E93"/>
    <w:rsid w:val="00C570E7"/>
    <w:rsid w:val="00C57211"/>
    <w:rsid w:val="00C57283"/>
    <w:rsid w:val="00C5756E"/>
    <w:rsid w:val="00C57575"/>
    <w:rsid w:val="00C57E29"/>
    <w:rsid w:val="00C57E4D"/>
    <w:rsid w:val="00C6007B"/>
    <w:rsid w:val="00C6025F"/>
    <w:rsid w:val="00C606BA"/>
    <w:rsid w:val="00C608CC"/>
    <w:rsid w:val="00C6094E"/>
    <w:rsid w:val="00C60ADB"/>
    <w:rsid w:val="00C60D47"/>
    <w:rsid w:val="00C60E76"/>
    <w:rsid w:val="00C60EA4"/>
    <w:rsid w:val="00C610F7"/>
    <w:rsid w:val="00C6113E"/>
    <w:rsid w:val="00C61467"/>
    <w:rsid w:val="00C61AFE"/>
    <w:rsid w:val="00C61D04"/>
    <w:rsid w:val="00C61DC6"/>
    <w:rsid w:val="00C61EF3"/>
    <w:rsid w:val="00C622A3"/>
    <w:rsid w:val="00C622A4"/>
    <w:rsid w:val="00C625F9"/>
    <w:rsid w:val="00C62645"/>
    <w:rsid w:val="00C62680"/>
    <w:rsid w:val="00C626E2"/>
    <w:rsid w:val="00C62727"/>
    <w:rsid w:val="00C627EB"/>
    <w:rsid w:val="00C628C8"/>
    <w:rsid w:val="00C62C40"/>
    <w:rsid w:val="00C62D08"/>
    <w:rsid w:val="00C62E44"/>
    <w:rsid w:val="00C635B2"/>
    <w:rsid w:val="00C63637"/>
    <w:rsid w:val="00C6372F"/>
    <w:rsid w:val="00C63837"/>
    <w:rsid w:val="00C638A9"/>
    <w:rsid w:val="00C63943"/>
    <w:rsid w:val="00C63A0A"/>
    <w:rsid w:val="00C63B55"/>
    <w:rsid w:val="00C643B6"/>
    <w:rsid w:val="00C6442B"/>
    <w:rsid w:val="00C648FF"/>
    <w:rsid w:val="00C6499E"/>
    <w:rsid w:val="00C64B04"/>
    <w:rsid w:val="00C64D0E"/>
    <w:rsid w:val="00C6534D"/>
    <w:rsid w:val="00C65A4C"/>
    <w:rsid w:val="00C65BB6"/>
    <w:rsid w:val="00C6609F"/>
    <w:rsid w:val="00C661D9"/>
    <w:rsid w:val="00C664EF"/>
    <w:rsid w:val="00C668AB"/>
    <w:rsid w:val="00C66AFA"/>
    <w:rsid w:val="00C66B29"/>
    <w:rsid w:val="00C66CB4"/>
    <w:rsid w:val="00C673F8"/>
    <w:rsid w:val="00C67536"/>
    <w:rsid w:val="00C67620"/>
    <w:rsid w:val="00C676C7"/>
    <w:rsid w:val="00C67B30"/>
    <w:rsid w:val="00C67D48"/>
    <w:rsid w:val="00C7005E"/>
    <w:rsid w:val="00C70271"/>
    <w:rsid w:val="00C7035A"/>
    <w:rsid w:val="00C70952"/>
    <w:rsid w:val="00C709D6"/>
    <w:rsid w:val="00C70A21"/>
    <w:rsid w:val="00C70E4B"/>
    <w:rsid w:val="00C70E94"/>
    <w:rsid w:val="00C70F8C"/>
    <w:rsid w:val="00C7126E"/>
    <w:rsid w:val="00C714C3"/>
    <w:rsid w:val="00C717BA"/>
    <w:rsid w:val="00C71809"/>
    <w:rsid w:val="00C7194F"/>
    <w:rsid w:val="00C71A51"/>
    <w:rsid w:val="00C71A5D"/>
    <w:rsid w:val="00C71EBE"/>
    <w:rsid w:val="00C71F64"/>
    <w:rsid w:val="00C7203E"/>
    <w:rsid w:val="00C72046"/>
    <w:rsid w:val="00C721CC"/>
    <w:rsid w:val="00C72227"/>
    <w:rsid w:val="00C723E8"/>
    <w:rsid w:val="00C7241C"/>
    <w:rsid w:val="00C727EE"/>
    <w:rsid w:val="00C729E0"/>
    <w:rsid w:val="00C72A3E"/>
    <w:rsid w:val="00C72E05"/>
    <w:rsid w:val="00C72E38"/>
    <w:rsid w:val="00C7303C"/>
    <w:rsid w:val="00C73054"/>
    <w:rsid w:val="00C730D9"/>
    <w:rsid w:val="00C73340"/>
    <w:rsid w:val="00C73388"/>
    <w:rsid w:val="00C736E7"/>
    <w:rsid w:val="00C73BB6"/>
    <w:rsid w:val="00C748BE"/>
    <w:rsid w:val="00C74A98"/>
    <w:rsid w:val="00C74BB4"/>
    <w:rsid w:val="00C7518E"/>
    <w:rsid w:val="00C7519E"/>
    <w:rsid w:val="00C75888"/>
    <w:rsid w:val="00C75BC9"/>
    <w:rsid w:val="00C75DDE"/>
    <w:rsid w:val="00C75E2D"/>
    <w:rsid w:val="00C75FF9"/>
    <w:rsid w:val="00C76148"/>
    <w:rsid w:val="00C7647B"/>
    <w:rsid w:val="00C76511"/>
    <w:rsid w:val="00C767C8"/>
    <w:rsid w:val="00C76A35"/>
    <w:rsid w:val="00C76A5B"/>
    <w:rsid w:val="00C76B6A"/>
    <w:rsid w:val="00C76E53"/>
    <w:rsid w:val="00C76EDF"/>
    <w:rsid w:val="00C76F59"/>
    <w:rsid w:val="00C77067"/>
    <w:rsid w:val="00C771AF"/>
    <w:rsid w:val="00C772B5"/>
    <w:rsid w:val="00C77896"/>
    <w:rsid w:val="00C77962"/>
    <w:rsid w:val="00C77B0E"/>
    <w:rsid w:val="00C77BF4"/>
    <w:rsid w:val="00C802E4"/>
    <w:rsid w:val="00C80450"/>
    <w:rsid w:val="00C80728"/>
    <w:rsid w:val="00C80918"/>
    <w:rsid w:val="00C80F4A"/>
    <w:rsid w:val="00C81283"/>
    <w:rsid w:val="00C8135A"/>
    <w:rsid w:val="00C814DD"/>
    <w:rsid w:val="00C8153C"/>
    <w:rsid w:val="00C815DE"/>
    <w:rsid w:val="00C819F6"/>
    <w:rsid w:val="00C81A12"/>
    <w:rsid w:val="00C81B21"/>
    <w:rsid w:val="00C81EF3"/>
    <w:rsid w:val="00C81FD1"/>
    <w:rsid w:val="00C82261"/>
    <w:rsid w:val="00C82332"/>
    <w:rsid w:val="00C824E4"/>
    <w:rsid w:val="00C827F2"/>
    <w:rsid w:val="00C82900"/>
    <w:rsid w:val="00C8296F"/>
    <w:rsid w:val="00C82B48"/>
    <w:rsid w:val="00C82C38"/>
    <w:rsid w:val="00C82F2E"/>
    <w:rsid w:val="00C82FE4"/>
    <w:rsid w:val="00C83319"/>
    <w:rsid w:val="00C83346"/>
    <w:rsid w:val="00C833C3"/>
    <w:rsid w:val="00C83589"/>
    <w:rsid w:val="00C835AF"/>
    <w:rsid w:val="00C8369D"/>
    <w:rsid w:val="00C83906"/>
    <w:rsid w:val="00C83A6E"/>
    <w:rsid w:val="00C83D05"/>
    <w:rsid w:val="00C83F97"/>
    <w:rsid w:val="00C8401D"/>
    <w:rsid w:val="00C844AB"/>
    <w:rsid w:val="00C84533"/>
    <w:rsid w:val="00C8459F"/>
    <w:rsid w:val="00C846BE"/>
    <w:rsid w:val="00C848CC"/>
    <w:rsid w:val="00C84C02"/>
    <w:rsid w:val="00C84D28"/>
    <w:rsid w:val="00C84DE4"/>
    <w:rsid w:val="00C84FA6"/>
    <w:rsid w:val="00C85161"/>
    <w:rsid w:val="00C851E1"/>
    <w:rsid w:val="00C8561E"/>
    <w:rsid w:val="00C856D3"/>
    <w:rsid w:val="00C859A8"/>
    <w:rsid w:val="00C85B08"/>
    <w:rsid w:val="00C85D25"/>
    <w:rsid w:val="00C85FD0"/>
    <w:rsid w:val="00C86003"/>
    <w:rsid w:val="00C861C4"/>
    <w:rsid w:val="00C86397"/>
    <w:rsid w:val="00C86446"/>
    <w:rsid w:val="00C86458"/>
    <w:rsid w:val="00C86653"/>
    <w:rsid w:val="00C8685D"/>
    <w:rsid w:val="00C86C2F"/>
    <w:rsid w:val="00C86E24"/>
    <w:rsid w:val="00C86F3A"/>
    <w:rsid w:val="00C86F5D"/>
    <w:rsid w:val="00C870B7"/>
    <w:rsid w:val="00C87120"/>
    <w:rsid w:val="00C8732C"/>
    <w:rsid w:val="00C876F7"/>
    <w:rsid w:val="00C87BA3"/>
    <w:rsid w:val="00C87F5E"/>
    <w:rsid w:val="00C90234"/>
    <w:rsid w:val="00C90627"/>
    <w:rsid w:val="00C907CD"/>
    <w:rsid w:val="00C90CDA"/>
    <w:rsid w:val="00C90E52"/>
    <w:rsid w:val="00C910B3"/>
    <w:rsid w:val="00C9118A"/>
    <w:rsid w:val="00C91516"/>
    <w:rsid w:val="00C91549"/>
    <w:rsid w:val="00C9161F"/>
    <w:rsid w:val="00C918A6"/>
    <w:rsid w:val="00C918B6"/>
    <w:rsid w:val="00C91B61"/>
    <w:rsid w:val="00C91C13"/>
    <w:rsid w:val="00C91C9A"/>
    <w:rsid w:val="00C920A1"/>
    <w:rsid w:val="00C920E7"/>
    <w:rsid w:val="00C92124"/>
    <w:rsid w:val="00C924DF"/>
    <w:rsid w:val="00C9292E"/>
    <w:rsid w:val="00C92A81"/>
    <w:rsid w:val="00C92D1D"/>
    <w:rsid w:val="00C92D84"/>
    <w:rsid w:val="00C92D87"/>
    <w:rsid w:val="00C92F2B"/>
    <w:rsid w:val="00C931DE"/>
    <w:rsid w:val="00C931F2"/>
    <w:rsid w:val="00C933B8"/>
    <w:rsid w:val="00C934DC"/>
    <w:rsid w:val="00C9355E"/>
    <w:rsid w:val="00C93787"/>
    <w:rsid w:val="00C943D3"/>
    <w:rsid w:val="00C94458"/>
    <w:rsid w:val="00C945FE"/>
    <w:rsid w:val="00C94BB1"/>
    <w:rsid w:val="00C9503F"/>
    <w:rsid w:val="00C9510A"/>
    <w:rsid w:val="00C95117"/>
    <w:rsid w:val="00C9547E"/>
    <w:rsid w:val="00C954D7"/>
    <w:rsid w:val="00C95580"/>
    <w:rsid w:val="00C95B40"/>
    <w:rsid w:val="00C95C05"/>
    <w:rsid w:val="00C95EDB"/>
    <w:rsid w:val="00C963A9"/>
    <w:rsid w:val="00C963DE"/>
    <w:rsid w:val="00C967FA"/>
    <w:rsid w:val="00C96BDF"/>
    <w:rsid w:val="00C972D0"/>
    <w:rsid w:val="00C97521"/>
    <w:rsid w:val="00C97578"/>
    <w:rsid w:val="00C9796C"/>
    <w:rsid w:val="00C979CF"/>
    <w:rsid w:val="00C97A58"/>
    <w:rsid w:val="00C97CC2"/>
    <w:rsid w:val="00C97DE5"/>
    <w:rsid w:val="00C97F00"/>
    <w:rsid w:val="00CA0220"/>
    <w:rsid w:val="00CA0365"/>
    <w:rsid w:val="00CA06E7"/>
    <w:rsid w:val="00CA0871"/>
    <w:rsid w:val="00CA0A15"/>
    <w:rsid w:val="00CA0AD2"/>
    <w:rsid w:val="00CA0C26"/>
    <w:rsid w:val="00CA0C8A"/>
    <w:rsid w:val="00CA136E"/>
    <w:rsid w:val="00CA146E"/>
    <w:rsid w:val="00CA1613"/>
    <w:rsid w:val="00CA174B"/>
    <w:rsid w:val="00CA19E8"/>
    <w:rsid w:val="00CA1AC1"/>
    <w:rsid w:val="00CA1AF7"/>
    <w:rsid w:val="00CA1BFA"/>
    <w:rsid w:val="00CA2679"/>
    <w:rsid w:val="00CA26F0"/>
    <w:rsid w:val="00CA2AF9"/>
    <w:rsid w:val="00CA2BE1"/>
    <w:rsid w:val="00CA2CFF"/>
    <w:rsid w:val="00CA30EE"/>
    <w:rsid w:val="00CA3230"/>
    <w:rsid w:val="00CA3310"/>
    <w:rsid w:val="00CA341A"/>
    <w:rsid w:val="00CA36A9"/>
    <w:rsid w:val="00CA372A"/>
    <w:rsid w:val="00CA3811"/>
    <w:rsid w:val="00CA3888"/>
    <w:rsid w:val="00CA3BE2"/>
    <w:rsid w:val="00CA3D19"/>
    <w:rsid w:val="00CA3EAF"/>
    <w:rsid w:val="00CA3F5D"/>
    <w:rsid w:val="00CA4807"/>
    <w:rsid w:val="00CA4848"/>
    <w:rsid w:val="00CA4970"/>
    <w:rsid w:val="00CA4AEF"/>
    <w:rsid w:val="00CA4F25"/>
    <w:rsid w:val="00CA50A8"/>
    <w:rsid w:val="00CA5278"/>
    <w:rsid w:val="00CA5314"/>
    <w:rsid w:val="00CA5345"/>
    <w:rsid w:val="00CA5A34"/>
    <w:rsid w:val="00CA5F7A"/>
    <w:rsid w:val="00CA61F3"/>
    <w:rsid w:val="00CA625A"/>
    <w:rsid w:val="00CA63CB"/>
    <w:rsid w:val="00CA64F5"/>
    <w:rsid w:val="00CA69AC"/>
    <w:rsid w:val="00CA6AE4"/>
    <w:rsid w:val="00CA6B54"/>
    <w:rsid w:val="00CA6D19"/>
    <w:rsid w:val="00CA705B"/>
    <w:rsid w:val="00CA7166"/>
    <w:rsid w:val="00CA7339"/>
    <w:rsid w:val="00CA75B3"/>
    <w:rsid w:val="00CA7884"/>
    <w:rsid w:val="00CA78E1"/>
    <w:rsid w:val="00CA7C49"/>
    <w:rsid w:val="00CA7CA7"/>
    <w:rsid w:val="00CB00F2"/>
    <w:rsid w:val="00CB07A8"/>
    <w:rsid w:val="00CB0A99"/>
    <w:rsid w:val="00CB0B6E"/>
    <w:rsid w:val="00CB0BBC"/>
    <w:rsid w:val="00CB0FF0"/>
    <w:rsid w:val="00CB1118"/>
    <w:rsid w:val="00CB17FC"/>
    <w:rsid w:val="00CB18E2"/>
    <w:rsid w:val="00CB1AB7"/>
    <w:rsid w:val="00CB1B8D"/>
    <w:rsid w:val="00CB1F81"/>
    <w:rsid w:val="00CB2072"/>
    <w:rsid w:val="00CB23E5"/>
    <w:rsid w:val="00CB26AF"/>
    <w:rsid w:val="00CB2C58"/>
    <w:rsid w:val="00CB2DCA"/>
    <w:rsid w:val="00CB31AF"/>
    <w:rsid w:val="00CB3903"/>
    <w:rsid w:val="00CB3926"/>
    <w:rsid w:val="00CB3C16"/>
    <w:rsid w:val="00CB3CC8"/>
    <w:rsid w:val="00CB3F99"/>
    <w:rsid w:val="00CB45C2"/>
    <w:rsid w:val="00CB474D"/>
    <w:rsid w:val="00CB47C9"/>
    <w:rsid w:val="00CB4BEE"/>
    <w:rsid w:val="00CB4DA3"/>
    <w:rsid w:val="00CB4FFC"/>
    <w:rsid w:val="00CB521C"/>
    <w:rsid w:val="00CB52A7"/>
    <w:rsid w:val="00CB5389"/>
    <w:rsid w:val="00CB5431"/>
    <w:rsid w:val="00CB5622"/>
    <w:rsid w:val="00CB563C"/>
    <w:rsid w:val="00CB57C5"/>
    <w:rsid w:val="00CB57E5"/>
    <w:rsid w:val="00CB5858"/>
    <w:rsid w:val="00CB592D"/>
    <w:rsid w:val="00CB5954"/>
    <w:rsid w:val="00CB5A9D"/>
    <w:rsid w:val="00CB5C01"/>
    <w:rsid w:val="00CB5EB2"/>
    <w:rsid w:val="00CB606B"/>
    <w:rsid w:val="00CB6132"/>
    <w:rsid w:val="00CB65A9"/>
    <w:rsid w:val="00CB67E0"/>
    <w:rsid w:val="00CB6A58"/>
    <w:rsid w:val="00CB6EE6"/>
    <w:rsid w:val="00CB6F18"/>
    <w:rsid w:val="00CB7154"/>
    <w:rsid w:val="00CB7161"/>
    <w:rsid w:val="00CB716E"/>
    <w:rsid w:val="00CB7217"/>
    <w:rsid w:val="00CB746D"/>
    <w:rsid w:val="00CB76DE"/>
    <w:rsid w:val="00CB774C"/>
    <w:rsid w:val="00CB78D6"/>
    <w:rsid w:val="00CB7B0E"/>
    <w:rsid w:val="00CB7B3E"/>
    <w:rsid w:val="00CB7D42"/>
    <w:rsid w:val="00CB7DF8"/>
    <w:rsid w:val="00CC004E"/>
    <w:rsid w:val="00CC02AE"/>
    <w:rsid w:val="00CC033E"/>
    <w:rsid w:val="00CC047E"/>
    <w:rsid w:val="00CC0B3B"/>
    <w:rsid w:val="00CC10E1"/>
    <w:rsid w:val="00CC13CE"/>
    <w:rsid w:val="00CC22E3"/>
    <w:rsid w:val="00CC24BB"/>
    <w:rsid w:val="00CC2711"/>
    <w:rsid w:val="00CC271C"/>
    <w:rsid w:val="00CC2788"/>
    <w:rsid w:val="00CC2964"/>
    <w:rsid w:val="00CC29DC"/>
    <w:rsid w:val="00CC2A82"/>
    <w:rsid w:val="00CC2BD3"/>
    <w:rsid w:val="00CC2D91"/>
    <w:rsid w:val="00CC2DA6"/>
    <w:rsid w:val="00CC2F21"/>
    <w:rsid w:val="00CC2FFA"/>
    <w:rsid w:val="00CC31CA"/>
    <w:rsid w:val="00CC3384"/>
    <w:rsid w:val="00CC3543"/>
    <w:rsid w:val="00CC3C7A"/>
    <w:rsid w:val="00CC3CD9"/>
    <w:rsid w:val="00CC3E81"/>
    <w:rsid w:val="00CC40F2"/>
    <w:rsid w:val="00CC42F1"/>
    <w:rsid w:val="00CC461E"/>
    <w:rsid w:val="00CC4FC2"/>
    <w:rsid w:val="00CC556B"/>
    <w:rsid w:val="00CC5596"/>
    <w:rsid w:val="00CC55BD"/>
    <w:rsid w:val="00CC5EF9"/>
    <w:rsid w:val="00CC5F81"/>
    <w:rsid w:val="00CC628D"/>
    <w:rsid w:val="00CC656F"/>
    <w:rsid w:val="00CC6743"/>
    <w:rsid w:val="00CC678D"/>
    <w:rsid w:val="00CC6829"/>
    <w:rsid w:val="00CC69DD"/>
    <w:rsid w:val="00CC6E31"/>
    <w:rsid w:val="00CC6FE2"/>
    <w:rsid w:val="00CC7403"/>
    <w:rsid w:val="00CC74F3"/>
    <w:rsid w:val="00CC79A7"/>
    <w:rsid w:val="00CC79D3"/>
    <w:rsid w:val="00CC7DAD"/>
    <w:rsid w:val="00CC7F5A"/>
    <w:rsid w:val="00CC7FD7"/>
    <w:rsid w:val="00CD0018"/>
    <w:rsid w:val="00CD0028"/>
    <w:rsid w:val="00CD0312"/>
    <w:rsid w:val="00CD0329"/>
    <w:rsid w:val="00CD0420"/>
    <w:rsid w:val="00CD05AD"/>
    <w:rsid w:val="00CD1093"/>
    <w:rsid w:val="00CD10F2"/>
    <w:rsid w:val="00CD1107"/>
    <w:rsid w:val="00CD1275"/>
    <w:rsid w:val="00CD12E3"/>
    <w:rsid w:val="00CD15F0"/>
    <w:rsid w:val="00CD16CA"/>
    <w:rsid w:val="00CD22F3"/>
    <w:rsid w:val="00CD2325"/>
    <w:rsid w:val="00CD23F9"/>
    <w:rsid w:val="00CD29D8"/>
    <w:rsid w:val="00CD2DEF"/>
    <w:rsid w:val="00CD307B"/>
    <w:rsid w:val="00CD3511"/>
    <w:rsid w:val="00CD3934"/>
    <w:rsid w:val="00CD394B"/>
    <w:rsid w:val="00CD3A79"/>
    <w:rsid w:val="00CD3BA4"/>
    <w:rsid w:val="00CD3D4C"/>
    <w:rsid w:val="00CD3F46"/>
    <w:rsid w:val="00CD41C3"/>
    <w:rsid w:val="00CD4508"/>
    <w:rsid w:val="00CD481B"/>
    <w:rsid w:val="00CD4A51"/>
    <w:rsid w:val="00CD4CE5"/>
    <w:rsid w:val="00CD4EA9"/>
    <w:rsid w:val="00CD4F3A"/>
    <w:rsid w:val="00CD51F4"/>
    <w:rsid w:val="00CD5A84"/>
    <w:rsid w:val="00CD5BEE"/>
    <w:rsid w:val="00CD5D6E"/>
    <w:rsid w:val="00CD61EC"/>
    <w:rsid w:val="00CD6233"/>
    <w:rsid w:val="00CD626C"/>
    <w:rsid w:val="00CD6327"/>
    <w:rsid w:val="00CD651B"/>
    <w:rsid w:val="00CD6F1A"/>
    <w:rsid w:val="00CD7445"/>
    <w:rsid w:val="00CD75F5"/>
    <w:rsid w:val="00CD78EA"/>
    <w:rsid w:val="00CD7A48"/>
    <w:rsid w:val="00CD7D67"/>
    <w:rsid w:val="00CE00C6"/>
    <w:rsid w:val="00CE03B6"/>
    <w:rsid w:val="00CE03B7"/>
    <w:rsid w:val="00CE0407"/>
    <w:rsid w:val="00CE0578"/>
    <w:rsid w:val="00CE09CC"/>
    <w:rsid w:val="00CE0BBF"/>
    <w:rsid w:val="00CE0F4B"/>
    <w:rsid w:val="00CE0F6C"/>
    <w:rsid w:val="00CE0F7D"/>
    <w:rsid w:val="00CE0FA9"/>
    <w:rsid w:val="00CE10C1"/>
    <w:rsid w:val="00CE119E"/>
    <w:rsid w:val="00CE120B"/>
    <w:rsid w:val="00CE120D"/>
    <w:rsid w:val="00CE15C5"/>
    <w:rsid w:val="00CE1962"/>
    <w:rsid w:val="00CE1A69"/>
    <w:rsid w:val="00CE1AC9"/>
    <w:rsid w:val="00CE1B54"/>
    <w:rsid w:val="00CE1CB7"/>
    <w:rsid w:val="00CE1D46"/>
    <w:rsid w:val="00CE1E81"/>
    <w:rsid w:val="00CE2B71"/>
    <w:rsid w:val="00CE2B78"/>
    <w:rsid w:val="00CE2E93"/>
    <w:rsid w:val="00CE328F"/>
    <w:rsid w:val="00CE33D7"/>
    <w:rsid w:val="00CE34DF"/>
    <w:rsid w:val="00CE353B"/>
    <w:rsid w:val="00CE35E5"/>
    <w:rsid w:val="00CE373B"/>
    <w:rsid w:val="00CE3757"/>
    <w:rsid w:val="00CE3B08"/>
    <w:rsid w:val="00CE4028"/>
    <w:rsid w:val="00CE418C"/>
    <w:rsid w:val="00CE41A0"/>
    <w:rsid w:val="00CE42FD"/>
    <w:rsid w:val="00CE4358"/>
    <w:rsid w:val="00CE47CD"/>
    <w:rsid w:val="00CE483B"/>
    <w:rsid w:val="00CE4842"/>
    <w:rsid w:val="00CE4885"/>
    <w:rsid w:val="00CE4953"/>
    <w:rsid w:val="00CE4982"/>
    <w:rsid w:val="00CE49B7"/>
    <w:rsid w:val="00CE49FE"/>
    <w:rsid w:val="00CE4DB1"/>
    <w:rsid w:val="00CE4E65"/>
    <w:rsid w:val="00CE4ED2"/>
    <w:rsid w:val="00CE50B6"/>
    <w:rsid w:val="00CE531E"/>
    <w:rsid w:val="00CE54E9"/>
    <w:rsid w:val="00CE550F"/>
    <w:rsid w:val="00CE57E9"/>
    <w:rsid w:val="00CE5814"/>
    <w:rsid w:val="00CE5848"/>
    <w:rsid w:val="00CE58BD"/>
    <w:rsid w:val="00CE5AD9"/>
    <w:rsid w:val="00CE5C9A"/>
    <w:rsid w:val="00CE5DCD"/>
    <w:rsid w:val="00CE5E58"/>
    <w:rsid w:val="00CE6188"/>
    <w:rsid w:val="00CE63A8"/>
    <w:rsid w:val="00CE6B36"/>
    <w:rsid w:val="00CE6B74"/>
    <w:rsid w:val="00CE6D02"/>
    <w:rsid w:val="00CE6DA6"/>
    <w:rsid w:val="00CE6ED4"/>
    <w:rsid w:val="00CE702F"/>
    <w:rsid w:val="00CE72F8"/>
    <w:rsid w:val="00CE74A3"/>
    <w:rsid w:val="00CE7A3F"/>
    <w:rsid w:val="00CE7CDA"/>
    <w:rsid w:val="00CE7E24"/>
    <w:rsid w:val="00CF03D9"/>
    <w:rsid w:val="00CF05C8"/>
    <w:rsid w:val="00CF05D1"/>
    <w:rsid w:val="00CF075D"/>
    <w:rsid w:val="00CF095E"/>
    <w:rsid w:val="00CF1306"/>
    <w:rsid w:val="00CF1410"/>
    <w:rsid w:val="00CF17A2"/>
    <w:rsid w:val="00CF1C61"/>
    <w:rsid w:val="00CF1DA0"/>
    <w:rsid w:val="00CF1DDD"/>
    <w:rsid w:val="00CF2531"/>
    <w:rsid w:val="00CF2627"/>
    <w:rsid w:val="00CF268B"/>
    <w:rsid w:val="00CF26AD"/>
    <w:rsid w:val="00CF2804"/>
    <w:rsid w:val="00CF2824"/>
    <w:rsid w:val="00CF299C"/>
    <w:rsid w:val="00CF29CA"/>
    <w:rsid w:val="00CF2B76"/>
    <w:rsid w:val="00CF2DD4"/>
    <w:rsid w:val="00CF2E44"/>
    <w:rsid w:val="00CF3ABC"/>
    <w:rsid w:val="00CF3CF9"/>
    <w:rsid w:val="00CF3E70"/>
    <w:rsid w:val="00CF3F9C"/>
    <w:rsid w:val="00CF40B1"/>
    <w:rsid w:val="00CF4240"/>
    <w:rsid w:val="00CF437B"/>
    <w:rsid w:val="00CF48C1"/>
    <w:rsid w:val="00CF494C"/>
    <w:rsid w:val="00CF4AC4"/>
    <w:rsid w:val="00CF4B3D"/>
    <w:rsid w:val="00CF4C78"/>
    <w:rsid w:val="00CF4D45"/>
    <w:rsid w:val="00CF4F0D"/>
    <w:rsid w:val="00CF528D"/>
    <w:rsid w:val="00CF5635"/>
    <w:rsid w:val="00CF5640"/>
    <w:rsid w:val="00CF56DC"/>
    <w:rsid w:val="00CF59E7"/>
    <w:rsid w:val="00CF5A24"/>
    <w:rsid w:val="00CF5B31"/>
    <w:rsid w:val="00CF5FD3"/>
    <w:rsid w:val="00CF5FDD"/>
    <w:rsid w:val="00CF636D"/>
    <w:rsid w:val="00CF6545"/>
    <w:rsid w:val="00CF66F7"/>
    <w:rsid w:val="00CF6F23"/>
    <w:rsid w:val="00CF7024"/>
    <w:rsid w:val="00CF7194"/>
    <w:rsid w:val="00CF72D7"/>
    <w:rsid w:val="00CF73A0"/>
    <w:rsid w:val="00CF744C"/>
    <w:rsid w:val="00CF7587"/>
    <w:rsid w:val="00CF7622"/>
    <w:rsid w:val="00CF768D"/>
    <w:rsid w:val="00CF76A4"/>
    <w:rsid w:val="00CF7A9A"/>
    <w:rsid w:val="00CF7BDA"/>
    <w:rsid w:val="00CF7E31"/>
    <w:rsid w:val="00D000CC"/>
    <w:rsid w:val="00D000D9"/>
    <w:rsid w:val="00D0011D"/>
    <w:rsid w:val="00D0082F"/>
    <w:rsid w:val="00D00CE5"/>
    <w:rsid w:val="00D011F3"/>
    <w:rsid w:val="00D01C36"/>
    <w:rsid w:val="00D01C8B"/>
    <w:rsid w:val="00D01DA9"/>
    <w:rsid w:val="00D0202E"/>
    <w:rsid w:val="00D020D9"/>
    <w:rsid w:val="00D02192"/>
    <w:rsid w:val="00D0228F"/>
    <w:rsid w:val="00D024F3"/>
    <w:rsid w:val="00D025DC"/>
    <w:rsid w:val="00D02613"/>
    <w:rsid w:val="00D026F7"/>
    <w:rsid w:val="00D02777"/>
    <w:rsid w:val="00D028A6"/>
    <w:rsid w:val="00D02F8E"/>
    <w:rsid w:val="00D02F9E"/>
    <w:rsid w:val="00D03052"/>
    <w:rsid w:val="00D034B9"/>
    <w:rsid w:val="00D034DD"/>
    <w:rsid w:val="00D03604"/>
    <w:rsid w:val="00D0388A"/>
    <w:rsid w:val="00D03B4D"/>
    <w:rsid w:val="00D0417A"/>
    <w:rsid w:val="00D0454B"/>
    <w:rsid w:val="00D04602"/>
    <w:rsid w:val="00D0469E"/>
    <w:rsid w:val="00D04952"/>
    <w:rsid w:val="00D049F2"/>
    <w:rsid w:val="00D04CCD"/>
    <w:rsid w:val="00D04F6E"/>
    <w:rsid w:val="00D050EE"/>
    <w:rsid w:val="00D05507"/>
    <w:rsid w:val="00D0558D"/>
    <w:rsid w:val="00D058AF"/>
    <w:rsid w:val="00D0597A"/>
    <w:rsid w:val="00D05B3C"/>
    <w:rsid w:val="00D05BB9"/>
    <w:rsid w:val="00D05DBC"/>
    <w:rsid w:val="00D05F15"/>
    <w:rsid w:val="00D05F8E"/>
    <w:rsid w:val="00D05FCC"/>
    <w:rsid w:val="00D06093"/>
    <w:rsid w:val="00D06971"/>
    <w:rsid w:val="00D06A01"/>
    <w:rsid w:val="00D06A16"/>
    <w:rsid w:val="00D06A20"/>
    <w:rsid w:val="00D06B16"/>
    <w:rsid w:val="00D06F0A"/>
    <w:rsid w:val="00D0705E"/>
    <w:rsid w:val="00D07303"/>
    <w:rsid w:val="00D07706"/>
    <w:rsid w:val="00D077E0"/>
    <w:rsid w:val="00D07C49"/>
    <w:rsid w:val="00D07D68"/>
    <w:rsid w:val="00D07D74"/>
    <w:rsid w:val="00D07ECB"/>
    <w:rsid w:val="00D07F2F"/>
    <w:rsid w:val="00D106D3"/>
    <w:rsid w:val="00D10731"/>
    <w:rsid w:val="00D10785"/>
    <w:rsid w:val="00D1078F"/>
    <w:rsid w:val="00D10887"/>
    <w:rsid w:val="00D108EA"/>
    <w:rsid w:val="00D10B46"/>
    <w:rsid w:val="00D10C88"/>
    <w:rsid w:val="00D10E60"/>
    <w:rsid w:val="00D10F45"/>
    <w:rsid w:val="00D1117A"/>
    <w:rsid w:val="00D119C2"/>
    <w:rsid w:val="00D11E5C"/>
    <w:rsid w:val="00D11FAC"/>
    <w:rsid w:val="00D1200A"/>
    <w:rsid w:val="00D12027"/>
    <w:rsid w:val="00D120CD"/>
    <w:rsid w:val="00D12241"/>
    <w:rsid w:val="00D124A0"/>
    <w:rsid w:val="00D12550"/>
    <w:rsid w:val="00D125CA"/>
    <w:rsid w:val="00D12B83"/>
    <w:rsid w:val="00D12BBE"/>
    <w:rsid w:val="00D12CD2"/>
    <w:rsid w:val="00D12FB7"/>
    <w:rsid w:val="00D13038"/>
    <w:rsid w:val="00D13058"/>
    <w:rsid w:val="00D132DC"/>
    <w:rsid w:val="00D135F1"/>
    <w:rsid w:val="00D136A4"/>
    <w:rsid w:val="00D13D0D"/>
    <w:rsid w:val="00D13EB3"/>
    <w:rsid w:val="00D13FB8"/>
    <w:rsid w:val="00D1403F"/>
    <w:rsid w:val="00D142A7"/>
    <w:rsid w:val="00D14577"/>
    <w:rsid w:val="00D146FC"/>
    <w:rsid w:val="00D14735"/>
    <w:rsid w:val="00D1473C"/>
    <w:rsid w:val="00D14BDB"/>
    <w:rsid w:val="00D14D23"/>
    <w:rsid w:val="00D14D75"/>
    <w:rsid w:val="00D15073"/>
    <w:rsid w:val="00D15441"/>
    <w:rsid w:val="00D15755"/>
    <w:rsid w:val="00D157B4"/>
    <w:rsid w:val="00D15899"/>
    <w:rsid w:val="00D15D8B"/>
    <w:rsid w:val="00D16151"/>
    <w:rsid w:val="00D163B1"/>
    <w:rsid w:val="00D16474"/>
    <w:rsid w:val="00D1665A"/>
    <w:rsid w:val="00D166EC"/>
    <w:rsid w:val="00D16788"/>
    <w:rsid w:val="00D169E1"/>
    <w:rsid w:val="00D16F4C"/>
    <w:rsid w:val="00D1751D"/>
    <w:rsid w:val="00D17897"/>
    <w:rsid w:val="00D17984"/>
    <w:rsid w:val="00D17A41"/>
    <w:rsid w:val="00D17AB9"/>
    <w:rsid w:val="00D17C9C"/>
    <w:rsid w:val="00D20207"/>
    <w:rsid w:val="00D204B2"/>
    <w:rsid w:val="00D205E0"/>
    <w:rsid w:val="00D205FB"/>
    <w:rsid w:val="00D20AB5"/>
    <w:rsid w:val="00D21491"/>
    <w:rsid w:val="00D2155D"/>
    <w:rsid w:val="00D2190B"/>
    <w:rsid w:val="00D21A13"/>
    <w:rsid w:val="00D21A36"/>
    <w:rsid w:val="00D21ABD"/>
    <w:rsid w:val="00D21ACD"/>
    <w:rsid w:val="00D21BB3"/>
    <w:rsid w:val="00D21BE7"/>
    <w:rsid w:val="00D21CA5"/>
    <w:rsid w:val="00D21D6E"/>
    <w:rsid w:val="00D221A9"/>
    <w:rsid w:val="00D222C1"/>
    <w:rsid w:val="00D22491"/>
    <w:rsid w:val="00D22514"/>
    <w:rsid w:val="00D22700"/>
    <w:rsid w:val="00D2272E"/>
    <w:rsid w:val="00D22DED"/>
    <w:rsid w:val="00D22E08"/>
    <w:rsid w:val="00D22F94"/>
    <w:rsid w:val="00D23207"/>
    <w:rsid w:val="00D236FF"/>
    <w:rsid w:val="00D23906"/>
    <w:rsid w:val="00D23ADA"/>
    <w:rsid w:val="00D23B5C"/>
    <w:rsid w:val="00D23CEB"/>
    <w:rsid w:val="00D242F1"/>
    <w:rsid w:val="00D244C2"/>
    <w:rsid w:val="00D246A2"/>
    <w:rsid w:val="00D24734"/>
    <w:rsid w:val="00D24C06"/>
    <w:rsid w:val="00D24D4B"/>
    <w:rsid w:val="00D24DAD"/>
    <w:rsid w:val="00D24EF5"/>
    <w:rsid w:val="00D25107"/>
    <w:rsid w:val="00D25185"/>
    <w:rsid w:val="00D251A5"/>
    <w:rsid w:val="00D255C7"/>
    <w:rsid w:val="00D25916"/>
    <w:rsid w:val="00D25CD2"/>
    <w:rsid w:val="00D25F14"/>
    <w:rsid w:val="00D25F35"/>
    <w:rsid w:val="00D25FF8"/>
    <w:rsid w:val="00D263C0"/>
    <w:rsid w:val="00D26601"/>
    <w:rsid w:val="00D26D97"/>
    <w:rsid w:val="00D26E20"/>
    <w:rsid w:val="00D26F61"/>
    <w:rsid w:val="00D26FD4"/>
    <w:rsid w:val="00D272EF"/>
    <w:rsid w:val="00D276B9"/>
    <w:rsid w:val="00D279B1"/>
    <w:rsid w:val="00D27CC4"/>
    <w:rsid w:val="00D27EEF"/>
    <w:rsid w:val="00D304F8"/>
    <w:rsid w:val="00D30526"/>
    <w:rsid w:val="00D30568"/>
    <w:rsid w:val="00D30609"/>
    <w:rsid w:val="00D30728"/>
    <w:rsid w:val="00D3080B"/>
    <w:rsid w:val="00D309BD"/>
    <w:rsid w:val="00D30AA5"/>
    <w:rsid w:val="00D30CC3"/>
    <w:rsid w:val="00D30CEB"/>
    <w:rsid w:val="00D30DA6"/>
    <w:rsid w:val="00D31012"/>
    <w:rsid w:val="00D3114B"/>
    <w:rsid w:val="00D3167B"/>
    <w:rsid w:val="00D31946"/>
    <w:rsid w:val="00D31A60"/>
    <w:rsid w:val="00D31A96"/>
    <w:rsid w:val="00D31AFF"/>
    <w:rsid w:val="00D31D8A"/>
    <w:rsid w:val="00D32184"/>
    <w:rsid w:val="00D323A6"/>
    <w:rsid w:val="00D3256C"/>
    <w:rsid w:val="00D3275E"/>
    <w:rsid w:val="00D32910"/>
    <w:rsid w:val="00D329AE"/>
    <w:rsid w:val="00D329E6"/>
    <w:rsid w:val="00D32BCA"/>
    <w:rsid w:val="00D32BF2"/>
    <w:rsid w:val="00D32D1E"/>
    <w:rsid w:val="00D336A5"/>
    <w:rsid w:val="00D338D0"/>
    <w:rsid w:val="00D339B8"/>
    <w:rsid w:val="00D33CB9"/>
    <w:rsid w:val="00D33EF7"/>
    <w:rsid w:val="00D33F1F"/>
    <w:rsid w:val="00D33F3A"/>
    <w:rsid w:val="00D340C0"/>
    <w:rsid w:val="00D3426D"/>
    <w:rsid w:val="00D349AE"/>
    <w:rsid w:val="00D34B52"/>
    <w:rsid w:val="00D34C21"/>
    <w:rsid w:val="00D34CC6"/>
    <w:rsid w:val="00D35285"/>
    <w:rsid w:val="00D35575"/>
    <w:rsid w:val="00D355F7"/>
    <w:rsid w:val="00D3570D"/>
    <w:rsid w:val="00D35744"/>
    <w:rsid w:val="00D35BAD"/>
    <w:rsid w:val="00D36012"/>
    <w:rsid w:val="00D360C1"/>
    <w:rsid w:val="00D3626C"/>
    <w:rsid w:val="00D3696A"/>
    <w:rsid w:val="00D36BFD"/>
    <w:rsid w:val="00D37159"/>
    <w:rsid w:val="00D37586"/>
    <w:rsid w:val="00D37972"/>
    <w:rsid w:val="00D37ADC"/>
    <w:rsid w:val="00D37BCD"/>
    <w:rsid w:val="00D37C52"/>
    <w:rsid w:val="00D37CB8"/>
    <w:rsid w:val="00D37DCF"/>
    <w:rsid w:val="00D37FAF"/>
    <w:rsid w:val="00D40896"/>
    <w:rsid w:val="00D40D70"/>
    <w:rsid w:val="00D40F8F"/>
    <w:rsid w:val="00D4116C"/>
    <w:rsid w:val="00D4150C"/>
    <w:rsid w:val="00D41534"/>
    <w:rsid w:val="00D4155F"/>
    <w:rsid w:val="00D41596"/>
    <w:rsid w:val="00D4177A"/>
    <w:rsid w:val="00D41AC6"/>
    <w:rsid w:val="00D41AD3"/>
    <w:rsid w:val="00D41C6B"/>
    <w:rsid w:val="00D41E24"/>
    <w:rsid w:val="00D426C8"/>
    <w:rsid w:val="00D4286F"/>
    <w:rsid w:val="00D42955"/>
    <w:rsid w:val="00D429F5"/>
    <w:rsid w:val="00D42B5C"/>
    <w:rsid w:val="00D42CE3"/>
    <w:rsid w:val="00D42D45"/>
    <w:rsid w:val="00D42DD6"/>
    <w:rsid w:val="00D42DEC"/>
    <w:rsid w:val="00D433C1"/>
    <w:rsid w:val="00D433EE"/>
    <w:rsid w:val="00D434DD"/>
    <w:rsid w:val="00D4393C"/>
    <w:rsid w:val="00D43C40"/>
    <w:rsid w:val="00D43D4B"/>
    <w:rsid w:val="00D43F63"/>
    <w:rsid w:val="00D44147"/>
    <w:rsid w:val="00D447F4"/>
    <w:rsid w:val="00D44CD1"/>
    <w:rsid w:val="00D44F9D"/>
    <w:rsid w:val="00D4509E"/>
    <w:rsid w:val="00D451A0"/>
    <w:rsid w:val="00D451FC"/>
    <w:rsid w:val="00D459A5"/>
    <w:rsid w:val="00D45B1D"/>
    <w:rsid w:val="00D45BF2"/>
    <w:rsid w:val="00D45E55"/>
    <w:rsid w:val="00D46268"/>
    <w:rsid w:val="00D4648A"/>
    <w:rsid w:val="00D4650A"/>
    <w:rsid w:val="00D465CF"/>
    <w:rsid w:val="00D46846"/>
    <w:rsid w:val="00D46930"/>
    <w:rsid w:val="00D46C11"/>
    <w:rsid w:val="00D46E69"/>
    <w:rsid w:val="00D47111"/>
    <w:rsid w:val="00D472DF"/>
    <w:rsid w:val="00D472FC"/>
    <w:rsid w:val="00D47481"/>
    <w:rsid w:val="00D475C0"/>
    <w:rsid w:val="00D47DDE"/>
    <w:rsid w:val="00D47EDF"/>
    <w:rsid w:val="00D50496"/>
    <w:rsid w:val="00D50538"/>
    <w:rsid w:val="00D50542"/>
    <w:rsid w:val="00D5092D"/>
    <w:rsid w:val="00D50B02"/>
    <w:rsid w:val="00D50F47"/>
    <w:rsid w:val="00D511F7"/>
    <w:rsid w:val="00D51418"/>
    <w:rsid w:val="00D515E6"/>
    <w:rsid w:val="00D518D6"/>
    <w:rsid w:val="00D520E6"/>
    <w:rsid w:val="00D5238F"/>
    <w:rsid w:val="00D5250C"/>
    <w:rsid w:val="00D532AB"/>
    <w:rsid w:val="00D534BA"/>
    <w:rsid w:val="00D534E9"/>
    <w:rsid w:val="00D53C95"/>
    <w:rsid w:val="00D53D4C"/>
    <w:rsid w:val="00D53E12"/>
    <w:rsid w:val="00D53F48"/>
    <w:rsid w:val="00D53F67"/>
    <w:rsid w:val="00D53F99"/>
    <w:rsid w:val="00D5416C"/>
    <w:rsid w:val="00D543BB"/>
    <w:rsid w:val="00D543C9"/>
    <w:rsid w:val="00D54839"/>
    <w:rsid w:val="00D54B63"/>
    <w:rsid w:val="00D54CC7"/>
    <w:rsid w:val="00D54D89"/>
    <w:rsid w:val="00D554FA"/>
    <w:rsid w:val="00D55E0F"/>
    <w:rsid w:val="00D55EDD"/>
    <w:rsid w:val="00D55F39"/>
    <w:rsid w:val="00D55FD5"/>
    <w:rsid w:val="00D56548"/>
    <w:rsid w:val="00D5683F"/>
    <w:rsid w:val="00D56982"/>
    <w:rsid w:val="00D56D8E"/>
    <w:rsid w:val="00D56FDF"/>
    <w:rsid w:val="00D57029"/>
    <w:rsid w:val="00D571ED"/>
    <w:rsid w:val="00D5763D"/>
    <w:rsid w:val="00D579D4"/>
    <w:rsid w:val="00D579FE"/>
    <w:rsid w:val="00D57BDD"/>
    <w:rsid w:val="00D57C2D"/>
    <w:rsid w:val="00D57E34"/>
    <w:rsid w:val="00D6016B"/>
    <w:rsid w:val="00D60191"/>
    <w:rsid w:val="00D60300"/>
    <w:rsid w:val="00D6060D"/>
    <w:rsid w:val="00D60E10"/>
    <w:rsid w:val="00D60E33"/>
    <w:rsid w:val="00D60EDB"/>
    <w:rsid w:val="00D60F08"/>
    <w:rsid w:val="00D612C5"/>
    <w:rsid w:val="00D61F15"/>
    <w:rsid w:val="00D62542"/>
    <w:rsid w:val="00D62D36"/>
    <w:rsid w:val="00D6340C"/>
    <w:rsid w:val="00D635BC"/>
    <w:rsid w:val="00D6367C"/>
    <w:rsid w:val="00D636F4"/>
    <w:rsid w:val="00D63A06"/>
    <w:rsid w:val="00D63C46"/>
    <w:rsid w:val="00D63C48"/>
    <w:rsid w:val="00D63CD5"/>
    <w:rsid w:val="00D63E08"/>
    <w:rsid w:val="00D63FA6"/>
    <w:rsid w:val="00D640B0"/>
    <w:rsid w:val="00D64133"/>
    <w:rsid w:val="00D641C9"/>
    <w:rsid w:val="00D6426B"/>
    <w:rsid w:val="00D64289"/>
    <w:rsid w:val="00D6434E"/>
    <w:rsid w:val="00D64397"/>
    <w:rsid w:val="00D644CC"/>
    <w:rsid w:val="00D645B8"/>
    <w:rsid w:val="00D64A1E"/>
    <w:rsid w:val="00D64A5D"/>
    <w:rsid w:val="00D64AAC"/>
    <w:rsid w:val="00D64B86"/>
    <w:rsid w:val="00D64E4F"/>
    <w:rsid w:val="00D65178"/>
    <w:rsid w:val="00D652ED"/>
    <w:rsid w:val="00D654FB"/>
    <w:rsid w:val="00D6552F"/>
    <w:rsid w:val="00D656E3"/>
    <w:rsid w:val="00D6584B"/>
    <w:rsid w:val="00D65927"/>
    <w:rsid w:val="00D6600A"/>
    <w:rsid w:val="00D66087"/>
    <w:rsid w:val="00D66410"/>
    <w:rsid w:val="00D6667B"/>
    <w:rsid w:val="00D66917"/>
    <w:rsid w:val="00D66B13"/>
    <w:rsid w:val="00D66F4C"/>
    <w:rsid w:val="00D6719F"/>
    <w:rsid w:val="00D675BA"/>
    <w:rsid w:val="00D6796A"/>
    <w:rsid w:val="00D67AFF"/>
    <w:rsid w:val="00D67C33"/>
    <w:rsid w:val="00D70044"/>
    <w:rsid w:val="00D70497"/>
    <w:rsid w:val="00D70503"/>
    <w:rsid w:val="00D70508"/>
    <w:rsid w:val="00D7089C"/>
    <w:rsid w:val="00D708E7"/>
    <w:rsid w:val="00D70C9F"/>
    <w:rsid w:val="00D70CAD"/>
    <w:rsid w:val="00D70DD2"/>
    <w:rsid w:val="00D70DE4"/>
    <w:rsid w:val="00D70F75"/>
    <w:rsid w:val="00D70FF0"/>
    <w:rsid w:val="00D71152"/>
    <w:rsid w:val="00D71194"/>
    <w:rsid w:val="00D71400"/>
    <w:rsid w:val="00D715C7"/>
    <w:rsid w:val="00D715CD"/>
    <w:rsid w:val="00D715E2"/>
    <w:rsid w:val="00D7174E"/>
    <w:rsid w:val="00D71BED"/>
    <w:rsid w:val="00D71CCE"/>
    <w:rsid w:val="00D71CD2"/>
    <w:rsid w:val="00D72005"/>
    <w:rsid w:val="00D72072"/>
    <w:rsid w:val="00D724B8"/>
    <w:rsid w:val="00D72519"/>
    <w:rsid w:val="00D72521"/>
    <w:rsid w:val="00D727B8"/>
    <w:rsid w:val="00D7280D"/>
    <w:rsid w:val="00D72964"/>
    <w:rsid w:val="00D7296B"/>
    <w:rsid w:val="00D72B07"/>
    <w:rsid w:val="00D72B5E"/>
    <w:rsid w:val="00D72DF1"/>
    <w:rsid w:val="00D72E38"/>
    <w:rsid w:val="00D72E74"/>
    <w:rsid w:val="00D73344"/>
    <w:rsid w:val="00D735A4"/>
    <w:rsid w:val="00D737F1"/>
    <w:rsid w:val="00D73AEB"/>
    <w:rsid w:val="00D73B7D"/>
    <w:rsid w:val="00D73D09"/>
    <w:rsid w:val="00D73D16"/>
    <w:rsid w:val="00D73FAC"/>
    <w:rsid w:val="00D73FF9"/>
    <w:rsid w:val="00D74580"/>
    <w:rsid w:val="00D74627"/>
    <w:rsid w:val="00D74779"/>
    <w:rsid w:val="00D74A49"/>
    <w:rsid w:val="00D75089"/>
    <w:rsid w:val="00D75318"/>
    <w:rsid w:val="00D7577E"/>
    <w:rsid w:val="00D75AA2"/>
    <w:rsid w:val="00D75C19"/>
    <w:rsid w:val="00D75D19"/>
    <w:rsid w:val="00D75D2F"/>
    <w:rsid w:val="00D76000"/>
    <w:rsid w:val="00D76296"/>
    <w:rsid w:val="00D766C1"/>
    <w:rsid w:val="00D7690A"/>
    <w:rsid w:val="00D76D6A"/>
    <w:rsid w:val="00D76D8D"/>
    <w:rsid w:val="00D7723A"/>
    <w:rsid w:val="00D77356"/>
    <w:rsid w:val="00D77358"/>
    <w:rsid w:val="00D776C6"/>
    <w:rsid w:val="00D7779C"/>
    <w:rsid w:val="00D77B52"/>
    <w:rsid w:val="00D77D2B"/>
    <w:rsid w:val="00D8045C"/>
    <w:rsid w:val="00D80460"/>
    <w:rsid w:val="00D805A5"/>
    <w:rsid w:val="00D805EC"/>
    <w:rsid w:val="00D809C3"/>
    <w:rsid w:val="00D80CDA"/>
    <w:rsid w:val="00D81043"/>
    <w:rsid w:val="00D8123A"/>
    <w:rsid w:val="00D81568"/>
    <w:rsid w:val="00D81748"/>
    <w:rsid w:val="00D818F3"/>
    <w:rsid w:val="00D81C2A"/>
    <w:rsid w:val="00D81D03"/>
    <w:rsid w:val="00D81E1E"/>
    <w:rsid w:val="00D8204B"/>
    <w:rsid w:val="00D8266F"/>
    <w:rsid w:val="00D8274B"/>
    <w:rsid w:val="00D82838"/>
    <w:rsid w:val="00D82860"/>
    <w:rsid w:val="00D8297B"/>
    <w:rsid w:val="00D82D12"/>
    <w:rsid w:val="00D82DA0"/>
    <w:rsid w:val="00D83308"/>
    <w:rsid w:val="00D835B3"/>
    <w:rsid w:val="00D83633"/>
    <w:rsid w:val="00D8366C"/>
    <w:rsid w:val="00D836FA"/>
    <w:rsid w:val="00D83714"/>
    <w:rsid w:val="00D83CE3"/>
    <w:rsid w:val="00D83D92"/>
    <w:rsid w:val="00D83EE3"/>
    <w:rsid w:val="00D84111"/>
    <w:rsid w:val="00D8441F"/>
    <w:rsid w:val="00D84767"/>
    <w:rsid w:val="00D849FE"/>
    <w:rsid w:val="00D84B6C"/>
    <w:rsid w:val="00D84CA5"/>
    <w:rsid w:val="00D84E54"/>
    <w:rsid w:val="00D859E2"/>
    <w:rsid w:val="00D859F3"/>
    <w:rsid w:val="00D85A44"/>
    <w:rsid w:val="00D85B93"/>
    <w:rsid w:val="00D85C66"/>
    <w:rsid w:val="00D85F31"/>
    <w:rsid w:val="00D86157"/>
    <w:rsid w:val="00D861B9"/>
    <w:rsid w:val="00D86402"/>
    <w:rsid w:val="00D86416"/>
    <w:rsid w:val="00D867FC"/>
    <w:rsid w:val="00D86ECD"/>
    <w:rsid w:val="00D86FD2"/>
    <w:rsid w:val="00D8711F"/>
    <w:rsid w:val="00D8728A"/>
    <w:rsid w:val="00D873C9"/>
    <w:rsid w:val="00D87441"/>
    <w:rsid w:val="00D87632"/>
    <w:rsid w:val="00D877CC"/>
    <w:rsid w:val="00D87833"/>
    <w:rsid w:val="00D87874"/>
    <w:rsid w:val="00D900D3"/>
    <w:rsid w:val="00D90100"/>
    <w:rsid w:val="00D9013F"/>
    <w:rsid w:val="00D90144"/>
    <w:rsid w:val="00D903B0"/>
    <w:rsid w:val="00D903E8"/>
    <w:rsid w:val="00D9077A"/>
    <w:rsid w:val="00D907F3"/>
    <w:rsid w:val="00D90D01"/>
    <w:rsid w:val="00D90D1F"/>
    <w:rsid w:val="00D90E22"/>
    <w:rsid w:val="00D91052"/>
    <w:rsid w:val="00D9107C"/>
    <w:rsid w:val="00D91240"/>
    <w:rsid w:val="00D912C3"/>
    <w:rsid w:val="00D9149F"/>
    <w:rsid w:val="00D91535"/>
    <w:rsid w:val="00D915BF"/>
    <w:rsid w:val="00D91848"/>
    <w:rsid w:val="00D918CF"/>
    <w:rsid w:val="00D919B6"/>
    <w:rsid w:val="00D91C77"/>
    <w:rsid w:val="00D91CDF"/>
    <w:rsid w:val="00D921AB"/>
    <w:rsid w:val="00D922B3"/>
    <w:rsid w:val="00D92335"/>
    <w:rsid w:val="00D929DD"/>
    <w:rsid w:val="00D92A80"/>
    <w:rsid w:val="00D92A97"/>
    <w:rsid w:val="00D92BD5"/>
    <w:rsid w:val="00D92C12"/>
    <w:rsid w:val="00D93488"/>
    <w:rsid w:val="00D93511"/>
    <w:rsid w:val="00D9370D"/>
    <w:rsid w:val="00D93937"/>
    <w:rsid w:val="00D93A1A"/>
    <w:rsid w:val="00D93AFA"/>
    <w:rsid w:val="00D93D75"/>
    <w:rsid w:val="00D9438F"/>
    <w:rsid w:val="00D946C4"/>
    <w:rsid w:val="00D949B1"/>
    <w:rsid w:val="00D94E41"/>
    <w:rsid w:val="00D94EE7"/>
    <w:rsid w:val="00D94F1A"/>
    <w:rsid w:val="00D95114"/>
    <w:rsid w:val="00D9513B"/>
    <w:rsid w:val="00D95394"/>
    <w:rsid w:val="00D95638"/>
    <w:rsid w:val="00D95661"/>
    <w:rsid w:val="00D95892"/>
    <w:rsid w:val="00D95BB1"/>
    <w:rsid w:val="00D95D16"/>
    <w:rsid w:val="00D95D26"/>
    <w:rsid w:val="00D95E9E"/>
    <w:rsid w:val="00D960BE"/>
    <w:rsid w:val="00D9615C"/>
    <w:rsid w:val="00D961D9"/>
    <w:rsid w:val="00D9627C"/>
    <w:rsid w:val="00D9641C"/>
    <w:rsid w:val="00D96716"/>
    <w:rsid w:val="00D96A20"/>
    <w:rsid w:val="00D96D01"/>
    <w:rsid w:val="00D96D3F"/>
    <w:rsid w:val="00D96E64"/>
    <w:rsid w:val="00D96E94"/>
    <w:rsid w:val="00D96F4D"/>
    <w:rsid w:val="00D970E7"/>
    <w:rsid w:val="00D970E8"/>
    <w:rsid w:val="00D972B3"/>
    <w:rsid w:val="00D977D4"/>
    <w:rsid w:val="00D97803"/>
    <w:rsid w:val="00D97908"/>
    <w:rsid w:val="00D97939"/>
    <w:rsid w:val="00DA012C"/>
    <w:rsid w:val="00DA01E5"/>
    <w:rsid w:val="00DA032B"/>
    <w:rsid w:val="00DA0456"/>
    <w:rsid w:val="00DA05A4"/>
    <w:rsid w:val="00DA0653"/>
    <w:rsid w:val="00DA07A9"/>
    <w:rsid w:val="00DA07FC"/>
    <w:rsid w:val="00DA0A11"/>
    <w:rsid w:val="00DA0A75"/>
    <w:rsid w:val="00DA0C59"/>
    <w:rsid w:val="00DA12FD"/>
    <w:rsid w:val="00DA1394"/>
    <w:rsid w:val="00DA1398"/>
    <w:rsid w:val="00DA1734"/>
    <w:rsid w:val="00DA1927"/>
    <w:rsid w:val="00DA1DE8"/>
    <w:rsid w:val="00DA1F52"/>
    <w:rsid w:val="00DA25CB"/>
    <w:rsid w:val="00DA27F4"/>
    <w:rsid w:val="00DA2B69"/>
    <w:rsid w:val="00DA2BDA"/>
    <w:rsid w:val="00DA3058"/>
    <w:rsid w:val="00DA352B"/>
    <w:rsid w:val="00DA3C45"/>
    <w:rsid w:val="00DA3C65"/>
    <w:rsid w:val="00DA403A"/>
    <w:rsid w:val="00DA459E"/>
    <w:rsid w:val="00DA48B4"/>
    <w:rsid w:val="00DA4DF8"/>
    <w:rsid w:val="00DA5112"/>
    <w:rsid w:val="00DA52C9"/>
    <w:rsid w:val="00DA5595"/>
    <w:rsid w:val="00DA55BB"/>
    <w:rsid w:val="00DA5737"/>
    <w:rsid w:val="00DA59E8"/>
    <w:rsid w:val="00DA5EBC"/>
    <w:rsid w:val="00DA6105"/>
    <w:rsid w:val="00DA6138"/>
    <w:rsid w:val="00DA61DD"/>
    <w:rsid w:val="00DA65B0"/>
    <w:rsid w:val="00DA69ED"/>
    <w:rsid w:val="00DA6D66"/>
    <w:rsid w:val="00DA73EE"/>
    <w:rsid w:val="00DA76CF"/>
    <w:rsid w:val="00DA771C"/>
    <w:rsid w:val="00DA7889"/>
    <w:rsid w:val="00DA7962"/>
    <w:rsid w:val="00DA7BFC"/>
    <w:rsid w:val="00DA7E85"/>
    <w:rsid w:val="00DA7F31"/>
    <w:rsid w:val="00DB015A"/>
    <w:rsid w:val="00DB01A4"/>
    <w:rsid w:val="00DB0683"/>
    <w:rsid w:val="00DB07B8"/>
    <w:rsid w:val="00DB087A"/>
    <w:rsid w:val="00DB0D4F"/>
    <w:rsid w:val="00DB0D97"/>
    <w:rsid w:val="00DB0DAB"/>
    <w:rsid w:val="00DB128D"/>
    <w:rsid w:val="00DB16F2"/>
    <w:rsid w:val="00DB17EB"/>
    <w:rsid w:val="00DB1838"/>
    <w:rsid w:val="00DB2188"/>
    <w:rsid w:val="00DB2640"/>
    <w:rsid w:val="00DB2846"/>
    <w:rsid w:val="00DB2B6C"/>
    <w:rsid w:val="00DB2C2B"/>
    <w:rsid w:val="00DB2F31"/>
    <w:rsid w:val="00DB3537"/>
    <w:rsid w:val="00DB3790"/>
    <w:rsid w:val="00DB3A7E"/>
    <w:rsid w:val="00DB3CA0"/>
    <w:rsid w:val="00DB3D68"/>
    <w:rsid w:val="00DB3E52"/>
    <w:rsid w:val="00DB4100"/>
    <w:rsid w:val="00DB4104"/>
    <w:rsid w:val="00DB41B1"/>
    <w:rsid w:val="00DB42ED"/>
    <w:rsid w:val="00DB4BB0"/>
    <w:rsid w:val="00DB519B"/>
    <w:rsid w:val="00DB54B5"/>
    <w:rsid w:val="00DB5AE0"/>
    <w:rsid w:val="00DB5F97"/>
    <w:rsid w:val="00DB634D"/>
    <w:rsid w:val="00DB64BA"/>
    <w:rsid w:val="00DB65EF"/>
    <w:rsid w:val="00DB6634"/>
    <w:rsid w:val="00DB67A7"/>
    <w:rsid w:val="00DB69BA"/>
    <w:rsid w:val="00DB7064"/>
    <w:rsid w:val="00DB72A5"/>
    <w:rsid w:val="00DB73A6"/>
    <w:rsid w:val="00DB780C"/>
    <w:rsid w:val="00DB789D"/>
    <w:rsid w:val="00DB7977"/>
    <w:rsid w:val="00DB7A9D"/>
    <w:rsid w:val="00DB7F14"/>
    <w:rsid w:val="00DB7F65"/>
    <w:rsid w:val="00DC0142"/>
    <w:rsid w:val="00DC09B2"/>
    <w:rsid w:val="00DC09BB"/>
    <w:rsid w:val="00DC09E0"/>
    <w:rsid w:val="00DC0FA1"/>
    <w:rsid w:val="00DC106F"/>
    <w:rsid w:val="00DC12BD"/>
    <w:rsid w:val="00DC1743"/>
    <w:rsid w:val="00DC183C"/>
    <w:rsid w:val="00DC1929"/>
    <w:rsid w:val="00DC1EA5"/>
    <w:rsid w:val="00DC1F16"/>
    <w:rsid w:val="00DC21B0"/>
    <w:rsid w:val="00DC22A2"/>
    <w:rsid w:val="00DC2376"/>
    <w:rsid w:val="00DC23A6"/>
    <w:rsid w:val="00DC24A7"/>
    <w:rsid w:val="00DC255F"/>
    <w:rsid w:val="00DC2710"/>
    <w:rsid w:val="00DC273B"/>
    <w:rsid w:val="00DC28EA"/>
    <w:rsid w:val="00DC2C3A"/>
    <w:rsid w:val="00DC2D0E"/>
    <w:rsid w:val="00DC2E00"/>
    <w:rsid w:val="00DC2F35"/>
    <w:rsid w:val="00DC2FF1"/>
    <w:rsid w:val="00DC3338"/>
    <w:rsid w:val="00DC3370"/>
    <w:rsid w:val="00DC33D5"/>
    <w:rsid w:val="00DC3B02"/>
    <w:rsid w:val="00DC3EC0"/>
    <w:rsid w:val="00DC3F30"/>
    <w:rsid w:val="00DC4468"/>
    <w:rsid w:val="00DC4773"/>
    <w:rsid w:val="00DC4AD7"/>
    <w:rsid w:val="00DC4CC9"/>
    <w:rsid w:val="00DC4DBE"/>
    <w:rsid w:val="00DC51E7"/>
    <w:rsid w:val="00DC52B9"/>
    <w:rsid w:val="00DC5403"/>
    <w:rsid w:val="00DC59C3"/>
    <w:rsid w:val="00DC6008"/>
    <w:rsid w:val="00DC6280"/>
    <w:rsid w:val="00DC664C"/>
    <w:rsid w:val="00DC66C1"/>
    <w:rsid w:val="00DC6C19"/>
    <w:rsid w:val="00DC6CD4"/>
    <w:rsid w:val="00DC6DB3"/>
    <w:rsid w:val="00DC6DB8"/>
    <w:rsid w:val="00DC6F32"/>
    <w:rsid w:val="00DC71C0"/>
    <w:rsid w:val="00DC73E7"/>
    <w:rsid w:val="00DC7662"/>
    <w:rsid w:val="00DC76C3"/>
    <w:rsid w:val="00DC7746"/>
    <w:rsid w:val="00DC7823"/>
    <w:rsid w:val="00DD02B1"/>
    <w:rsid w:val="00DD074C"/>
    <w:rsid w:val="00DD1178"/>
    <w:rsid w:val="00DD14B4"/>
    <w:rsid w:val="00DD14C0"/>
    <w:rsid w:val="00DD1622"/>
    <w:rsid w:val="00DD1AA1"/>
    <w:rsid w:val="00DD1DA5"/>
    <w:rsid w:val="00DD1EED"/>
    <w:rsid w:val="00DD2365"/>
    <w:rsid w:val="00DD2409"/>
    <w:rsid w:val="00DD2A3B"/>
    <w:rsid w:val="00DD2B86"/>
    <w:rsid w:val="00DD2D1E"/>
    <w:rsid w:val="00DD3049"/>
    <w:rsid w:val="00DD30CC"/>
    <w:rsid w:val="00DD30D5"/>
    <w:rsid w:val="00DD323A"/>
    <w:rsid w:val="00DD3548"/>
    <w:rsid w:val="00DD373C"/>
    <w:rsid w:val="00DD3F19"/>
    <w:rsid w:val="00DD4109"/>
    <w:rsid w:val="00DD4254"/>
    <w:rsid w:val="00DD4394"/>
    <w:rsid w:val="00DD46B3"/>
    <w:rsid w:val="00DD46CD"/>
    <w:rsid w:val="00DD47C0"/>
    <w:rsid w:val="00DD48C4"/>
    <w:rsid w:val="00DD4AB8"/>
    <w:rsid w:val="00DD4DDA"/>
    <w:rsid w:val="00DD5624"/>
    <w:rsid w:val="00DD5714"/>
    <w:rsid w:val="00DD5723"/>
    <w:rsid w:val="00DD57E3"/>
    <w:rsid w:val="00DD5993"/>
    <w:rsid w:val="00DD5A43"/>
    <w:rsid w:val="00DD5AD6"/>
    <w:rsid w:val="00DD5B55"/>
    <w:rsid w:val="00DD5D0C"/>
    <w:rsid w:val="00DD609C"/>
    <w:rsid w:val="00DD624A"/>
    <w:rsid w:val="00DD6A83"/>
    <w:rsid w:val="00DD758D"/>
    <w:rsid w:val="00DD7736"/>
    <w:rsid w:val="00DD7812"/>
    <w:rsid w:val="00DD7BA9"/>
    <w:rsid w:val="00DD7D62"/>
    <w:rsid w:val="00DD87AD"/>
    <w:rsid w:val="00DE009A"/>
    <w:rsid w:val="00DE0135"/>
    <w:rsid w:val="00DE01E3"/>
    <w:rsid w:val="00DE06B8"/>
    <w:rsid w:val="00DE07F8"/>
    <w:rsid w:val="00DE0857"/>
    <w:rsid w:val="00DE08C9"/>
    <w:rsid w:val="00DE0A9E"/>
    <w:rsid w:val="00DE0D27"/>
    <w:rsid w:val="00DE10D5"/>
    <w:rsid w:val="00DE16F4"/>
    <w:rsid w:val="00DE1B53"/>
    <w:rsid w:val="00DE1F52"/>
    <w:rsid w:val="00DE2370"/>
    <w:rsid w:val="00DE253C"/>
    <w:rsid w:val="00DE28EA"/>
    <w:rsid w:val="00DE2A59"/>
    <w:rsid w:val="00DE2BA9"/>
    <w:rsid w:val="00DE2D3A"/>
    <w:rsid w:val="00DE2D3D"/>
    <w:rsid w:val="00DE30E2"/>
    <w:rsid w:val="00DE3112"/>
    <w:rsid w:val="00DE3156"/>
    <w:rsid w:val="00DE3158"/>
    <w:rsid w:val="00DE3629"/>
    <w:rsid w:val="00DE3642"/>
    <w:rsid w:val="00DE3667"/>
    <w:rsid w:val="00DE3930"/>
    <w:rsid w:val="00DE3A9A"/>
    <w:rsid w:val="00DE3B40"/>
    <w:rsid w:val="00DE3B57"/>
    <w:rsid w:val="00DE3DC4"/>
    <w:rsid w:val="00DE3EB9"/>
    <w:rsid w:val="00DE3EDE"/>
    <w:rsid w:val="00DE4393"/>
    <w:rsid w:val="00DE445C"/>
    <w:rsid w:val="00DE4C95"/>
    <w:rsid w:val="00DE501A"/>
    <w:rsid w:val="00DE5368"/>
    <w:rsid w:val="00DE5455"/>
    <w:rsid w:val="00DE553A"/>
    <w:rsid w:val="00DE56BA"/>
    <w:rsid w:val="00DE5DB0"/>
    <w:rsid w:val="00DE5E00"/>
    <w:rsid w:val="00DE6098"/>
    <w:rsid w:val="00DE634A"/>
    <w:rsid w:val="00DE6421"/>
    <w:rsid w:val="00DE64FF"/>
    <w:rsid w:val="00DE65FC"/>
    <w:rsid w:val="00DE6D98"/>
    <w:rsid w:val="00DE6F28"/>
    <w:rsid w:val="00DE706B"/>
    <w:rsid w:val="00DE723E"/>
    <w:rsid w:val="00DE73D5"/>
    <w:rsid w:val="00DE73FE"/>
    <w:rsid w:val="00DE7435"/>
    <w:rsid w:val="00DE74A7"/>
    <w:rsid w:val="00DE7986"/>
    <w:rsid w:val="00DE7D44"/>
    <w:rsid w:val="00DE7DFD"/>
    <w:rsid w:val="00DF0156"/>
    <w:rsid w:val="00DF0683"/>
    <w:rsid w:val="00DF0689"/>
    <w:rsid w:val="00DF0C46"/>
    <w:rsid w:val="00DF0D52"/>
    <w:rsid w:val="00DF0DD2"/>
    <w:rsid w:val="00DF0F10"/>
    <w:rsid w:val="00DF0F93"/>
    <w:rsid w:val="00DF10F5"/>
    <w:rsid w:val="00DF1238"/>
    <w:rsid w:val="00DF1638"/>
    <w:rsid w:val="00DF16C0"/>
    <w:rsid w:val="00DF1A90"/>
    <w:rsid w:val="00DF1ACB"/>
    <w:rsid w:val="00DF1B56"/>
    <w:rsid w:val="00DF1BF1"/>
    <w:rsid w:val="00DF1C6B"/>
    <w:rsid w:val="00DF1EBF"/>
    <w:rsid w:val="00DF1F68"/>
    <w:rsid w:val="00DF21CC"/>
    <w:rsid w:val="00DF2319"/>
    <w:rsid w:val="00DF245F"/>
    <w:rsid w:val="00DF24FE"/>
    <w:rsid w:val="00DF2801"/>
    <w:rsid w:val="00DF2A2F"/>
    <w:rsid w:val="00DF2D1A"/>
    <w:rsid w:val="00DF2D46"/>
    <w:rsid w:val="00DF2E1C"/>
    <w:rsid w:val="00DF2F0F"/>
    <w:rsid w:val="00DF32F4"/>
    <w:rsid w:val="00DF35D9"/>
    <w:rsid w:val="00DF3A42"/>
    <w:rsid w:val="00DF3B71"/>
    <w:rsid w:val="00DF3C26"/>
    <w:rsid w:val="00DF3DF9"/>
    <w:rsid w:val="00DF3F86"/>
    <w:rsid w:val="00DF4445"/>
    <w:rsid w:val="00DF4508"/>
    <w:rsid w:val="00DF4880"/>
    <w:rsid w:val="00DF4A07"/>
    <w:rsid w:val="00DF4B49"/>
    <w:rsid w:val="00DF52C0"/>
    <w:rsid w:val="00DF548B"/>
    <w:rsid w:val="00DF54CD"/>
    <w:rsid w:val="00DF5831"/>
    <w:rsid w:val="00DF585F"/>
    <w:rsid w:val="00DF5B1C"/>
    <w:rsid w:val="00DF5F97"/>
    <w:rsid w:val="00DF62A6"/>
    <w:rsid w:val="00DF70B6"/>
    <w:rsid w:val="00DF70CC"/>
    <w:rsid w:val="00DF7641"/>
    <w:rsid w:val="00DF766A"/>
    <w:rsid w:val="00DF786E"/>
    <w:rsid w:val="00DF7A76"/>
    <w:rsid w:val="00DF7A83"/>
    <w:rsid w:val="00DF7EF9"/>
    <w:rsid w:val="00DF7F4B"/>
    <w:rsid w:val="00E001B6"/>
    <w:rsid w:val="00E007A5"/>
    <w:rsid w:val="00E00DDD"/>
    <w:rsid w:val="00E00F01"/>
    <w:rsid w:val="00E0100F"/>
    <w:rsid w:val="00E01222"/>
    <w:rsid w:val="00E01294"/>
    <w:rsid w:val="00E01465"/>
    <w:rsid w:val="00E018E4"/>
    <w:rsid w:val="00E0192A"/>
    <w:rsid w:val="00E01D22"/>
    <w:rsid w:val="00E0238D"/>
    <w:rsid w:val="00E02476"/>
    <w:rsid w:val="00E029C2"/>
    <w:rsid w:val="00E02A2C"/>
    <w:rsid w:val="00E02E38"/>
    <w:rsid w:val="00E03251"/>
    <w:rsid w:val="00E03280"/>
    <w:rsid w:val="00E035E7"/>
    <w:rsid w:val="00E036D9"/>
    <w:rsid w:val="00E03CE1"/>
    <w:rsid w:val="00E03EBE"/>
    <w:rsid w:val="00E04061"/>
    <w:rsid w:val="00E0416F"/>
    <w:rsid w:val="00E041E4"/>
    <w:rsid w:val="00E04354"/>
    <w:rsid w:val="00E04D02"/>
    <w:rsid w:val="00E04E6B"/>
    <w:rsid w:val="00E04F05"/>
    <w:rsid w:val="00E05321"/>
    <w:rsid w:val="00E056E9"/>
    <w:rsid w:val="00E05A99"/>
    <w:rsid w:val="00E05D21"/>
    <w:rsid w:val="00E05FBC"/>
    <w:rsid w:val="00E060EA"/>
    <w:rsid w:val="00E067DC"/>
    <w:rsid w:val="00E069A2"/>
    <w:rsid w:val="00E07338"/>
    <w:rsid w:val="00E0740B"/>
    <w:rsid w:val="00E104F1"/>
    <w:rsid w:val="00E10534"/>
    <w:rsid w:val="00E10894"/>
    <w:rsid w:val="00E10947"/>
    <w:rsid w:val="00E1094E"/>
    <w:rsid w:val="00E10AF2"/>
    <w:rsid w:val="00E10B7D"/>
    <w:rsid w:val="00E1108B"/>
    <w:rsid w:val="00E110AA"/>
    <w:rsid w:val="00E1131C"/>
    <w:rsid w:val="00E1154B"/>
    <w:rsid w:val="00E1172D"/>
    <w:rsid w:val="00E119B2"/>
    <w:rsid w:val="00E11B39"/>
    <w:rsid w:val="00E11D00"/>
    <w:rsid w:val="00E12015"/>
    <w:rsid w:val="00E1225E"/>
    <w:rsid w:val="00E124AC"/>
    <w:rsid w:val="00E12630"/>
    <w:rsid w:val="00E12E49"/>
    <w:rsid w:val="00E13043"/>
    <w:rsid w:val="00E131F2"/>
    <w:rsid w:val="00E13A1A"/>
    <w:rsid w:val="00E13AF5"/>
    <w:rsid w:val="00E13E95"/>
    <w:rsid w:val="00E13F2B"/>
    <w:rsid w:val="00E13FB6"/>
    <w:rsid w:val="00E1434D"/>
    <w:rsid w:val="00E14547"/>
    <w:rsid w:val="00E14648"/>
    <w:rsid w:val="00E14734"/>
    <w:rsid w:val="00E147EC"/>
    <w:rsid w:val="00E14B22"/>
    <w:rsid w:val="00E14B6B"/>
    <w:rsid w:val="00E155B2"/>
    <w:rsid w:val="00E15648"/>
    <w:rsid w:val="00E15896"/>
    <w:rsid w:val="00E1589E"/>
    <w:rsid w:val="00E164A6"/>
    <w:rsid w:val="00E16770"/>
    <w:rsid w:val="00E16C7E"/>
    <w:rsid w:val="00E16D74"/>
    <w:rsid w:val="00E16FBA"/>
    <w:rsid w:val="00E17053"/>
    <w:rsid w:val="00E17207"/>
    <w:rsid w:val="00E173DA"/>
    <w:rsid w:val="00E1746A"/>
    <w:rsid w:val="00E175EF"/>
    <w:rsid w:val="00E17865"/>
    <w:rsid w:val="00E1790F"/>
    <w:rsid w:val="00E17C11"/>
    <w:rsid w:val="00E17E44"/>
    <w:rsid w:val="00E20200"/>
    <w:rsid w:val="00E20705"/>
    <w:rsid w:val="00E20723"/>
    <w:rsid w:val="00E20958"/>
    <w:rsid w:val="00E21006"/>
    <w:rsid w:val="00E211C0"/>
    <w:rsid w:val="00E216FE"/>
    <w:rsid w:val="00E218E2"/>
    <w:rsid w:val="00E219F4"/>
    <w:rsid w:val="00E21A78"/>
    <w:rsid w:val="00E222AF"/>
    <w:rsid w:val="00E2240C"/>
    <w:rsid w:val="00E2267B"/>
    <w:rsid w:val="00E227EA"/>
    <w:rsid w:val="00E22A9B"/>
    <w:rsid w:val="00E22B6F"/>
    <w:rsid w:val="00E22B80"/>
    <w:rsid w:val="00E23426"/>
    <w:rsid w:val="00E23660"/>
    <w:rsid w:val="00E236E3"/>
    <w:rsid w:val="00E23AD0"/>
    <w:rsid w:val="00E23E1A"/>
    <w:rsid w:val="00E23E49"/>
    <w:rsid w:val="00E23FD0"/>
    <w:rsid w:val="00E2404E"/>
    <w:rsid w:val="00E240C2"/>
    <w:rsid w:val="00E240EC"/>
    <w:rsid w:val="00E242C6"/>
    <w:rsid w:val="00E24389"/>
    <w:rsid w:val="00E244D5"/>
    <w:rsid w:val="00E246BA"/>
    <w:rsid w:val="00E249AB"/>
    <w:rsid w:val="00E24B56"/>
    <w:rsid w:val="00E24FE5"/>
    <w:rsid w:val="00E252B0"/>
    <w:rsid w:val="00E2590A"/>
    <w:rsid w:val="00E25B72"/>
    <w:rsid w:val="00E25CDF"/>
    <w:rsid w:val="00E25FC7"/>
    <w:rsid w:val="00E2617D"/>
    <w:rsid w:val="00E26199"/>
    <w:rsid w:val="00E264A6"/>
    <w:rsid w:val="00E266F1"/>
    <w:rsid w:val="00E26AC1"/>
    <w:rsid w:val="00E26CB6"/>
    <w:rsid w:val="00E2741F"/>
    <w:rsid w:val="00E2761D"/>
    <w:rsid w:val="00E27664"/>
    <w:rsid w:val="00E27AD0"/>
    <w:rsid w:val="00E27C0E"/>
    <w:rsid w:val="00E27C0F"/>
    <w:rsid w:val="00E27F0D"/>
    <w:rsid w:val="00E300F5"/>
    <w:rsid w:val="00E302A4"/>
    <w:rsid w:val="00E302E6"/>
    <w:rsid w:val="00E30586"/>
    <w:rsid w:val="00E30F67"/>
    <w:rsid w:val="00E3129C"/>
    <w:rsid w:val="00E31326"/>
    <w:rsid w:val="00E315AF"/>
    <w:rsid w:val="00E3163E"/>
    <w:rsid w:val="00E31677"/>
    <w:rsid w:val="00E3171D"/>
    <w:rsid w:val="00E31A1E"/>
    <w:rsid w:val="00E31B9C"/>
    <w:rsid w:val="00E31BDE"/>
    <w:rsid w:val="00E31E24"/>
    <w:rsid w:val="00E3206B"/>
    <w:rsid w:val="00E32406"/>
    <w:rsid w:val="00E32454"/>
    <w:rsid w:val="00E32783"/>
    <w:rsid w:val="00E327A8"/>
    <w:rsid w:val="00E32870"/>
    <w:rsid w:val="00E32B08"/>
    <w:rsid w:val="00E32C18"/>
    <w:rsid w:val="00E32DB7"/>
    <w:rsid w:val="00E3310E"/>
    <w:rsid w:val="00E3322F"/>
    <w:rsid w:val="00E33231"/>
    <w:rsid w:val="00E3375C"/>
    <w:rsid w:val="00E337D0"/>
    <w:rsid w:val="00E3396B"/>
    <w:rsid w:val="00E33BFD"/>
    <w:rsid w:val="00E34139"/>
    <w:rsid w:val="00E34465"/>
    <w:rsid w:val="00E34484"/>
    <w:rsid w:val="00E3456F"/>
    <w:rsid w:val="00E3468F"/>
    <w:rsid w:val="00E347C2"/>
    <w:rsid w:val="00E34815"/>
    <w:rsid w:val="00E34AE4"/>
    <w:rsid w:val="00E34EDF"/>
    <w:rsid w:val="00E34F53"/>
    <w:rsid w:val="00E35030"/>
    <w:rsid w:val="00E3503C"/>
    <w:rsid w:val="00E35260"/>
    <w:rsid w:val="00E358BE"/>
    <w:rsid w:val="00E35E69"/>
    <w:rsid w:val="00E36373"/>
    <w:rsid w:val="00E36402"/>
    <w:rsid w:val="00E365B4"/>
    <w:rsid w:val="00E36655"/>
    <w:rsid w:val="00E3673C"/>
    <w:rsid w:val="00E36782"/>
    <w:rsid w:val="00E3678E"/>
    <w:rsid w:val="00E36796"/>
    <w:rsid w:val="00E3683E"/>
    <w:rsid w:val="00E36A5D"/>
    <w:rsid w:val="00E36B8A"/>
    <w:rsid w:val="00E36C82"/>
    <w:rsid w:val="00E36D41"/>
    <w:rsid w:val="00E370E7"/>
    <w:rsid w:val="00E37424"/>
    <w:rsid w:val="00E37454"/>
    <w:rsid w:val="00E374C1"/>
    <w:rsid w:val="00E37A65"/>
    <w:rsid w:val="00E37AA6"/>
    <w:rsid w:val="00E37C53"/>
    <w:rsid w:val="00E37D09"/>
    <w:rsid w:val="00E37DD8"/>
    <w:rsid w:val="00E37DDD"/>
    <w:rsid w:val="00E4026C"/>
    <w:rsid w:val="00E40370"/>
    <w:rsid w:val="00E403FF"/>
    <w:rsid w:val="00E4045E"/>
    <w:rsid w:val="00E40541"/>
    <w:rsid w:val="00E40632"/>
    <w:rsid w:val="00E40791"/>
    <w:rsid w:val="00E407B1"/>
    <w:rsid w:val="00E40C8D"/>
    <w:rsid w:val="00E40E3E"/>
    <w:rsid w:val="00E4157F"/>
    <w:rsid w:val="00E4169E"/>
    <w:rsid w:val="00E41B16"/>
    <w:rsid w:val="00E4257E"/>
    <w:rsid w:val="00E4279F"/>
    <w:rsid w:val="00E42940"/>
    <w:rsid w:val="00E42BC3"/>
    <w:rsid w:val="00E42EFF"/>
    <w:rsid w:val="00E43869"/>
    <w:rsid w:val="00E43A55"/>
    <w:rsid w:val="00E43B0B"/>
    <w:rsid w:val="00E43E78"/>
    <w:rsid w:val="00E43E7F"/>
    <w:rsid w:val="00E43F33"/>
    <w:rsid w:val="00E440AF"/>
    <w:rsid w:val="00E4435E"/>
    <w:rsid w:val="00E443DE"/>
    <w:rsid w:val="00E44532"/>
    <w:rsid w:val="00E445A5"/>
    <w:rsid w:val="00E44C0B"/>
    <w:rsid w:val="00E45031"/>
    <w:rsid w:val="00E45180"/>
    <w:rsid w:val="00E45305"/>
    <w:rsid w:val="00E4541D"/>
    <w:rsid w:val="00E45541"/>
    <w:rsid w:val="00E455AE"/>
    <w:rsid w:val="00E458EF"/>
    <w:rsid w:val="00E45938"/>
    <w:rsid w:val="00E459C7"/>
    <w:rsid w:val="00E45AC7"/>
    <w:rsid w:val="00E45B44"/>
    <w:rsid w:val="00E45B9D"/>
    <w:rsid w:val="00E45E7E"/>
    <w:rsid w:val="00E46210"/>
    <w:rsid w:val="00E4658C"/>
    <w:rsid w:val="00E46851"/>
    <w:rsid w:val="00E46A12"/>
    <w:rsid w:val="00E46AC9"/>
    <w:rsid w:val="00E46B70"/>
    <w:rsid w:val="00E46BF0"/>
    <w:rsid w:val="00E46DDF"/>
    <w:rsid w:val="00E46E2A"/>
    <w:rsid w:val="00E473A7"/>
    <w:rsid w:val="00E47426"/>
    <w:rsid w:val="00E474A0"/>
    <w:rsid w:val="00E4757A"/>
    <w:rsid w:val="00E47796"/>
    <w:rsid w:val="00E47A04"/>
    <w:rsid w:val="00E47B33"/>
    <w:rsid w:val="00E47B6D"/>
    <w:rsid w:val="00E502A6"/>
    <w:rsid w:val="00E503EB"/>
    <w:rsid w:val="00E508AC"/>
    <w:rsid w:val="00E50A23"/>
    <w:rsid w:val="00E50BAC"/>
    <w:rsid w:val="00E50C72"/>
    <w:rsid w:val="00E50E87"/>
    <w:rsid w:val="00E5110D"/>
    <w:rsid w:val="00E5135E"/>
    <w:rsid w:val="00E51612"/>
    <w:rsid w:val="00E51C89"/>
    <w:rsid w:val="00E51DC4"/>
    <w:rsid w:val="00E51EED"/>
    <w:rsid w:val="00E52022"/>
    <w:rsid w:val="00E523DE"/>
    <w:rsid w:val="00E52458"/>
    <w:rsid w:val="00E52AB2"/>
    <w:rsid w:val="00E52CBA"/>
    <w:rsid w:val="00E530F8"/>
    <w:rsid w:val="00E531CC"/>
    <w:rsid w:val="00E5329A"/>
    <w:rsid w:val="00E53407"/>
    <w:rsid w:val="00E5359E"/>
    <w:rsid w:val="00E535A3"/>
    <w:rsid w:val="00E53DB6"/>
    <w:rsid w:val="00E53DBF"/>
    <w:rsid w:val="00E53E47"/>
    <w:rsid w:val="00E53E7D"/>
    <w:rsid w:val="00E53FC5"/>
    <w:rsid w:val="00E5408E"/>
    <w:rsid w:val="00E541E7"/>
    <w:rsid w:val="00E5441C"/>
    <w:rsid w:val="00E54A80"/>
    <w:rsid w:val="00E54ACA"/>
    <w:rsid w:val="00E54BE0"/>
    <w:rsid w:val="00E54C20"/>
    <w:rsid w:val="00E54DEA"/>
    <w:rsid w:val="00E54FB3"/>
    <w:rsid w:val="00E55239"/>
    <w:rsid w:val="00E552E3"/>
    <w:rsid w:val="00E55557"/>
    <w:rsid w:val="00E555A4"/>
    <w:rsid w:val="00E55684"/>
    <w:rsid w:val="00E55735"/>
    <w:rsid w:val="00E557AA"/>
    <w:rsid w:val="00E557E8"/>
    <w:rsid w:val="00E55904"/>
    <w:rsid w:val="00E55999"/>
    <w:rsid w:val="00E55E72"/>
    <w:rsid w:val="00E55E91"/>
    <w:rsid w:val="00E56398"/>
    <w:rsid w:val="00E5642B"/>
    <w:rsid w:val="00E5665E"/>
    <w:rsid w:val="00E569BD"/>
    <w:rsid w:val="00E56F0A"/>
    <w:rsid w:val="00E570D7"/>
    <w:rsid w:val="00E570DB"/>
    <w:rsid w:val="00E57416"/>
    <w:rsid w:val="00E5745B"/>
    <w:rsid w:val="00E57504"/>
    <w:rsid w:val="00E57521"/>
    <w:rsid w:val="00E5767A"/>
    <w:rsid w:val="00E5786A"/>
    <w:rsid w:val="00E57CBE"/>
    <w:rsid w:val="00E57CFE"/>
    <w:rsid w:val="00E57EBA"/>
    <w:rsid w:val="00E60005"/>
    <w:rsid w:val="00E6034E"/>
    <w:rsid w:val="00E60616"/>
    <w:rsid w:val="00E60944"/>
    <w:rsid w:val="00E609D1"/>
    <w:rsid w:val="00E60B27"/>
    <w:rsid w:val="00E60EA2"/>
    <w:rsid w:val="00E61129"/>
    <w:rsid w:val="00E6157A"/>
    <w:rsid w:val="00E615AA"/>
    <w:rsid w:val="00E61CB6"/>
    <w:rsid w:val="00E61F33"/>
    <w:rsid w:val="00E62124"/>
    <w:rsid w:val="00E621BB"/>
    <w:rsid w:val="00E6247B"/>
    <w:rsid w:val="00E624C4"/>
    <w:rsid w:val="00E625A7"/>
    <w:rsid w:val="00E6264E"/>
    <w:rsid w:val="00E62765"/>
    <w:rsid w:val="00E628DC"/>
    <w:rsid w:val="00E629E9"/>
    <w:rsid w:val="00E62CB6"/>
    <w:rsid w:val="00E6346D"/>
    <w:rsid w:val="00E63543"/>
    <w:rsid w:val="00E637F7"/>
    <w:rsid w:val="00E6389D"/>
    <w:rsid w:val="00E63BB9"/>
    <w:rsid w:val="00E63E25"/>
    <w:rsid w:val="00E63FD9"/>
    <w:rsid w:val="00E64002"/>
    <w:rsid w:val="00E64122"/>
    <w:rsid w:val="00E6430C"/>
    <w:rsid w:val="00E6449F"/>
    <w:rsid w:val="00E645C1"/>
    <w:rsid w:val="00E646AE"/>
    <w:rsid w:val="00E652AB"/>
    <w:rsid w:val="00E652BA"/>
    <w:rsid w:val="00E653A8"/>
    <w:rsid w:val="00E654A8"/>
    <w:rsid w:val="00E65946"/>
    <w:rsid w:val="00E65970"/>
    <w:rsid w:val="00E65B7D"/>
    <w:rsid w:val="00E6619C"/>
    <w:rsid w:val="00E66227"/>
    <w:rsid w:val="00E6626B"/>
    <w:rsid w:val="00E6657F"/>
    <w:rsid w:val="00E665DA"/>
    <w:rsid w:val="00E66614"/>
    <w:rsid w:val="00E666F7"/>
    <w:rsid w:val="00E66924"/>
    <w:rsid w:val="00E669EE"/>
    <w:rsid w:val="00E66A9C"/>
    <w:rsid w:val="00E66B12"/>
    <w:rsid w:val="00E66D1C"/>
    <w:rsid w:val="00E67330"/>
    <w:rsid w:val="00E67533"/>
    <w:rsid w:val="00E675D5"/>
    <w:rsid w:val="00E67974"/>
    <w:rsid w:val="00E67A76"/>
    <w:rsid w:val="00E67C7E"/>
    <w:rsid w:val="00E70069"/>
    <w:rsid w:val="00E700DA"/>
    <w:rsid w:val="00E7040E"/>
    <w:rsid w:val="00E7063A"/>
    <w:rsid w:val="00E70AA0"/>
    <w:rsid w:val="00E70DD5"/>
    <w:rsid w:val="00E70ECF"/>
    <w:rsid w:val="00E70EE9"/>
    <w:rsid w:val="00E70FD3"/>
    <w:rsid w:val="00E71223"/>
    <w:rsid w:val="00E7136D"/>
    <w:rsid w:val="00E715B1"/>
    <w:rsid w:val="00E716A2"/>
    <w:rsid w:val="00E7176C"/>
    <w:rsid w:val="00E719A8"/>
    <w:rsid w:val="00E719FC"/>
    <w:rsid w:val="00E71CEB"/>
    <w:rsid w:val="00E71EE2"/>
    <w:rsid w:val="00E722DC"/>
    <w:rsid w:val="00E724FD"/>
    <w:rsid w:val="00E726BE"/>
    <w:rsid w:val="00E72756"/>
    <w:rsid w:val="00E7278A"/>
    <w:rsid w:val="00E72A87"/>
    <w:rsid w:val="00E730C5"/>
    <w:rsid w:val="00E733A3"/>
    <w:rsid w:val="00E7355D"/>
    <w:rsid w:val="00E7370C"/>
    <w:rsid w:val="00E7398B"/>
    <w:rsid w:val="00E73A56"/>
    <w:rsid w:val="00E73A65"/>
    <w:rsid w:val="00E73D52"/>
    <w:rsid w:val="00E74154"/>
    <w:rsid w:val="00E744A3"/>
    <w:rsid w:val="00E7472E"/>
    <w:rsid w:val="00E751C7"/>
    <w:rsid w:val="00E75229"/>
    <w:rsid w:val="00E75565"/>
    <w:rsid w:val="00E755FF"/>
    <w:rsid w:val="00E75788"/>
    <w:rsid w:val="00E75A89"/>
    <w:rsid w:val="00E75C8E"/>
    <w:rsid w:val="00E75DB7"/>
    <w:rsid w:val="00E762F9"/>
    <w:rsid w:val="00E763BC"/>
    <w:rsid w:val="00E764E0"/>
    <w:rsid w:val="00E765E6"/>
    <w:rsid w:val="00E768E6"/>
    <w:rsid w:val="00E76A74"/>
    <w:rsid w:val="00E77514"/>
    <w:rsid w:val="00E7761B"/>
    <w:rsid w:val="00E7779C"/>
    <w:rsid w:val="00E77A92"/>
    <w:rsid w:val="00E80035"/>
    <w:rsid w:val="00E800F2"/>
    <w:rsid w:val="00E801C3"/>
    <w:rsid w:val="00E80768"/>
    <w:rsid w:val="00E80A38"/>
    <w:rsid w:val="00E80A5E"/>
    <w:rsid w:val="00E80F80"/>
    <w:rsid w:val="00E80FD4"/>
    <w:rsid w:val="00E81053"/>
    <w:rsid w:val="00E81284"/>
    <w:rsid w:val="00E813F8"/>
    <w:rsid w:val="00E81465"/>
    <w:rsid w:val="00E8153D"/>
    <w:rsid w:val="00E815EC"/>
    <w:rsid w:val="00E816DC"/>
    <w:rsid w:val="00E8198B"/>
    <w:rsid w:val="00E81C9D"/>
    <w:rsid w:val="00E81DEB"/>
    <w:rsid w:val="00E81DEC"/>
    <w:rsid w:val="00E81E5C"/>
    <w:rsid w:val="00E8209C"/>
    <w:rsid w:val="00E82134"/>
    <w:rsid w:val="00E82260"/>
    <w:rsid w:val="00E8238E"/>
    <w:rsid w:val="00E8245A"/>
    <w:rsid w:val="00E8259A"/>
    <w:rsid w:val="00E825E7"/>
    <w:rsid w:val="00E8269B"/>
    <w:rsid w:val="00E826C2"/>
    <w:rsid w:val="00E829A3"/>
    <w:rsid w:val="00E82AC2"/>
    <w:rsid w:val="00E82C85"/>
    <w:rsid w:val="00E82EFC"/>
    <w:rsid w:val="00E8338C"/>
    <w:rsid w:val="00E833C9"/>
    <w:rsid w:val="00E83631"/>
    <w:rsid w:val="00E83AF0"/>
    <w:rsid w:val="00E84106"/>
    <w:rsid w:val="00E842E9"/>
    <w:rsid w:val="00E84368"/>
    <w:rsid w:val="00E8455F"/>
    <w:rsid w:val="00E84590"/>
    <w:rsid w:val="00E847E4"/>
    <w:rsid w:val="00E84BB0"/>
    <w:rsid w:val="00E84D9E"/>
    <w:rsid w:val="00E84E39"/>
    <w:rsid w:val="00E84E7D"/>
    <w:rsid w:val="00E84EE5"/>
    <w:rsid w:val="00E85170"/>
    <w:rsid w:val="00E851EF"/>
    <w:rsid w:val="00E857A1"/>
    <w:rsid w:val="00E85860"/>
    <w:rsid w:val="00E859C2"/>
    <w:rsid w:val="00E85E98"/>
    <w:rsid w:val="00E86479"/>
    <w:rsid w:val="00E8661F"/>
    <w:rsid w:val="00E86629"/>
    <w:rsid w:val="00E867E6"/>
    <w:rsid w:val="00E867EF"/>
    <w:rsid w:val="00E86953"/>
    <w:rsid w:val="00E86A05"/>
    <w:rsid w:val="00E86A49"/>
    <w:rsid w:val="00E86FE7"/>
    <w:rsid w:val="00E8728C"/>
    <w:rsid w:val="00E872DB"/>
    <w:rsid w:val="00E87551"/>
    <w:rsid w:val="00E875AA"/>
    <w:rsid w:val="00E879F4"/>
    <w:rsid w:val="00E87BE8"/>
    <w:rsid w:val="00E87EF8"/>
    <w:rsid w:val="00E87FBE"/>
    <w:rsid w:val="00E87FE2"/>
    <w:rsid w:val="00E90008"/>
    <w:rsid w:val="00E90117"/>
    <w:rsid w:val="00E90194"/>
    <w:rsid w:val="00E901FA"/>
    <w:rsid w:val="00E90343"/>
    <w:rsid w:val="00E90476"/>
    <w:rsid w:val="00E9049B"/>
    <w:rsid w:val="00E904CF"/>
    <w:rsid w:val="00E9071E"/>
    <w:rsid w:val="00E91053"/>
    <w:rsid w:val="00E9139F"/>
    <w:rsid w:val="00E915CD"/>
    <w:rsid w:val="00E91844"/>
    <w:rsid w:val="00E91A32"/>
    <w:rsid w:val="00E91E11"/>
    <w:rsid w:val="00E92285"/>
    <w:rsid w:val="00E924D4"/>
    <w:rsid w:val="00E92625"/>
    <w:rsid w:val="00E92ABA"/>
    <w:rsid w:val="00E92B30"/>
    <w:rsid w:val="00E92B39"/>
    <w:rsid w:val="00E92BFC"/>
    <w:rsid w:val="00E92C3D"/>
    <w:rsid w:val="00E92D12"/>
    <w:rsid w:val="00E92E2D"/>
    <w:rsid w:val="00E92F0A"/>
    <w:rsid w:val="00E93083"/>
    <w:rsid w:val="00E930FA"/>
    <w:rsid w:val="00E93202"/>
    <w:rsid w:val="00E9325D"/>
    <w:rsid w:val="00E9341E"/>
    <w:rsid w:val="00E93994"/>
    <w:rsid w:val="00E93CA6"/>
    <w:rsid w:val="00E93D2C"/>
    <w:rsid w:val="00E9440D"/>
    <w:rsid w:val="00E9482C"/>
    <w:rsid w:val="00E94A9A"/>
    <w:rsid w:val="00E94D09"/>
    <w:rsid w:val="00E94D19"/>
    <w:rsid w:val="00E94D9C"/>
    <w:rsid w:val="00E95334"/>
    <w:rsid w:val="00E95411"/>
    <w:rsid w:val="00E954DE"/>
    <w:rsid w:val="00E956D2"/>
    <w:rsid w:val="00E959A2"/>
    <w:rsid w:val="00E95B79"/>
    <w:rsid w:val="00E95C67"/>
    <w:rsid w:val="00E96824"/>
    <w:rsid w:val="00E96866"/>
    <w:rsid w:val="00E9709A"/>
    <w:rsid w:val="00E970B6"/>
    <w:rsid w:val="00E97439"/>
    <w:rsid w:val="00E9746C"/>
    <w:rsid w:val="00E976DF"/>
    <w:rsid w:val="00E97E7B"/>
    <w:rsid w:val="00EA07CA"/>
    <w:rsid w:val="00EA099D"/>
    <w:rsid w:val="00EA0B00"/>
    <w:rsid w:val="00EA0C14"/>
    <w:rsid w:val="00EA0D94"/>
    <w:rsid w:val="00EA1147"/>
    <w:rsid w:val="00EA1417"/>
    <w:rsid w:val="00EA1595"/>
    <w:rsid w:val="00EA17E4"/>
    <w:rsid w:val="00EA17F8"/>
    <w:rsid w:val="00EA1B1F"/>
    <w:rsid w:val="00EA1B29"/>
    <w:rsid w:val="00EA1EE3"/>
    <w:rsid w:val="00EA2187"/>
    <w:rsid w:val="00EA2497"/>
    <w:rsid w:val="00EA2796"/>
    <w:rsid w:val="00EA291C"/>
    <w:rsid w:val="00EA2B07"/>
    <w:rsid w:val="00EA2D16"/>
    <w:rsid w:val="00EA2D4E"/>
    <w:rsid w:val="00EA2DF2"/>
    <w:rsid w:val="00EA339E"/>
    <w:rsid w:val="00EA344A"/>
    <w:rsid w:val="00EA34D8"/>
    <w:rsid w:val="00EA36CD"/>
    <w:rsid w:val="00EA3C66"/>
    <w:rsid w:val="00EA3E41"/>
    <w:rsid w:val="00EA44F6"/>
    <w:rsid w:val="00EA48D0"/>
    <w:rsid w:val="00EA4A97"/>
    <w:rsid w:val="00EA4CAB"/>
    <w:rsid w:val="00EA4F79"/>
    <w:rsid w:val="00EA5461"/>
    <w:rsid w:val="00EA5552"/>
    <w:rsid w:val="00EA57CA"/>
    <w:rsid w:val="00EA5815"/>
    <w:rsid w:val="00EA5875"/>
    <w:rsid w:val="00EA6277"/>
    <w:rsid w:val="00EA655D"/>
    <w:rsid w:val="00EA665C"/>
    <w:rsid w:val="00EA66E6"/>
    <w:rsid w:val="00EA6B73"/>
    <w:rsid w:val="00EA6DFC"/>
    <w:rsid w:val="00EA701D"/>
    <w:rsid w:val="00EA7024"/>
    <w:rsid w:val="00EA706B"/>
    <w:rsid w:val="00EA7447"/>
    <w:rsid w:val="00EA76FA"/>
    <w:rsid w:val="00EA7CB5"/>
    <w:rsid w:val="00EB057D"/>
    <w:rsid w:val="00EB09B8"/>
    <w:rsid w:val="00EB0A11"/>
    <w:rsid w:val="00EB0B84"/>
    <w:rsid w:val="00EB0CC6"/>
    <w:rsid w:val="00EB10E0"/>
    <w:rsid w:val="00EB133F"/>
    <w:rsid w:val="00EB1553"/>
    <w:rsid w:val="00EB18EA"/>
    <w:rsid w:val="00EB1C7B"/>
    <w:rsid w:val="00EB1C8B"/>
    <w:rsid w:val="00EB1C9A"/>
    <w:rsid w:val="00EB1D38"/>
    <w:rsid w:val="00EB203D"/>
    <w:rsid w:val="00EB20A2"/>
    <w:rsid w:val="00EB21D8"/>
    <w:rsid w:val="00EB22A4"/>
    <w:rsid w:val="00EB28AB"/>
    <w:rsid w:val="00EB295A"/>
    <w:rsid w:val="00EB2B0E"/>
    <w:rsid w:val="00EB2ED1"/>
    <w:rsid w:val="00EB2F31"/>
    <w:rsid w:val="00EB30BB"/>
    <w:rsid w:val="00EB3591"/>
    <w:rsid w:val="00EB360C"/>
    <w:rsid w:val="00EB3AFD"/>
    <w:rsid w:val="00EB3C8F"/>
    <w:rsid w:val="00EB3CA1"/>
    <w:rsid w:val="00EB3E72"/>
    <w:rsid w:val="00EB3F7F"/>
    <w:rsid w:val="00EB4118"/>
    <w:rsid w:val="00EB426B"/>
    <w:rsid w:val="00EB468E"/>
    <w:rsid w:val="00EB46AD"/>
    <w:rsid w:val="00EB46F3"/>
    <w:rsid w:val="00EB47B0"/>
    <w:rsid w:val="00EB4915"/>
    <w:rsid w:val="00EB4A0D"/>
    <w:rsid w:val="00EB4C43"/>
    <w:rsid w:val="00EB4E02"/>
    <w:rsid w:val="00EB4F3B"/>
    <w:rsid w:val="00EB4F9F"/>
    <w:rsid w:val="00EB5012"/>
    <w:rsid w:val="00EB522F"/>
    <w:rsid w:val="00EB5242"/>
    <w:rsid w:val="00EB5260"/>
    <w:rsid w:val="00EB5887"/>
    <w:rsid w:val="00EB5A55"/>
    <w:rsid w:val="00EB5E6D"/>
    <w:rsid w:val="00EB5FC3"/>
    <w:rsid w:val="00EB63E5"/>
    <w:rsid w:val="00EB6579"/>
    <w:rsid w:val="00EB66BD"/>
    <w:rsid w:val="00EB741E"/>
    <w:rsid w:val="00EB743C"/>
    <w:rsid w:val="00EB764D"/>
    <w:rsid w:val="00EB799A"/>
    <w:rsid w:val="00EB7A9D"/>
    <w:rsid w:val="00EB7BAD"/>
    <w:rsid w:val="00EC019F"/>
    <w:rsid w:val="00EC0381"/>
    <w:rsid w:val="00EC04DA"/>
    <w:rsid w:val="00EC04FF"/>
    <w:rsid w:val="00EC0589"/>
    <w:rsid w:val="00EC06D0"/>
    <w:rsid w:val="00EC0704"/>
    <w:rsid w:val="00EC097B"/>
    <w:rsid w:val="00EC0BDA"/>
    <w:rsid w:val="00EC0C74"/>
    <w:rsid w:val="00EC1036"/>
    <w:rsid w:val="00EC13ED"/>
    <w:rsid w:val="00EC148F"/>
    <w:rsid w:val="00EC15AB"/>
    <w:rsid w:val="00EC19FD"/>
    <w:rsid w:val="00EC1D50"/>
    <w:rsid w:val="00EC1FBB"/>
    <w:rsid w:val="00EC268F"/>
    <w:rsid w:val="00EC2780"/>
    <w:rsid w:val="00EC2ABD"/>
    <w:rsid w:val="00EC2CBE"/>
    <w:rsid w:val="00EC2CF1"/>
    <w:rsid w:val="00EC300D"/>
    <w:rsid w:val="00EC3037"/>
    <w:rsid w:val="00EC30AF"/>
    <w:rsid w:val="00EC324E"/>
    <w:rsid w:val="00EC32A5"/>
    <w:rsid w:val="00EC377C"/>
    <w:rsid w:val="00EC3D4B"/>
    <w:rsid w:val="00EC3F24"/>
    <w:rsid w:val="00EC4278"/>
    <w:rsid w:val="00EC429A"/>
    <w:rsid w:val="00EC430C"/>
    <w:rsid w:val="00EC4491"/>
    <w:rsid w:val="00EC449C"/>
    <w:rsid w:val="00EC4758"/>
    <w:rsid w:val="00EC4CAE"/>
    <w:rsid w:val="00EC502D"/>
    <w:rsid w:val="00EC57D3"/>
    <w:rsid w:val="00EC585E"/>
    <w:rsid w:val="00EC5C6D"/>
    <w:rsid w:val="00EC5EB6"/>
    <w:rsid w:val="00EC5F17"/>
    <w:rsid w:val="00EC5FA7"/>
    <w:rsid w:val="00EC61D8"/>
    <w:rsid w:val="00EC6275"/>
    <w:rsid w:val="00EC64C3"/>
    <w:rsid w:val="00EC668D"/>
    <w:rsid w:val="00EC6741"/>
    <w:rsid w:val="00EC6810"/>
    <w:rsid w:val="00EC698B"/>
    <w:rsid w:val="00EC69B6"/>
    <w:rsid w:val="00EC6B3B"/>
    <w:rsid w:val="00EC6D16"/>
    <w:rsid w:val="00EC6DDD"/>
    <w:rsid w:val="00EC6E20"/>
    <w:rsid w:val="00EC6F4D"/>
    <w:rsid w:val="00EC6F94"/>
    <w:rsid w:val="00EC7036"/>
    <w:rsid w:val="00EC7218"/>
    <w:rsid w:val="00EC7252"/>
    <w:rsid w:val="00EC757D"/>
    <w:rsid w:val="00EC76A0"/>
    <w:rsid w:val="00EC7AF1"/>
    <w:rsid w:val="00EC7CC7"/>
    <w:rsid w:val="00EC7E7E"/>
    <w:rsid w:val="00ED047A"/>
    <w:rsid w:val="00ED0781"/>
    <w:rsid w:val="00ED0C5C"/>
    <w:rsid w:val="00ED0E2C"/>
    <w:rsid w:val="00ED0EF9"/>
    <w:rsid w:val="00ED13F4"/>
    <w:rsid w:val="00ED1746"/>
    <w:rsid w:val="00ED1765"/>
    <w:rsid w:val="00ED17E7"/>
    <w:rsid w:val="00ED1811"/>
    <w:rsid w:val="00ED1A16"/>
    <w:rsid w:val="00ED1C19"/>
    <w:rsid w:val="00ED1CD7"/>
    <w:rsid w:val="00ED1D92"/>
    <w:rsid w:val="00ED22A9"/>
    <w:rsid w:val="00ED22AA"/>
    <w:rsid w:val="00ED238C"/>
    <w:rsid w:val="00ED288F"/>
    <w:rsid w:val="00ED2991"/>
    <w:rsid w:val="00ED29A2"/>
    <w:rsid w:val="00ED3111"/>
    <w:rsid w:val="00ED3145"/>
    <w:rsid w:val="00ED31AE"/>
    <w:rsid w:val="00ED353D"/>
    <w:rsid w:val="00ED3CB5"/>
    <w:rsid w:val="00ED3E61"/>
    <w:rsid w:val="00ED4641"/>
    <w:rsid w:val="00ED4942"/>
    <w:rsid w:val="00ED497E"/>
    <w:rsid w:val="00ED4A6A"/>
    <w:rsid w:val="00ED4D64"/>
    <w:rsid w:val="00ED4FBE"/>
    <w:rsid w:val="00ED5042"/>
    <w:rsid w:val="00ED50A2"/>
    <w:rsid w:val="00ED50F3"/>
    <w:rsid w:val="00ED51EE"/>
    <w:rsid w:val="00ED584C"/>
    <w:rsid w:val="00ED5BB3"/>
    <w:rsid w:val="00ED5BE1"/>
    <w:rsid w:val="00ED5F60"/>
    <w:rsid w:val="00ED62E3"/>
    <w:rsid w:val="00ED630B"/>
    <w:rsid w:val="00ED64AC"/>
    <w:rsid w:val="00ED66D2"/>
    <w:rsid w:val="00ED6902"/>
    <w:rsid w:val="00ED6FEC"/>
    <w:rsid w:val="00ED70FC"/>
    <w:rsid w:val="00ED7166"/>
    <w:rsid w:val="00ED72C4"/>
    <w:rsid w:val="00ED7391"/>
    <w:rsid w:val="00ED7509"/>
    <w:rsid w:val="00ED7997"/>
    <w:rsid w:val="00ED7CB5"/>
    <w:rsid w:val="00ED7D51"/>
    <w:rsid w:val="00ED7DC7"/>
    <w:rsid w:val="00ED7E6D"/>
    <w:rsid w:val="00ED7EFD"/>
    <w:rsid w:val="00ED7F24"/>
    <w:rsid w:val="00ED7FE9"/>
    <w:rsid w:val="00EE0107"/>
    <w:rsid w:val="00EE0285"/>
    <w:rsid w:val="00EE08F1"/>
    <w:rsid w:val="00EE0C4D"/>
    <w:rsid w:val="00EE0EEB"/>
    <w:rsid w:val="00EE162D"/>
    <w:rsid w:val="00EE1BEE"/>
    <w:rsid w:val="00EE22FF"/>
    <w:rsid w:val="00EE2852"/>
    <w:rsid w:val="00EE28DB"/>
    <w:rsid w:val="00EE2981"/>
    <w:rsid w:val="00EE2AB2"/>
    <w:rsid w:val="00EE2B02"/>
    <w:rsid w:val="00EE2BAB"/>
    <w:rsid w:val="00EE329C"/>
    <w:rsid w:val="00EE36D5"/>
    <w:rsid w:val="00EE3852"/>
    <w:rsid w:val="00EE3A93"/>
    <w:rsid w:val="00EE3C81"/>
    <w:rsid w:val="00EE3E06"/>
    <w:rsid w:val="00EE3E5A"/>
    <w:rsid w:val="00EE40F5"/>
    <w:rsid w:val="00EE4230"/>
    <w:rsid w:val="00EE4741"/>
    <w:rsid w:val="00EE498D"/>
    <w:rsid w:val="00EE4A20"/>
    <w:rsid w:val="00EE4AD0"/>
    <w:rsid w:val="00EE4BF0"/>
    <w:rsid w:val="00EE5014"/>
    <w:rsid w:val="00EE5812"/>
    <w:rsid w:val="00EE5903"/>
    <w:rsid w:val="00EE590F"/>
    <w:rsid w:val="00EE5BDE"/>
    <w:rsid w:val="00EE5DBB"/>
    <w:rsid w:val="00EE627A"/>
    <w:rsid w:val="00EE6495"/>
    <w:rsid w:val="00EE65F2"/>
    <w:rsid w:val="00EE6866"/>
    <w:rsid w:val="00EE691A"/>
    <w:rsid w:val="00EE6D7B"/>
    <w:rsid w:val="00EE6E48"/>
    <w:rsid w:val="00EE6E8C"/>
    <w:rsid w:val="00EE6FDA"/>
    <w:rsid w:val="00EE7208"/>
    <w:rsid w:val="00EE763A"/>
    <w:rsid w:val="00EE7721"/>
    <w:rsid w:val="00EE779C"/>
    <w:rsid w:val="00EE7A44"/>
    <w:rsid w:val="00EE7A6B"/>
    <w:rsid w:val="00EF0145"/>
    <w:rsid w:val="00EF034B"/>
    <w:rsid w:val="00EF0803"/>
    <w:rsid w:val="00EF0B0E"/>
    <w:rsid w:val="00EF0B78"/>
    <w:rsid w:val="00EF0B80"/>
    <w:rsid w:val="00EF0D52"/>
    <w:rsid w:val="00EF0EBA"/>
    <w:rsid w:val="00EF0ECA"/>
    <w:rsid w:val="00EF0F74"/>
    <w:rsid w:val="00EF1311"/>
    <w:rsid w:val="00EF1473"/>
    <w:rsid w:val="00EF2110"/>
    <w:rsid w:val="00EF22E4"/>
    <w:rsid w:val="00EF239C"/>
    <w:rsid w:val="00EF23ED"/>
    <w:rsid w:val="00EF24EF"/>
    <w:rsid w:val="00EF292A"/>
    <w:rsid w:val="00EF2AF9"/>
    <w:rsid w:val="00EF2B1D"/>
    <w:rsid w:val="00EF2B35"/>
    <w:rsid w:val="00EF2C7E"/>
    <w:rsid w:val="00EF2E51"/>
    <w:rsid w:val="00EF3240"/>
    <w:rsid w:val="00EF3278"/>
    <w:rsid w:val="00EF3612"/>
    <w:rsid w:val="00EF36B5"/>
    <w:rsid w:val="00EF3C8D"/>
    <w:rsid w:val="00EF3E8B"/>
    <w:rsid w:val="00EF4178"/>
    <w:rsid w:val="00EF4569"/>
    <w:rsid w:val="00EF4703"/>
    <w:rsid w:val="00EF47DE"/>
    <w:rsid w:val="00EF4AFE"/>
    <w:rsid w:val="00EF4B56"/>
    <w:rsid w:val="00EF4FFA"/>
    <w:rsid w:val="00EF5234"/>
    <w:rsid w:val="00EF5275"/>
    <w:rsid w:val="00EF52DD"/>
    <w:rsid w:val="00EF54CA"/>
    <w:rsid w:val="00EF5630"/>
    <w:rsid w:val="00EF6192"/>
    <w:rsid w:val="00EF660B"/>
    <w:rsid w:val="00EF6736"/>
    <w:rsid w:val="00EF689B"/>
    <w:rsid w:val="00EF69D2"/>
    <w:rsid w:val="00EF6A2D"/>
    <w:rsid w:val="00EF6AC6"/>
    <w:rsid w:val="00EF6B01"/>
    <w:rsid w:val="00EF6D8D"/>
    <w:rsid w:val="00EF6F47"/>
    <w:rsid w:val="00EF70B7"/>
    <w:rsid w:val="00EF720A"/>
    <w:rsid w:val="00EF7446"/>
    <w:rsid w:val="00EF7BB3"/>
    <w:rsid w:val="00F00307"/>
    <w:rsid w:val="00F00412"/>
    <w:rsid w:val="00F0054F"/>
    <w:rsid w:val="00F00678"/>
    <w:rsid w:val="00F00699"/>
    <w:rsid w:val="00F00904"/>
    <w:rsid w:val="00F00F0E"/>
    <w:rsid w:val="00F0101F"/>
    <w:rsid w:val="00F0152D"/>
    <w:rsid w:val="00F015C7"/>
    <w:rsid w:val="00F01723"/>
    <w:rsid w:val="00F01848"/>
    <w:rsid w:val="00F01AC1"/>
    <w:rsid w:val="00F01EB0"/>
    <w:rsid w:val="00F01FA8"/>
    <w:rsid w:val="00F02328"/>
    <w:rsid w:val="00F023BD"/>
    <w:rsid w:val="00F0269E"/>
    <w:rsid w:val="00F030D5"/>
    <w:rsid w:val="00F0337E"/>
    <w:rsid w:val="00F03E3E"/>
    <w:rsid w:val="00F03FF5"/>
    <w:rsid w:val="00F04035"/>
    <w:rsid w:val="00F04121"/>
    <w:rsid w:val="00F0422F"/>
    <w:rsid w:val="00F042A6"/>
    <w:rsid w:val="00F042E1"/>
    <w:rsid w:val="00F04324"/>
    <w:rsid w:val="00F04746"/>
    <w:rsid w:val="00F04819"/>
    <w:rsid w:val="00F049EC"/>
    <w:rsid w:val="00F04DEC"/>
    <w:rsid w:val="00F04EAE"/>
    <w:rsid w:val="00F04F1F"/>
    <w:rsid w:val="00F052DF"/>
    <w:rsid w:val="00F0542E"/>
    <w:rsid w:val="00F055F2"/>
    <w:rsid w:val="00F0568E"/>
    <w:rsid w:val="00F05DB0"/>
    <w:rsid w:val="00F05FA1"/>
    <w:rsid w:val="00F0645B"/>
    <w:rsid w:val="00F0662B"/>
    <w:rsid w:val="00F06802"/>
    <w:rsid w:val="00F06B1D"/>
    <w:rsid w:val="00F06CCF"/>
    <w:rsid w:val="00F07560"/>
    <w:rsid w:val="00F07829"/>
    <w:rsid w:val="00F07962"/>
    <w:rsid w:val="00F07C1C"/>
    <w:rsid w:val="00F07D62"/>
    <w:rsid w:val="00F07EE1"/>
    <w:rsid w:val="00F07FDA"/>
    <w:rsid w:val="00F100ED"/>
    <w:rsid w:val="00F1036B"/>
    <w:rsid w:val="00F10A9A"/>
    <w:rsid w:val="00F10AE1"/>
    <w:rsid w:val="00F10BBD"/>
    <w:rsid w:val="00F10EAA"/>
    <w:rsid w:val="00F1120D"/>
    <w:rsid w:val="00F1131A"/>
    <w:rsid w:val="00F11CE9"/>
    <w:rsid w:val="00F11D77"/>
    <w:rsid w:val="00F121EC"/>
    <w:rsid w:val="00F1229F"/>
    <w:rsid w:val="00F12330"/>
    <w:rsid w:val="00F12502"/>
    <w:rsid w:val="00F12683"/>
    <w:rsid w:val="00F12782"/>
    <w:rsid w:val="00F12857"/>
    <w:rsid w:val="00F129DB"/>
    <w:rsid w:val="00F12ED0"/>
    <w:rsid w:val="00F13228"/>
    <w:rsid w:val="00F13657"/>
    <w:rsid w:val="00F13813"/>
    <w:rsid w:val="00F13898"/>
    <w:rsid w:val="00F13CFE"/>
    <w:rsid w:val="00F13D4F"/>
    <w:rsid w:val="00F13D60"/>
    <w:rsid w:val="00F14240"/>
    <w:rsid w:val="00F1448B"/>
    <w:rsid w:val="00F145A6"/>
    <w:rsid w:val="00F14F1E"/>
    <w:rsid w:val="00F151D0"/>
    <w:rsid w:val="00F15243"/>
    <w:rsid w:val="00F152B4"/>
    <w:rsid w:val="00F1546C"/>
    <w:rsid w:val="00F15514"/>
    <w:rsid w:val="00F155D0"/>
    <w:rsid w:val="00F1560C"/>
    <w:rsid w:val="00F15A89"/>
    <w:rsid w:val="00F15C83"/>
    <w:rsid w:val="00F15EF5"/>
    <w:rsid w:val="00F1650D"/>
    <w:rsid w:val="00F1664F"/>
    <w:rsid w:val="00F16824"/>
    <w:rsid w:val="00F16853"/>
    <w:rsid w:val="00F16921"/>
    <w:rsid w:val="00F16A9E"/>
    <w:rsid w:val="00F16C18"/>
    <w:rsid w:val="00F16C48"/>
    <w:rsid w:val="00F16D1A"/>
    <w:rsid w:val="00F16D78"/>
    <w:rsid w:val="00F172A5"/>
    <w:rsid w:val="00F1733B"/>
    <w:rsid w:val="00F174D9"/>
    <w:rsid w:val="00F1751D"/>
    <w:rsid w:val="00F1759B"/>
    <w:rsid w:val="00F17A3F"/>
    <w:rsid w:val="00F17BC9"/>
    <w:rsid w:val="00F20362"/>
    <w:rsid w:val="00F207E0"/>
    <w:rsid w:val="00F207E5"/>
    <w:rsid w:val="00F20B64"/>
    <w:rsid w:val="00F20DF7"/>
    <w:rsid w:val="00F20E75"/>
    <w:rsid w:val="00F21CAB"/>
    <w:rsid w:val="00F21D91"/>
    <w:rsid w:val="00F21EE7"/>
    <w:rsid w:val="00F2206A"/>
    <w:rsid w:val="00F22251"/>
    <w:rsid w:val="00F22313"/>
    <w:rsid w:val="00F2233A"/>
    <w:rsid w:val="00F22518"/>
    <w:rsid w:val="00F226A1"/>
    <w:rsid w:val="00F226D1"/>
    <w:rsid w:val="00F22702"/>
    <w:rsid w:val="00F22C87"/>
    <w:rsid w:val="00F22CC7"/>
    <w:rsid w:val="00F22D39"/>
    <w:rsid w:val="00F2355C"/>
    <w:rsid w:val="00F237F6"/>
    <w:rsid w:val="00F243B9"/>
    <w:rsid w:val="00F24412"/>
    <w:rsid w:val="00F24456"/>
    <w:rsid w:val="00F2503F"/>
    <w:rsid w:val="00F253BC"/>
    <w:rsid w:val="00F25B94"/>
    <w:rsid w:val="00F25DB6"/>
    <w:rsid w:val="00F26024"/>
    <w:rsid w:val="00F26151"/>
    <w:rsid w:val="00F26308"/>
    <w:rsid w:val="00F26A0E"/>
    <w:rsid w:val="00F26AB9"/>
    <w:rsid w:val="00F26B4B"/>
    <w:rsid w:val="00F26C91"/>
    <w:rsid w:val="00F26DFE"/>
    <w:rsid w:val="00F2706C"/>
    <w:rsid w:val="00F27251"/>
    <w:rsid w:val="00F2750A"/>
    <w:rsid w:val="00F2756D"/>
    <w:rsid w:val="00F27C5A"/>
    <w:rsid w:val="00F27FDC"/>
    <w:rsid w:val="00F30020"/>
    <w:rsid w:val="00F30117"/>
    <w:rsid w:val="00F30372"/>
    <w:rsid w:val="00F3094A"/>
    <w:rsid w:val="00F30F48"/>
    <w:rsid w:val="00F31885"/>
    <w:rsid w:val="00F31B9C"/>
    <w:rsid w:val="00F31F3F"/>
    <w:rsid w:val="00F31FEB"/>
    <w:rsid w:val="00F3209B"/>
    <w:rsid w:val="00F32203"/>
    <w:rsid w:val="00F322C7"/>
    <w:rsid w:val="00F324CB"/>
    <w:rsid w:val="00F3250D"/>
    <w:rsid w:val="00F326D3"/>
    <w:rsid w:val="00F32789"/>
    <w:rsid w:val="00F328B3"/>
    <w:rsid w:val="00F32AE8"/>
    <w:rsid w:val="00F32ED6"/>
    <w:rsid w:val="00F33805"/>
    <w:rsid w:val="00F338B2"/>
    <w:rsid w:val="00F339BA"/>
    <w:rsid w:val="00F33A3D"/>
    <w:rsid w:val="00F33E27"/>
    <w:rsid w:val="00F33EAE"/>
    <w:rsid w:val="00F34311"/>
    <w:rsid w:val="00F34565"/>
    <w:rsid w:val="00F349E8"/>
    <w:rsid w:val="00F34B31"/>
    <w:rsid w:val="00F34DF3"/>
    <w:rsid w:val="00F34E6B"/>
    <w:rsid w:val="00F353F0"/>
    <w:rsid w:val="00F3580E"/>
    <w:rsid w:val="00F35C61"/>
    <w:rsid w:val="00F35D14"/>
    <w:rsid w:val="00F35D45"/>
    <w:rsid w:val="00F35F90"/>
    <w:rsid w:val="00F36143"/>
    <w:rsid w:val="00F36153"/>
    <w:rsid w:val="00F36331"/>
    <w:rsid w:val="00F3676A"/>
    <w:rsid w:val="00F37055"/>
    <w:rsid w:val="00F370F1"/>
    <w:rsid w:val="00F3720C"/>
    <w:rsid w:val="00F37434"/>
    <w:rsid w:val="00F37448"/>
    <w:rsid w:val="00F376F5"/>
    <w:rsid w:val="00F3779B"/>
    <w:rsid w:val="00F37864"/>
    <w:rsid w:val="00F37935"/>
    <w:rsid w:val="00F37A01"/>
    <w:rsid w:val="00F37D4C"/>
    <w:rsid w:val="00F37E41"/>
    <w:rsid w:val="00F37F94"/>
    <w:rsid w:val="00F37FAF"/>
    <w:rsid w:val="00F40074"/>
    <w:rsid w:val="00F400C6"/>
    <w:rsid w:val="00F40187"/>
    <w:rsid w:val="00F404DE"/>
    <w:rsid w:val="00F405A4"/>
    <w:rsid w:val="00F408D6"/>
    <w:rsid w:val="00F40BCA"/>
    <w:rsid w:val="00F40C2D"/>
    <w:rsid w:val="00F40E63"/>
    <w:rsid w:val="00F40FFE"/>
    <w:rsid w:val="00F41168"/>
    <w:rsid w:val="00F413AE"/>
    <w:rsid w:val="00F41693"/>
    <w:rsid w:val="00F41869"/>
    <w:rsid w:val="00F41C8A"/>
    <w:rsid w:val="00F42055"/>
    <w:rsid w:val="00F42095"/>
    <w:rsid w:val="00F42A17"/>
    <w:rsid w:val="00F42A54"/>
    <w:rsid w:val="00F42C28"/>
    <w:rsid w:val="00F42C99"/>
    <w:rsid w:val="00F430CA"/>
    <w:rsid w:val="00F431E8"/>
    <w:rsid w:val="00F4324A"/>
    <w:rsid w:val="00F432FC"/>
    <w:rsid w:val="00F43523"/>
    <w:rsid w:val="00F43A70"/>
    <w:rsid w:val="00F43F1C"/>
    <w:rsid w:val="00F44129"/>
    <w:rsid w:val="00F44247"/>
    <w:rsid w:val="00F44290"/>
    <w:rsid w:val="00F4444C"/>
    <w:rsid w:val="00F4445A"/>
    <w:rsid w:val="00F4445B"/>
    <w:rsid w:val="00F444FE"/>
    <w:rsid w:val="00F44807"/>
    <w:rsid w:val="00F44BDF"/>
    <w:rsid w:val="00F44D6F"/>
    <w:rsid w:val="00F44DA3"/>
    <w:rsid w:val="00F44E72"/>
    <w:rsid w:val="00F45043"/>
    <w:rsid w:val="00F45173"/>
    <w:rsid w:val="00F4521A"/>
    <w:rsid w:val="00F45825"/>
    <w:rsid w:val="00F458C9"/>
    <w:rsid w:val="00F45900"/>
    <w:rsid w:val="00F45B98"/>
    <w:rsid w:val="00F45C9A"/>
    <w:rsid w:val="00F45DAC"/>
    <w:rsid w:val="00F45E82"/>
    <w:rsid w:val="00F45FC1"/>
    <w:rsid w:val="00F46127"/>
    <w:rsid w:val="00F46416"/>
    <w:rsid w:val="00F4691D"/>
    <w:rsid w:val="00F4699F"/>
    <w:rsid w:val="00F46A2D"/>
    <w:rsid w:val="00F46FCD"/>
    <w:rsid w:val="00F4730D"/>
    <w:rsid w:val="00F474DA"/>
    <w:rsid w:val="00F474F9"/>
    <w:rsid w:val="00F47528"/>
    <w:rsid w:val="00F4753B"/>
    <w:rsid w:val="00F4765B"/>
    <w:rsid w:val="00F477B7"/>
    <w:rsid w:val="00F479F8"/>
    <w:rsid w:val="00F47A5E"/>
    <w:rsid w:val="00F47C12"/>
    <w:rsid w:val="00F47CAC"/>
    <w:rsid w:val="00F47D63"/>
    <w:rsid w:val="00F502C8"/>
    <w:rsid w:val="00F506DB"/>
    <w:rsid w:val="00F50C76"/>
    <w:rsid w:val="00F50CCF"/>
    <w:rsid w:val="00F50E85"/>
    <w:rsid w:val="00F511CC"/>
    <w:rsid w:val="00F512F7"/>
    <w:rsid w:val="00F51447"/>
    <w:rsid w:val="00F51451"/>
    <w:rsid w:val="00F517E4"/>
    <w:rsid w:val="00F5184D"/>
    <w:rsid w:val="00F51AD3"/>
    <w:rsid w:val="00F51C65"/>
    <w:rsid w:val="00F51E3A"/>
    <w:rsid w:val="00F51E9A"/>
    <w:rsid w:val="00F51EEA"/>
    <w:rsid w:val="00F5219E"/>
    <w:rsid w:val="00F521B9"/>
    <w:rsid w:val="00F522A0"/>
    <w:rsid w:val="00F522FD"/>
    <w:rsid w:val="00F523F7"/>
    <w:rsid w:val="00F52545"/>
    <w:rsid w:val="00F52AA9"/>
    <w:rsid w:val="00F52C1F"/>
    <w:rsid w:val="00F52C4A"/>
    <w:rsid w:val="00F52C53"/>
    <w:rsid w:val="00F52E46"/>
    <w:rsid w:val="00F52FAD"/>
    <w:rsid w:val="00F53293"/>
    <w:rsid w:val="00F533B9"/>
    <w:rsid w:val="00F534E8"/>
    <w:rsid w:val="00F5351E"/>
    <w:rsid w:val="00F53788"/>
    <w:rsid w:val="00F53819"/>
    <w:rsid w:val="00F53B80"/>
    <w:rsid w:val="00F53BD4"/>
    <w:rsid w:val="00F53CA0"/>
    <w:rsid w:val="00F54098"/>
    <w:rsid w:val="00F54814"/>
    <w:rsid w:val="00F5485C"/>
    <w:rsid w:val="00F54AC8"/>
    <w:rsid w:val="00F5519B"/>
    <w:rsid w:val="00F5549F"/>
    <w:rsid w:val="00F5568B"/>
    <w:rsid w:val="00F556BB"/>
    <w:rsid w:val="00F5576D"/>
    <w:rsid w:val="00F55C2E"/>
    <w:rsid w:val="00F55F89"/>
    <w:rsid w:val="00F56149"/>
    <w:rsid w:val="00F56314"/>
    <w:rsid w:val="00F56327"/>
    <w:rsid w:val="00F5642B"/>
    <w:rsid w:val="00F56432"/>
    <w:rsid w:val="00F5644B"/>
    <w:rsid w:val="00F5669F"/>
    <w:rsid w:val="00F566E0"/>
    <w:rsid w:val="00F56757"/>
    <w:rsid w:val="00F5685E"/>
    <w:rsid w:val="00F56D6F"/>
    <w:rsid w:val="00F57271"/>
    <w:rsid w:val="00F573E3"/>
    <w:rsid w:val="00F57596"/>
    <w:rsid w:val="00F575A2"/>
    <w:rsid w:val="00F57DFC"/>
    <w:rsid w:val="00F57F4A"/>
    <w:rsid w:val="00F6008C"/>
    <w:rsid w:val="00F609A7"/>
    <w:rsid w:val="00F60D44"/>
    <w:rsid w:val="00F60E45"/>
    <w:rsid w:val="00F60F82"/>
    <w:rsid w:val="00F6165C"/>
    <w:rsid w:val="00F6177B"/>
    <w:rsid w:val="00F618FD"/>
    <w:rsid w:val="00F61BEB"/>
    <w:rsid w:val="00F61E38"/>
    <w:rsid w:val="00F621DB"/>
    <w:rsid w:val="00F62318"/>
    <w:rsid w:val="00F625F2"/>
    <w:rsid w:val="00F625F5"/>
    <w:rsid w:val="00F6271A"/>
    <w:rsid w:val="00F6290B"/>
    <w:rsid w:val="00F6299A"/>
    <w:rsid w:val="00F62D1D"/>
    <w:rsid w:val="00F630C9"/>
    <w:rsid w:val="00F63F33"/>
    <w:rsid w:val="00F63FC2"/>
    <w:rsid w:val="00F6415F"/>
    <w:rsid w:val="00F64259"/>
    <w:rsid w:val="00F642D0"/>
    <w:rsid w:val="00F6477E"/>
    <w:rsid w:val="00F649A9"/>
    <w:rsid w:val="00F64A61"/>
    <w:rsid w:val="00F64BD6"/>
    <w:rsid w:val="00F64E4D"/>
    <w:rsid w:val="00F650CF"/>
    <w:rsid w:val="00F65DC3"/>
    <w:rsid w:val="00F65E0F"/>
    <w:rsid w:val="00F66009"/>
    <w:rsid w:val="00F663CF"/>
    <w:rsid w:val="00F663F9"/>
    <w:rsid w:val="00F668F0"/>
    <w:rsid w:val="00F66F97"/>
    <w:rsid w:val="00F6706D"/>
    <w:rsid w:val="00F670C8"/>
    <w:rsid w:val="00F671F2"/>
    <w:rsid w:val="00F67371"/>
    <w:rsid w:val="00F67941"/>
    <w:rsid w:val="00F67990"/>
    <w:rsid w:val="00F67D19"/>
    <w:rsid w:val="00F67FA1"/>
    <w:rsid w:val="00F67FD6"/>
    <w:rsid w:val="00F70087"/>
    <w:rsid w:val="00F700C9"/>
    <w:rsid w:val="00F703D1"/>
    <w:rsid w:val="00F706E6"/>
    <w:rsid w:val="00F708D3"/>
    <w:rsid w:val="00F70A2A"/>
    <w:rsid w:val="00F70EF3"/>
    <w:rsid w:val="00F71129"/>
    <w:rsid w:val="00F711F1"/>
    <w:rsid w:val="00F7136B"/>
    <w:rsid w:val="00F7158F"/>
    <w:rsid w:val="00F71AE4"/>
    <w:rsid w:val="00F72808"/>
    <w:rsid w:val="00F72AA2"/>
    <w:rsid w:val="00F72AEE"/>
    <w:rsid w:val="00F72B42"/>
    <w:rsid w:val="00F72BB2"/>
    <w:rsid w:val="00F72BF2"/>
    <w:rsid w:val="00F72E41"/>
    <w:rsid w:val="00F730C9"/>
    <w:rsid w:val="00F733BA"/>
    <w:rsid w:val="00F733F3"/>
    <w:rsid w:val="00F7363B"/>
    <w:rsid w:val="00F73A39"/>
    <w:rsid w:val="00F73A48"/>
    <w:rsid w:val="00F73E47"/>
    <w:rsid w:val="00F7411C"/>
    <w:rsid w:val="00F7414F"/>
    <w:rsid w:val="00F744B8"/>
    <w:rsid w:val="00F74ECC"/>
    <w:rsid w:val="00F75170"/>
    <w:rsid w:val="00F7525B"/>
    <w:rsid w:val="00F753B9"/>
    <w:rsid w:val="00F7571B"/>
    <w:rsid w:val="00F758FF"/>
    <w:rsid w:val="00F75D3A"/>
    <w:rsid w:val="00F76576"/>
    <w:rsid w:val="00F7682A"/>
    <w:rsid w:val="00F769EB"/>
    <w:rsid w:val="00F7705A"/>
    <w:rsid w:val="00F77614"/>
    <w:rsid w:val="00F77FB7"/>
    <w:rsid w:val="00F80139"/>
    <w:rsid w:val="00F808BB"/>
    <w:rsid w:val="00F8097F"/>
    <w:rsid w:val="00F80DFD"/>
    <w:rsid w:val="00F80F05"/>
    <w:rsid w:val="00F811F7"/>
    <w:rsid w:val="00F81378"/>
    <w:rsid w:val="00F816B1"/>
    <w:rsid w:val="00F81AA5"/>
    <w:rsid w:val="00F81AC7"/>
    <w:rsid w:val="00F81CB7"/>
    <w:rsid w:val="00F81D17"/>
    <w:rsid w:val="00F821C7"/>
    <w:rsid w:val="00F823FA"/>
    <w:rsid w:val="00F825B5"/>
    <w:rsid w:val="00F82830"/>
    <w:rsid w:val="00F828A7"/>
    <w:rsid w:val="00F828FF"/>
    <w:rsid w:val="00F82941"/>
    <w:rsid w:val="00F82AA8"/>
    <w:rsid w:val="00F82D81"/>
    <w:rsid w:val="00F82EA5"/>
    <w:rsid w:val="00F832FC"/>
    <w:rsid w:val="00F833C3"/>
    <w:rsid w:val="00F83753"/>
    <w:rsid w:val="00F83789"/>
    <w:rsid w:val="00F838CA"/>
    <w:rsid w:val="00F839C4"/>
    <w:rsid w:val="00F83BEF"/>
    <w:rsid w:val="00F841CA"/>
    <w:rsid w:val="00F842E4"/>
    <w:rsid w:val="00F8492E"/>
    <w:rsid w:val="00F84C04"/>
    <w:rsid w:val="00F8535E"/>
    <w:rsid w:val="00F854A0"/>
    <w:rsid w:val="00F85805"/>
    <w:rsid w:val="00F859E8"/>
    <w:rsid w:val="00F85CA9"/>
    <w:rsid w:val="00F862A3"/>
    <w:rsid w:val="00F86621"/>
    <w:rsid w:val="00F86C2D"/>
    <w:rsid w:val="00F86E36"/>
    <w:rsid w:val="00F86F6C"/>
    <w:rsid w:val="00F8734F"/>
    <w:rsid w:val="00F875FA"/>
    <w:rsid w:val="00F87823"/>
    <w:rsid w:val="00F87C31"/>
    <w:rsid w:val="00F87C85"/>
    <w:rsid w:val="00F902B7"/>
    <w:rsid w:val="00F9043E"/>
    <w:rsid w:val="00F9064A"/>
    <w:rsid w:val="00F90959"/>
    <w:rsid w:val="00F90CD9"/>
    <w:rsid w:val="00F914AD"/>
    <w:rsid w:val="00F9162C"/>
    <w:rsid w:val="00F9173D"/>
    <w:rsid w:val="00F91B5C"/>
    <w:rsid w:val="00F91C07"/>
    <w:rsid w:val="00F91D77"/>
    <w:rsid w:val="00F91EAE"/>
    <w:rsid w:val="00F9212E"/>
    <w:rsid w:val="00F92260"/>
    <w:rsid w:val="00F93001"/>
    <w:rsid w:val="00F93285"/>
    <w:rsid w:val="00F933CD"/>
    <w:rsid w:val="00F934A4"/>
    <w:rsid w:val="00F935BB"/>
    <w:rsid w:val="00F93FBB"/>
    <w:rsid w:val="00F93FDF"/>
    <w:rsid w:val="00F940CD"/>
    <w:rsid w:val="00F940E8"/>
    <w:rsid w:val="00F9445F"/>
    <w:rsid w:val="00F9447F"/>
    <w:rsid w:val="00F944E6"/>
    <w:rsid w:val="00F949F4"/>
    <w:rsid w:val="00F95134"/>
    <w:rsid w:val="00F95197"/>
    <w:rsid w:val="00F9524C"/>
    <w:rsid w:val="00F95338"/>
    <w:rsid w:val="00F95464"/>
    <w:rsid w:val="00F9574D"/>
    <w:rsid w:val="00F95A54"/>
    <w:rsid w:val="00F95AA3"/>
    <w:rsid w:val="00F95AE5"/>
    <w:rsid w:val="00F95B7D"/>
    <w:rsid w:val="00F95EF9"/>
    <w:rsid w:val="00F95F0A"/>
    <w:rsid w:val="00F96285"/>
    <w:rsid w:val="00F96467"/>
    <w:rsid w:val="00F96638"/>
    <w:rsid w:val="00F96A98"/>
    <w:rsid w:val="00F96E21"/>
    <w:rsid w:val="00F96F2A"/>
    <w:rsid w:val="00F96FDF"/>
    <w:rsid w:val="00F97219"/>
    <w:rsid w:val="00F972B1"/>
    <w:rsid w:val="00F97300"/>
    <w:rsid w:val="00F9735E"/>
    <w:rsid w:val="00F97520"/>
    <w:rsid w:val="00F97598"/>
    <w:rsid w:val="00F976C6"/>
    <w:rsid w:val="00F9781B"/>
    <w:rsid w:val="00F9786F"/>
    <w:rsid w:val="00F97A21"/>
    <w:rsid w:val="00F97D53"/>
    <w:rsid w:val="00FA014D"/>
    <w:rsid w:val="00FA021A"/>
    <w:rsid w:val="00FA0237"/>
    <w:rsid w:val="00FA0329"/>
    <w:rsid w:val="00FA0A2B"/>
    <w:rsid w:val="00FA14A7"/>
    <w:rsid w:val="00FA1558"/>
    <w:rsid w:val="00FA1835"/>
    <w:rsid w:val="00FA18FC"/>
    <w:rsid w:val="00FA198B"/>
    <w:rsid w:val="00FA19E7"/>
    <w:rsid w:val="00FA1A0A"/>
    <w:rsid w:val="00FA1A77"/>
    <w:rsid w:val="00FA1C01"/>
    <w:rsid w:val="00FA2367"/>
    <w:rsid w:val="00FA23B7"/>
    <w:rsid w:val="00FA2455"/>
    <w:rsid w:val="00FA2832"/>
    <w:rsid w:val="00FA29AD"/>
    <w:rsid w:val="00FA29B5"/>
    <w:rsid w:val="00FA29BA"/>
    <w:rsid w:val="00FA2A19"/>
    <w:rsid w:val="00FA2F05"/>
    <w:rsid w:val="00FA2F94"/>
    <w:rsid w:val="00FA344C"/>
    <w:rsid w:val="00FA34FA"/>
    <w:rsid w:val="00FA3599"/>
    <w:rsid w:val="00FA36D0"/>
    <w:rsid w:val="00FA3738"/>
    <w:rsid w:val="00FA3835"/>
    <w:rsid w:val="00FA3863"/>
    <w:rsid w:val="00FA39F2"/>
    <w:rsid w:val="00FA3F65"/>
    <w:rsid w:val="00FA434E"/>
    <w:rsid w:val="00FA45D3"/>
    <w:rsid w:val="00FA45E3"/>
    <w:rsid w:val="00FA4880"/>
    <w:rsid w:val="00FA49F3"/>
    <w:rsid w:val="00FA4AEF"/>
    <w:rsid w:val="00FA4BED"/>
    <w:rsid w:val="00FA4D44"/>
    <w:rsid w:val="00FA4D77"/>
    <w:rsid w:val="00FA4DD0"/>
    <w:rsid w:val="00FA4ED2"/>
    <w:rsid w:val="00FA4F68"/>
    <w:rsid w:val="00FA5171"/>
    <w:rsid w:val="00FA5275"/>
    <w:rsid w:val="00FA5402"/>
    <w:rsid w:val="00FA5435"/>
    <w:rsid w:val="00FA5504"/>
    <w:rsid w:val="00FA57D9"/>
    <w:rsid w:val="00FA582D"/>
    <w:rsid w:val="00FA5FF7"/>
    <w:rsid w:val="00FA60D6"/>
    <w:rsid w:val="00FA62DC"/>
    <w:rsid w:val="00FA6589"/>
    <w:rsid w:val="00FA6B7E"/>
    <w:rsid w:val="00FA6D05"/>
    <w:rsid w:val="00FA6F1E"/>
    <w:rsid w:val="00FA6F7F"/>
    <w:rsid w:val="00FA6FD4"/>
    <w:rsid w:val="00FA7253"/>
    <w:rsid w:val="00FA72E7"/>
    <w:rsid w:val="00FA747E"/>
    <w:rsid w:val="00FA7560"/>
    <w:rsid w:val="00FA75AD"/>
    <w:rsid w:val="00FA7613"/>
    <w:rsid w:val="00FA7945"/>
    <w:rsid w:val="00FA7C57"/>
    <w:rsid w:val="00FA7DB2"/>
    <w:rsid w:val="00FB06FB"/>
    <w:rsid w:val="00FB103E"/>
    <w:rsid w:val="00FB1354"/>
    <w:rsid w:val="00FB13A4"/>
    <w:rsid w:val="00FB1425"/>
    <w:rsid w:val="00FB14B5"/>
    <w:rsid w:val="00FB158D"/>
    <w:rsid w:val="00FB196B"/>
    <w:rsid w:val="00FB1B45"/>
    <w:rsid w:val="00FB1FCB"/>
    <w:rsid w:val="00FB222B"/>
    <w:rsid w:val="00FB2329"/>
    <w:rsid w:val="00FB24DB"/>
    <w:rsid w:val="00FB2948"/>
    <w:rsid w:val="00FB2A71"/>
    <w:rsid w:val="00FB2ABE"/>
    <w:rsid w:val="00FB2BEA"/>
    <w:rsid w:val="00FB2E62"/>
    <w:rsid w:val="00FB310C"/>
    <w:rsid w:val="00FB32D2"/>
    <w:rsid w:val="00FB360F"/>
    <w:rsid w:val="00FB3734"/>
    <w:rsid w:val="00FB3B54"/>
    <w:rsid w:val="00FB3FDB"/>
    <w:rsid w:val="00FB4450"/>
    <w:rsid w:val="00FB446C"/>
    <w:rsid w:val="00FB495B"/>
    <w:rsid w:val="00FB4991"/>
    <w:rsid w:val="00FB4B76"/>
    <w:rsid w:val="00FB4F80"/>
    <w:rsid w:val="00FB5021"/>
    <w:rsid w:val="00FB5343"/>
    <w:rsid w:val="00FB5346"/>
    <w:rsid w:val="00FB54A4"/>
    <w:rsid w:val="00FB57DB"/>
    <w:rsid w:val="00FB5824"/>
    <w:rsid w:val="00FB5B47"/>
    <w:rsid w:val="00FB5B88"/>
    <w:rsid w:val="00FB5FFA"/>
    <w:rsid w:val="00FB6008"/>
    <w:rsid w:val="00FB6099"/>
    <w:rsid w:val="00FB627C"/>
    <w:rsid w:val="00FB65B2"/>
    <w:rsid w:val="00FB65BB"/>
    <w:rsid w:val="00FB65CE"/>
    <w:rsid w:val="00FB6621"/>
    <w:rsid w:val="00FB6669"/>
    <w:rsid w:val="00FB6DF5"/>
    <w:rsid w:val="00FB7032"/>
    <w:rsid w:val="00FB728C"/>
    <w:rsid w:val="00FB7864"/>
    <w:rsid w:val="00FB7D53"/>
    <w:rsid w:val="00FB7E9C"/>
    <w:rsid w:val="00FB7EC0"/>
    <w:rsid w:val="00FB7FDC"/>
    <w:rsid w:val="00FC0590"/>
    <w:rsid w:val="00FC0675"/>
    <w:rsid w:val="00FC06E3"/>
    <w:rsid w:val="00FC07C3"/>
    <w:rsid w:val="00FC0CAC"/>
    <w:rsid w:val="00FC0DC9"/>
    <w:rsid w:val="00FC0F6D"/>
    <w:rsid w:val="00FC106F"/>
    <w:rsid w:val="00FC113D"/>
    <w:rsid w:val="00FC11B8"/>
    <w:rsid w:val="00FC1362"/>
    <w:rsid w:val="00FC16DF"/>
    <w:rsid w:val="00FC1BE9"/>
    <w:rsid w:val="00FC1C49"/>
    <w:rsid w:val="00FC1D8E"/>
    <w:rsid w:val="00FC22AB"/>
    <w:rsid w:val="00FC272E"/>
    <w:rsid w:val="00FC2827"/>
    <w:rsid w:val="00FC294A"/>
    <w:rsid w:val="00FC30F3"/>
    <w:rsid w:val="00FC3282"/>
    <w:rsid w:val="00FC329C"/>
    <w:rsid w:val="00FC3BD4"/>
    <w:rsid w:val="00FC3DF2"/>
    <w:rsid w:val="00FC3ED0"/>
    <w:rsid w:val="00FC44A4"/>
    <w:rsid w:val="00FC49E4"/>
    <w:rsid w:val="00FC4A3A"/>
    <w:rsid w:val="00FC4DBD"/>
    <w:rsid w:val="00FC4E44"/>
    <w:rsid w:val="00FC51ED"/>
    <w:rsid w:val="00FC594B"/>
    <w:rsid w:val="00FC5AED"/>
    <w:rsid w:val="00FC6067"/>
    <w:rsid w:val="00FC6AED"/>
    <w:rsid w:val="00FC6D2F"/>
    <w:rsid w:val="00FC6DE1"/>
    <w:rsid w:val="00FC6E5C"/>
    <w:rsid w:val="00FC6FDC"/>
    <w:rsid w:val="00FC70DB"/>
    <w:rsid w:val="00FC7738"/>
    <w:rsid w:val="00FC77D2"/>
    <w:rsid w:val="00FC7A5E"/>
    <w:rsid w:val="00FC7C8A"/>
    <w:rsid w:val="00FC7DDB"/>
    <w:rsid w:val="00FC7EF4"/>
    <w:rsid w:val="00FD0064"/>
    <w:rsid w:val="00FD013B"/>
    <w:rsid w:val="00FD040D"/>
    <w:rsid w:val="00FD07C6"/>
    <w:rsid w:val="00FD08DC"/>
    <w:rsid w:val="00FD0917"/>
    <w:rsid w:val="00FD0DA5"/>
    <w:rsid w:val="00FD0F67"/>
    <w:rsid w:val="00FD1088"/>
    <w:rsid w:val="00FD1192"/>
    <w:rsid w:val="00FD130B"/>
    <w:rsid w:val="00FD163F"/>
    <w:rsid w:val="00FD17C9"/>
    <w:rsid w:val="00FD1D16"/>
    <w:rsid w:val="00FD1DE5"/>
    <w:rsid w:val="00FD1E4C"/>
    <w:rsid w:val="00FD1FF5"/>
    <w:rsid w:val="00FD2394"/>
    <w:rsid w:val="00FD257E"/>
    <w:rsid w:val="00FD26FB"/>
    <w:rsid w:val="00FD2E62"/>
    <w:rsid w:val="00FD31DC"/>
    <w:rsid w:val="00FD33D5"/>
    <w:rsid w:val="00FD34DC"/>
    <w:rsid w:val="00FD34E5"/>
    <w:rsid w:val="00FD3589"/>
    <w:rsid w:val="00FD39FC"/>
    <w:rsid w:val="00FD3D6A"/>
    <w:rsid w:val="00FD3D78"/>
    <w:rsid w:val="00FD4211"/>
    <w:rsid w:val="00FD428F"/>
    <w:rsid w:val="00FD45B3"/>
    <w:rsid w:val="00FD467F"/>
    <w:rsid w:val="00FD5535"/>
    <w:rsid w:val="00FD5726"/>
    <w:rsid w:val="00FD5935"/>
    <w:rsid w:val="00FD5CA0"/>
    <w:rsid w:val="00FD5D52"/>
    <w:rsid w:val="00FD5F5F"/>
    <w:rsid w:val="00FD5FAA"/>
    <w:rsid w:val="00FD642E"/>
    <w:rsid w:val="00FD646D"/>
    <w:rsid w:val="00FD698F"/>
    <w:rsid w:val="00FD6F51"/>
    <w:rsid w:val="00FD715D"/>
    <w:rsid w:val="00FD76D7"/>
    <w:rsid w:val="00FD7841"/>
    <w:rsid w:val="00FD7985"/>
    <w:rsid w:val="00FD7BC7"/>
    <w:rsid w:val="00FD7D4D"/>
    <w:rsid w:val="00FD7DBA"/>
    <w:rsid w:val="00FD7E1C"/>
    <w:rsid w:val="00FD7E5A"/>
    <w:rsid w:val="00FD7E9F"/>
    <w:rsid w:val="00FE069F"/>
    <w:rsid w:val="00FE0D91"/>
    <w:rsid w:val="00FE104B"/>
    <w:rsid w:val="00FE112F"/>
    <w:rsid w:val="00FE1470"/>
    <w:rsid w:val="00FE15F1"/>
    <w:rsid w:val="00FE16EC"/>
    <w:rsid w:val="00FE17D8"/>
    <w:rsid w:val="00FE18F7"/>
    <w:rsid w:val="00FE1B08"/>
    <w:rsid w:val="00FE1CBD"/>
    <w:rsid w:val="00FE1D09"/>
    <w:rsid w:val="00FE1D65"/>
    <w:rsid w:val="00FE23D5"/>
    <w:rsid w:val="00FE2431"/>
    <w:rsid w:val="00FE2461"/>
    <w:rsid w:val="00FE27BA"/>
    <w:rsid w:val="00FE27C5"/>
    <w:rsid w:val="00FE29C9"/>
    <w:rsid w:val="00FE38B5"/>
    <w:rsid w:val="00FE3A48"/>
    <w:rsid w:val="00FE3C98"/>
    <w:rsid w:val="00FE3E03"/>
    <w:rsid w:val="00FE40D4"/>
    <w:rsid w:val="00FE47AC"/>
    <w:rsid w:val="00FE4A34"/>
    <w:rsid w:val="00FE4C58"/>
    <w:rsid w:val="00FE4FC1"/>
    <w:rsid w:val="00FE5022"/>
    <w:rsid w:val="00FE5195"/>
    <w:rsid w:val="00FE54DE"/>
    <w:rsid w:val="00FE5631"/>
    <w:rsid w:val="00FE578F"/>
    <w:rsid w:val="00FE5B2F"/>
    <w:rsid w:val="00FE5DD5"/>
    <w:rsid w:val="00FE61CA"/>
    <w:rsid w:val="00FE649E"/>
    <w:rsid w:val="00FE6631"/>
    <w:rsid w:val="00FE6746"/>
    <w:rsid w:val="00FE67FB"/>
    <w:rsid w:val="00FE68C4"/>
    <w:rsid w:val="00FE6D9F"/>
    <w:rsid w:val="00FE6FB6"/>
    <w:rsid w:val="00FE702D"/>
    <w:rsid w:val="00FE7273"/>
    <w:rsid w:val="00FE740F"/>
    <w:rsid w:val="00FE79F7"/>
    <w:rsid w:val="00FE7CAE"/>
    <w:rsid w:val="00FE7EE9"/>
    <w:rsid w:val="00FF02A3"/>
    <w:rsid w:val="00FF08EB"/>
    <w:rsid w:val="00FF0B31"/>
    <w:rsid w:val="00FF0B3A"/>
    <w:rsid w:val="00FF0CF7"/>
    <w:rsid w:val="00FF0FC8"/>
    <w:rsid w:val="00FF1042"/>
    <w:rsid w:val="00FF1290"/>
    <w:rsid w:val="00FF175B"/>
    <w:rsid w:val="00FF1974"/>
    <w:rsid w:val="00FF1D47"/>
    <w:rsid w:val="00FF1D8F"/>
    <w:rsid w:val="00FF2035"/>
    <w:rsid w:val="00FF2047"/>
    <w:rsid w:val="00FF2293"/>
    <w:rsid w:val="00FF2550"/>
    <w:rsid w:val="00FF2CED"/>
    <w:rsid w:val="00FF2D71"/>
    <w:rsid w:val="00FF2F04"/>
    <w:rsid w:val="00FF3021"/>
    <w:rsid w:val="00FF31CA"/>
    <w:rsid w:val="00FF321A"/>
    <w:rsid w:val="00FF327D"/>
    <w:rsid w:val="00FF34C7"/>
    <w:rsid w:val="00FF3521"/>
    <w:rsid w:val="00FF3592"/>
    <w:rsid w:val="00FF3CCE"/>
    <w:rsid w:val="00FF3D49"/>
    <w:rsid w:val="00FF3F9C"/>
    <w:rsid w:val="00FF419F"/>
    <w:rsid w:val="00FF4351"/>
    <w:rsid w:val="00FF43C2"/>
    <w:rsid w:val="00FF4A93"/>
    <w:rsid w:val="00FF5299"/>
    <w:rsid w:val="00FF541C"/>
    <w:rsid w:val="00FF5589"/>
    <w:rsid w:val="00FF56A7"/>
    <w:rsid w:val="00FF58D9"/>
    <w:rsid w:val="00FF5B64"/>
    <w:rsid w:val="00FF5C61"/>
    <w:rsid w:val="00FF5C8E"/>
    <w:rsid w:val="00FF5CAB"/>
    <w:rsid w:val="00FF5DCB"/>
    <w:rsid w:val="00FF610D"/>
    <w:rsid w:val="00FF64AB"/>
    <w:rsid w:val="00FF672E"/>
    <w:rsid w:val="00FF6C3E"/>
    <w:rsid w:val="00FF6F8B"/>
    <w:rsid w:val="00FF700E"/>
    <w:rsid w:val="00FF74D7"/>
    <w:rsid w:val="00FF78AC"/>
    <w:rsid w:val="00FF78C3"/>
    <w:rsid w:val="00FF7D13"/>
    <w:rsid w:val="00FF7F55"/>
    <w:rsid w:val="010B273A"/>
    <w:rsid w:val="012FC952"/>
    <w:rsid w:val="015FD303"/>
    <w:rsid w:val="01A7BDEC"/>
    <w:rsid w:val="027C38F2"/>
    <w:rsid w:val="02E3EB0F"/>
    <w:rsid w:val="035681E0"/>
    <w:rsid w:val="03CB1C85"/>
    <w:rsid w:val="047902EA"/>
    <w:rsid w:val="049DA58D"/>
    <w:rsid w:val="04E28268"/>
    <w:rsid w:val="05A9D0FC"/>
    <w:rsid w:val="06FE4B69"/>
    <w:rsid w:val="0728482B"/>
    <w:rsid w:val="07A244C1"/>
    <w:rsid w:val="07E7712D"/>
    <w:rsid w:val="08035A26"/>
    <w:rsid w:val="08D6EA7B"/>
    <w:rsid w:val="08E22DA8"/>
    <w:rsid w:val="0960760C"/>
    <w:rsid w:val="0BB349E5"/>
    <w:rsid w:val="0C8F65E1"/>
    <w:rsid w:val="0CC4DE4E"/>
    <w:rsid w:val="0D532AB7"/>
    <w:rsid w:val="0D707A27"/>
    <w:rsid w:val="0DBF4DCF"/>
    <w:rsid w:val="0E6CBDA4"/>
    <w:rsid w:val="0E9694AE"/>
    <w:rsid w:val="0ED669F4"/>
    <w:rsid w:val="0EDFA778"/>
    <w:rsid w:val="0F371306"/>
    <w:rsid w:val="10617A93"/>
    <w:rsid w:val="109BD972"/>
    <w:rsid w:val="11548E01"/>
    <w:rsid w:val="1179841A"/>
    <w:rsid w:val="1214A9D2"/>
    <w:rsid w:val="12452978"/>
    <w:rsid w:val="136FC323"/>
    <w:rsid w:val="14111897"/>
    <w:rsid w:val="14564172"/>
    <w:rsid w:val="14B7A93C"/>
    <w:rsid w:val="1575CAD7"/>
    <w:rsid w:val="15905FAA"/>
    <w:rsid w:val="15958F4D"/>
    <w:rsid w:val="15B662B3"/>
    <w:rsid w:val="1701C198"/>
    <w:rsid w:val="170B671D"/>
    <w:rsid w:val="1736A4ED"/>
    <w:rsid w:val="17807210"/>
    <w:rsid w:val="17D0559D"/>
    <w:rsid w:val="1848A737"/>
    <w:rsid w:val="18C8DF72"/>
    <w:rsid w:val="1951B3EE"/>
    <w:rsid w:val="1951C93A"/>
    <w:rsid w:val="196FEC27"/>
    <w:rsid w:val="19A39685"/>
    <w:rsid w:val="19CCAA70"/>
    <w:rsid w:val="1A53792D"/>
    <w:rsid w:val="1A683154"/>
    <w:rsid w:val="1AE4ACE0"/>
    <w:rsid w:val="1B54A62B"/>
    <w:rsid w:val="1BF13602"/>
    <w:rsid w:val="1D29B48D"/>
    <w:rsid w:val="1DB41D1D"/>
    <w:rsid w:val="1F89853E"/>
    <w:rsid w:val="1F932D0B"/>
    <w:rsid w:val="21138B61"/>
    <w:rsid w:val="2305AD68"/>
    <w:rsid w:val="2387151B"/>
    <w:rsid w:val="2411B344"/>
    <w:rsid w:val="241848E1"/>
    <w:rsid w:val="247BDB0E"/>
    <w:rsid w:val="24C92AEE"/>
    <w:rsid w:val="24D91FE4"/>
    <w:rsid w:val="25569CB0"/>
    <w:rsid w:val="25C23BEB"/>
    <w:rsid w:val="25C804EC"/>
    <w:rsid w:val="25DFC079"/>
    <w:rsid w:val="2790DFD7"/>
    <w:rsid w:val="29CF6B57"/>
    <w:rsid w:val="29E5E0CA"/>
    <w:rsid w:val="2A08687D"/>
    <w:rsid w:val="2A99C6AA"/>
    <w:rsid w:val="2AB45A2D"/>
    <w:rsid w:val="2B59A377"/>
    <w:rsid w:val="2B727B0E"/>
    <w:rsid w:val="2C1C00B7"/>
    <w:rsid w:val="2C2C800F"/>
    <w:rsid w:val="2D897080"/>
    <w:rsid w:val="2EB2B6FE"/>
    <w:rsid w:val="2EC82C60"/>
    <w:rsid w:val="2FAA304B"/>
    <w:rsid w:val="301B8592"/>
    <w:rsid w:val="3032BEB0"/>
    <w:rsid w:val="303F0C06"/>
    <w:rsid w:val="305B1F75"/>
    <w:rsid w:val="30CB089F"/>
    <w:rsid w:val="3126A9E7"/>
    <w:rsid w:val="31B64739"/>
    <w:rsid w:val="31BD9F88"/>
    <w:rsid w:val="32573892"/>
    <w:rsid w:val="326CC69A"/>
    <w:rsid w:val="331AC98E"/>
    <w:rsid w:val="332F49DA"/>
    <w:rsid w:val="33C4B756"/>
    <w:rsid w:val="33D0522D"/>
    <w:rsid w:val="345D2FAB"/>
    <w:rsid w:val="34640F2A"/>
    <w:rsid w:val="34E91DE3"/>
    <w:rsid w:val="35080E44"/>
    <w:rsid w:val="356CE399"/>
    <w:rsid w:val="35EF6E56"/>
    <w:rsid w:val="360227D5"/>
    <w:rsid w:val="38CF223F"/>
    <w:rsid w:val="393C70EA"/>
    <w:rsid w:val="39D4F5B5"/>
    <w:rsid w:val="3B9911B0"/>
    <w:rsid w:val="3C4167EA"/>
    <w:rsid w:val="3C6DCE7C"/>
    <w:rsid w:val="3C997E96"/>
    <w:rsid w:val="3CA54462"/>
    <w:rsid w:val="3CE763E8"/>
    <w:rsid w:val="3D12F37C"/>
    <w:rsid w:val="3D3F0CDA"/>
    <w:rsid w:val="3D68C0F9"/>
    <w:rsid w:val="3D992F02"/>
    <w:rsid w:val="3DAEFDD9"/>
    <w:rsid w:val="3DE7B62F"/>
    <w:rsid w:val="3E6EF0B3"/>
    <w:rsid w:val="3E705632"/>
    <w:rsid w:val="3ED41F5B"/>
    <w:rsid w:val="3F75135E"/>
    <w:rsid w:val="40208191"/>
    <w:rsid w:val="40A64774"/>
    <w:rsid w:val="41146694"/>
    <w:rsid w:val="418380B3"/>
    <w:rsid w:val="419B0CCF"/>
    <w:rsid w:val="41F01421"/>
    <w:rsid w:val="423EE586"/>
    <w:rsid w:val="4278F933"/>
    <w:rsid w:val="42DE5BF3"/>
    <w:rsid w:val="4368209B"/>
    <w:rsid w:val="43BF209F"/>
    <w:rsid w:val="43F427BF"/>
    <w:rsid w:val="45040244"/>
    <w:rsid w:val="4520234D"/>
    <w:rsid w:val="45D60F73"/>
    <w:rsid w:val="461775CF"/>
    <w:rsid w:val="4626001C"/>
    <w:rsid w:val="4687B62D"/>
    <w:rsid w:val="46E369E1"/>
    <w:rsid w:val="46EAF368"/>
    <w:rsid w:val="4702CAAF"/>
    <w:rsid w:val="470C4196"/>
    <w:rsid w:val="4713C249"/>
    <w:rsid w:val="475949F8"/>
    <w:rsid w:val="4769ADB8"/>
    <w:rsid w:val="47E4EBF4"/>
    <w:rsid w:val="47F6091D"/>
    <w:rsid w:val="483056C5"/>
    <w:rsid w:val="48B00757"/>
    <w:rsid w:val="4970B5CA"/>
    <w:rsid w:val="49CE26D5"/>
    <w:rsid w:val="4BFDB79E"/>
    <w:rsid w:val="4D4C2139"/>
    <w:rsid w:val="4E21D7E3"/>
    <w:rsid w:val="4E30AC6B"/>
    <w:rsid w:val="4ECB9E67"/>
    <w:rsid w:val="4F6C1B7A"/>
    <w:rsid w:val="4F71B212"/>
    <w:rsid w:val="4F7DB5E0"/>
    <w:rsid w:val="4FF15489"/>
    <w:rsid w:val="50DBB954"/>
    <w:rsid w:val="5156E011"/>
    <w:rsid w:val="51806DC7"/>
    <w:rsid w:val="51AFEF77"/>
    <w:rsid w:val="51C4D095"/>
    <w:rsid w:val="52417040"/>
    <w:rsid w:val="545C7900"/>
    <w:rsid w:val="5477BB06"/>
    <w:rsid w:val="565AE349"/>
    <w:rsid w:val="575E7FF1"/>
    <w:rsid w:val="580A5679"/>
    <w:rsid w:val="58281EE6"/>
    <w:rsid w:val="5852F78C"/>
    <w:rsid w:val="5884CF57"/>
    <w:rsid w:val="58ABB78B"/>
    <w:rsid w:val="5967FF21"/>
    <w:rsid w:val="5987B325"/>
    <w:rsid w:val="599EEB93"/>
    <w:rsid w:val="59F1E0F3"/>
    <w:rsid w:val="5A07D365"/>
    <w:rsid w:val="5A25AA26"/>
    <w:rsid w:val="5AD61AB0"/>
    <w:rsid w:val="5B217E09"/>
    <w:rsid w:val="5B476B20"/>
    <w:rsid w:val="5BA9E06D"/>
    <w:rsid w:val="5BAC509E"/>
    <w:rsid w:val="5BC43B26"/>
    <w:rsid w:val="5C9A47DF"/>
    <w:rsid w:val="5EBD05FF"/>
    <w:rsid w:val="5EEE9212"/>
    <w:rsid w:val="603F859A"/>
    <w:rsid w:val="60496F28"/>
    <w:rsid w:val="6098F9AC"/>
    <w:rsid w:val="60E9BD29"/>
    <w:rsid w:val="61539A7D"/>
    <w:rsid w:val="61DBB0AE"/>
    <w:rsid w:val="61FEED78"/>
    <w:rsid w:val="62640996"/>
    <w:rsid w:val="63FFAF1D"/>
    <w:rsid w:val="64364391"/>
    <w:rsid w:val="6436642C"/>
    <w:rsid w:val="644543AE"/>
    <w:rsid w:val="64BE987F"/>
    <w:rsid w:val="6506BAF5"/>
    <w:rsid w:val="65B9FE02"/>
    <w:rsid w:val="660785A5"/>
    <w:rsid w:val="66928B4F"/>
    <w:rsid w:val="67888C7D"/>
    <w:rsid w:val="67CF10F5"/>
    <w:rsid w:val="68107945"/>
    <w:rsid w:val="690AF214"/>
    <w:rsid w:val="691939C7"/>
    <w:rsid w:val="6964E34C"/>
    <w:rsid w:val="69AC0C1E"/>
    <w:rsid w:val="69D13436"/>
    <w:rsid w:val="69F2DC2E"/>
    <w:rsid w:val="6ADC9FFF"/>
    <w:rsid w:val="6BDE5B57"/>
    <w:rsid w:val="6C63B885"/>
    <w:rsid w:val="6C7941AA"/>
    <w:rsid w:val="6D768A9B"/>
    <w:rsid w:val="6E1E5491"/>
    <w:rsid w:val="6E345B41"/>
    <w:rsid w:val="6E620073"/>
    <w:rsid w:val="6EEB7AFD"/>
    <w:rsid w:val="6F0830AF"/>
    <w:rsid w:val="6FA635EE"/>
    <w:rsid w:val="6FBF7955"/>
    <w:rsid w:val="6FE420A1"/>
    <w:rsid w:val="6FF6EAA4"/>
    <w:rsid w:val="7048BEF7"/>
    <w:rsid w:val="70C52D1B"/>
    <w:rsid w:val="7106BA7E"/>
    <w:rsid w:val="710C6695"/>
    <w:rsid w:val="71F02725"/>
    <w:rsid w:val="7285D60C"/>
    <w:rsid w:val="72ABA9B4"/>
    <w:rsid w:val="73DC2FF2"/>
    <w:rsid w:val="74281675"/>
    <w:rsid w:val="751055A3"/>
    <w:rsid w:val="756A14C2"/>
    <w:rsid w:val="7656E6A9"/>
    <w:rsid w:val="76B563C9"/>
    <w:rsid w:val="77E72363"/>
    <w:rsid w:val="77F990AC"/>
    <w:rsid w:val="7831E905"/>
    <w:rsid w:val="790DAC59"/>
    <w:rsid w:val="7A4F7AFF"/>
    <w:rsid w:val="7A8B1A24"/>
    <w:rsid w:val="7AF0453D"/>
    <w:rsid w:val="7B762758"/>
    <w:rsid w:val="7BD67786"/>
    <w:rsid w:val="7C56BB4F"/>
    <w:rsid w:val="7C831FB7"/>
    <w:rsid w:val="7CD7184B"/>
    <w:rsid w:val="7DDEEBEE"/>
    <w:rsid w:val="7DDF10A3"/>
    <w:rsid w:val="7DE61942"/>
    <w:rsid w:val="7E569BB6"/>
    <w:rsid w:val="7F52E214"/>
    <w:rsid w:val="7FA96E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F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iPriority="0" w:unhideWhenUsed="1"/>
    <w:lsdException w:name="annotation text" w:semiHidden="1" w:unhideWhenUsed="1" w:qFormat="1"/>
    <w:lsdException w:name="header" w:semiHidden="1" w:unhideWhenUsed="1" w:qFormat="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nhideWhenUsed="1" w:qFormat="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unhideWhenUsed="1"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0"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1" w:qFormat="1"/>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59"/>
    <w:pPr>
      <w:spacing w:before="120" w:line="240" w:lineRule="auto"/>
      <w:jc w:val="both"/>
    </w:pPr>
    <w:rPr>
      <w:sz w:val="24"/>
    </w:rPr>
  </w:style>
  <w:style w:type="paragraph" w:styleId="Heading1">
    <w:name w:val="heading 1"/>
    <w:next w:val="MSACESParagraph"/>
    <w:link w:val="Heading1Char"/>
    <w:qFormat/>
    <w:rsid w:val="005C2085"/>
    <w:pPr>
      <w:keepNext/>
      <w:keepLines/>
      <w:numPr>
        <w:numId w:val="2"/>
      </w:numPr>
      <w:spacing w:before="400" w:after="120"/>
      <w:outlineLvl w:val="0"/>
    </w:pPr>
    <w:rPr>
      <w:rFonts w:eastAsiaTheme="majorEastAsia" w:cstheme="majorBidi"/>
      <w:b/>
      <w:sz w:val="32"/>
      <w:szCs w:val="28"/>
    </w:rPr>
  </w:style>
  <w:style w:type="paragraph" w:styleId="Heading2">
    <w:name w:val="heading 2"/>
    <w:aliases w:val="Subsection Headings"/>
    <w:basedOn w:val="Normal"/>
    <w:next w:val="Normal"/>
    <w:link w:val="Heading2Char"/>
    <w:qFormat/>
    <w:rsid w:val="004A5746"/>
    <w:pPr>
      <w:keepNext/>
      <w:keepLines/>
      <w:numPr>
        <w:ilvl w:val="3"/>
        <w:numId w:val="2"/>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qFormat/>
    <w:rsid w:val="0034102C"/>
    <w:pPr>
      <w:keepNext/>
      <w:keepLines/>
      <w:numPr>
        <w:ilvl w:val="5"/>
        <w:numId w:val="2"/>
      </w:numPr>
      <w:tabs>
        <w:tab w:val="left" w:pos="1134"/>
      </w:tabs>
      <w:spacing w:after="120"/>
      <w:ind w:left="1134" w:hanging="1134"/>
      <w:outlineLvl w:val="2"/>
    </w:pPr>
    <w:rPr>
      <w:rFonts w:eastAsiaTheme="majorEastAsia" w:cstheme="majorBidi"/>
      <w:b/>
      <w:sz w:val="28"/>
      <w:szCs w:val="28"/>
    </w:rPr>
  </w:style>
  <w:style w:type="paragraph" w:styleId="Heading4">
    <w:name w:val="heading 4"/>
    <w:basedOn w:val="Heading1"/>
    <w:next w:val="Normal"/>
    <w:link w:val="Heading4Char"/>
    <w:qFormat/>
    <w:rsid w:val="007C72F2"/>
    <w:pPr>
      <w:numPr>
        <w:ilvl w:val="6"/>
      </w:numPr>
      <w:spacing w:before="240" w:after="0"/>
      <w:ind w:left="1134" w:hanging="1134"/>
      <w:outlineLvl w:val="3"/>
    </w:pPr>
    <w:rPr>
      <w:color w:val="000000" w:themeColor="text1"/>
      <w:sz w:val="24"/>
    </w:rPr>
  </w:style>
  <w:style w:type="paragraph" w:styleId="Heading5">
    <w:name w:val="heading 5"/>
    <w:basedOn w:val="Heading2"/>
    <w:next w:val="Normal"/>
    <w:link w:val="Heading5Char"/>
    <w:qFormat/>
    <w:rsid w:val="003B095E"/>
    <w:pPr>
      <w:numPr>
        <w:ilvl w:val="0"/>
        <w:numId w:val="0"/>
      </w:numPr>
      <w:outlineLvl w:val="4"/>
    </w:pPr>
  </w:style>
  <w:style w:type="paragraph" w:styleId="Heading6">
    <w:name w:val="heading 6"/>
    <w:aliases w:val="Heading 3 - Body"/>
    <w:basedOn w:val="Heading3"/>
    <w:next w:val="Normal"/>
    <w:link w:val="Heading6Char"/>
    <w:qFormat/>
    <w:rsid w:val="00624315"/>
    <w:pPr>
      <w:outlineLvl w:val="5"/>
    </w:pPr>
    <w:rPr>
      <w:sz w:val="24"/>
    </w:rPr>
  </w:style>
  <w:style w:type="paragraph" w:styleId="Heading7">
    <w:name w:val="heading 7"/>
    <w:basedOn w:val="Heading1"/>
    <w:next w:val="Normal"/>
    <w:link w:val="Heading7Char"/>
    <w:qFormat/>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qFormat/>
    <w:rsid w:val="002B5D74"/>
    <w:pPr>
      <w:keepNext/>
      <w:keepLines/>
      <w:numPr>
        <w:ilvl w:val="7"/>
        <w:numId w:val="2"/>
      </w:numPr>
      <w:spacing w:before="40" w:after="0"/>
      <w:ind w:left="1800" w:hanging="180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qFormat/>
    <w:rsid w:val="002A4503"/>
    <w:pPr>
      <w:numPr>
        <w:ilvl w:val="8"/>
      </w:numPr>
      <w:ind w:left="1800" w:hanging="1800"/>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C83"/>
    <w:rPr>
      <w:rFonts w:eastAsiaTheme="majorEastAsia" w:cstheme="majorBidi"/>
      <w:b/>
      <w:sz w:val="32"/>
      <w:szCs w:val="28"/>
    </w:rPr>
  </w:style>
  <w:style w:type="character" w:customStyle="1" w:styleId="Heading2Char">
    <w:name w:val="Heading 2 Char"/>
    <w:aliases w:val="Subsection Headings Char"/>
    <w:basedOn w:val="DefaultParagraphFont"/>
    <w:link w:val="Heading2"/>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rsid w:val="0034102C"/>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Figure_name,Numbered Indented Text,Bullet- First level,List NUmber,Listenabsatz1,lp"/>
    <w:basedOn w:val="Normal"/>
    <w:link w:val="ListParagraphChar"/>
    <w:uiPriority w:val="34"/>
    <w:qFormat/>
    <w:rsid w:val="004908B7"/>
    <w:pPr>
      <w:numPr>
        <w:numId w:val="24"/>
      </w:numPr>
    </w:pPr>
    <w:rPr>
      <w:color w:val="000000" w:themeColor="text1"/>
    </w:rPr>
  </w:style>
  <w:style w:type="paragraph" w:styleId="BalloonText">
    <w:name w:val="Balloon Text"/>
    <w:basedOn w:val="Normal"/>
    <w:link w:val="BalloonTextChar"/>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rsid w:val="007C72F2"/>
    <w:rPr>
      <w:rFonts w:eastAsiaTheme="majorEastAsia" w:cstheme="majorBidi"/>
      <w:b/>
      <w:color w:val="000000" w:themeColor="text1"/>
      <w:sz w:val="24"/>
      <w:szCs w:val="28"/>
    </w:rPr>
  </w:style>
  <w:style w:type="character" w:customStyle="1" w:styleId="Heading5Char">
    <w:name w:val="Heading 5 Char"/>
    <w:basedOn w:val="DefaultParagraphFont"/>
    <w:link w:val="Heading5"/>
    <w:uiPriority w:val="10"/>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rsid w:val="00481549"/>
    <w:rPr>
      <w:rFonts w:eastAsiaTheme="majorEastAsia" w:cstheme="majorBidi"/>
      <w:b/>
      <w:sz w:val="24"/>
      <w:szCs w:val="28"/>
    </w:rPr>
  </w:style>
  <w:style w:type="character" w:customStyle="1" w:styleId="Heading7Char">
    <w:name w:val="Heading 7 Char"/>
    <w:basedOn w:val="DefaultParagraphFont"/>
    <w:link w:val="Heading7"/>
    <w:rsid w:val="00481549"/>
    <w:rPr>
      <w:rFonts w:eastAsiaTheme="majorEastAsia" w:cstheme="majorBidi"/>
      <w:b/>
      <w:i/>
      <w:sz w:val="24"/>
      <w:szCs w:val="24"/>
    </w:rPr>
  </w:style>
  <w:style w:type="character" w:customStyle="1" w:styleId="Heading8Char">
    <w:name w:val="Heading 8 Char"/>
    <w:basedOn w:val="DefaultParagraphFont"/>
    <w:link w:val="Heading8"/>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rsid w:val="00645AB3"/>
    <w:rPr>
      <w:rFonts w:eastAsiaTheme="majorEastAsia" w:cstheme="majorBidi"/>
      <w:b/>
      <w:sz w:val="36"/>
      <w:szCs w:val="28"/>
    </w:rPr>
  </w:style>
  <w:style w:type="character" w:customStyle="1" w:styleId="BalloonTextChar">
    <w:name w:val="Balloon Text Char"/>
    <w:basedOn w:val="DefaultParagraphFont"/>
    <w:link w:val="BalloonText"/>
    <w:rsid w:val="00F0542E"/>
    <w:rPr>
      <w:rFonts w:ascii="Segoe UI" w:hAnsi="Segoe UI" w:cs="Segoe UI"/>
      <w:sz w:val="18"/>
      <w:szCs w:val="18"/>
    </w:rPr>
  </w:style>
  <w:style w:type="table" w:styleId="TableGrid">
    <w:name w:val="Table Grid"/>
    <w:aliases w:val="Summary box,Table Gridbeth,CMA Table Template,ASD Table,MSD Table Grid,RTI AMCP Table,new style,HealthConsult,Source table_,NICE instructions,Header Table,Dossier table,Section 3- footnotes,Tabellengitternetz 9pt,Table Grid nm,Lash Style Tabl"/>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APTION"/>
    <w:next w:val="Normal"/>
    <w:link w:val="CaptionChar"/>
    <w:autoRedefine/>
    <w:qFormat/>
    <w:rsid w:val="000A0F04"/>
    <w:pPr>
      <w:keepNext/>
      <w:tabs>
        <w:tab w:val="left" w:pos="1276"/>
      </w:tabs>
      <w:spacing w:before="240" w:after="0"/>
      <w:contextualSpacing/>
    </w:pPr>
    <w:rPr>
      <w:rFonts w:ascii="Arial Narrow" w:hAnsi="Arial Narrow"/>
      <w:b/>
      <w:iCs/>
      <w:sz w:val="20"/>
      <w:szCs w:val="18"/>
      <w:lang w:val="en-GB" w:eastAsia="en-AU"/>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aliases w:val="Char"/>
    <w:basedOn w:val="Normal"/>
    <w:link w:val="FootnoteTextChar"/>
    <w:rsid w:val="00BA3306"/>
    <w:pPr>
      <w:spacing w:before="0" w:after="0"/>
    </w:pPr>
    <w:rPr>
      <w:sz w:val="18"/>
      <w:szCs w:val="20"/>
    </w:rPr>
  </w:style>
  <w:style w:type="character" w:customStyle="1" w:styleId="FootnoteTextChar">
    <w:name w:val="Footnote Text Char"/>
    <w:aliases w:val="Char Char"/>
    <w:basedOn w:val="DefaultParagraphFont"/>
    <w:link w:val="FootnoteText"/>
    <w:rsid w:val="00481549"/>
    <w:rPr>
      <w:sz w:val="18"/>
      <w:szCs w:val="20"/>
    </w:rPr>
  </w:style>
  <w:style w:type="character" w:styleId="FootnoteReference">
    <w:name w:val="footnote reference"/>
    <w:basedOn w:val="DefaultParagraphFont"/>
    <w:rsid w:val="00BA3306"/>
    <w:rPr>
      <w:vertAlign w:val="superscript"/>
    </w:rPr>
  </w:style>
  <w:style w:type="character" w:styleId="CommentReference">
    <w:name w:val="annotation reference"/>
    <w:aliases w:val="Table Title,Annotationmark,CommentReferenc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rsid w:val="004E6CFF"/>
    <w:rPr>
      <w:b/>
      <w:bCs/>
      <w:sz w:val="20"/>
      <w:szCs w:val="20"/>
    </w:rPr>
  </w:style>
  <w:style w:type="character" w:customStyle="1" w:styleId="CommentSubjectChar">
    <w:name w:val="Comment Subject Char"/>
    <w:basedOn w:val="DefaultParagraphFont"/>
    <w:link w:val="CommentSubject"/>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rsid w:val="000A0F04"/>
    <w:rPr>
      <w:rFonts w:ascii="Arial Narrow" w:hAnsi="Arial Narrow"/>
      <w:b/>
      <w:iCs/>
      <w:sz w:val="20"/>
      <w:szCs w:val="18"/>
      <w:lang w:val="en-GB" w:eastAsia="en-AU"/>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qFormat/>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0"/>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Figure_name Char,lp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1"/>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0"/>
      </w:numPr>
      <w:tabs>
        <w:tab w:val="left" w:pos="1077"/>
      </w:tabs>
      <w:spacing w:before="240" w:line="240" w:lineRule="auto"/>
      <w:ind w:left="432" w:hanging="432"/>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405140"/>
    <w:pPr>
      <w:numPr>
        <w:ilvl w:val="2"/>
      </w:numPr>
      <w:tabs>
        <w:tab w:val="left" w:pos="1134"/>
      </w:tabs>
      <w:ind w:left="0"/>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405140"/>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MingLiU_HKSCS-ExtB" w:hAnsi="MingLiU_HKSCS-ExtB"/>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MingLiU_HKSCS-ExtB" w:hAnsi="MingLiU_HKSCS-ExtB"/>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MingLiU_HKSCS-ExtB" w:hAnsi="MingLiU_HKSCS-ExtB"/>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6"/>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0"/>
        <w:numId w:val="0"/>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rPr>
      <w:i w:val="0"/>
      <w:smallCaps/>
      <w:sz w:val="32"/>
    </w:rPr>
  </w:style>
  <w:style w:type="paragraph" w:customStyle="1" w:styleId="PBACESHeading3">
    <w:name w:val="PBAC ES Heading 3"/>
    <w:basedOn w:val="PBACESHeading2"/>
    <w:link w:val="PBACESHeading3Char"/>
    <w:uiPriority w:val="1"/>
    <w:qFormat/>
    <w:rsid w:val="00396339"/>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numId w:val="7"/>
      </w:numPr>
      <w:spacing w:after="120"/>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ind w:left="720" w:hanging="720"/>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rsid w:val="001E1827"/>
    <w:pPr>
      <w:numPr>
        <w:numId w:val="0"/>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rsid w:val="001E1827"/>
    <w:pPr>
      <w:numPr>
        <w:ilvl w:val="0"/>
        <w:numId w:val="0"/>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3"/>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4"/>
      </w:numPr>
    </w:pPr>
  </w:style>
  <w:style w:type="paragraph" w:customStyle="1" w:styleId="MainBodyBulletPoint">
    <w:name w:val="MainBody Bullet Point"/>
    <w:basedOn w:val="InstructionBulletpoint"/>
    <w:link w:val="MainBodyBulletPointChar"/>
    <w:uiPriority w:val="1"/>
    <w:qFormat/>
    <w:rsid w:val="002532B4"/>
    <w:pPr>
      <w:numPr>
        <w:numId w:val="5"/>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8"/>
      </w:numPr>
    </w:pPr>
  </w:style>
  <w:style w:type="numbering" w:customStyle="1" w:styleId="Style2">
    <w:name w:val="Style2"/>
    <w:uiPriority w:val="99"/>
    <w:rsid w:val="002A391F"/>
    <w:pPr>
      <w:numPr>
        <w:numId w:val="9"/>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 Car17, Car17 Car, Char Char Char, Char Char1,Annotationtext,Cha,Char Char Char,Char Char1,Comment Text Char Char,Comment Text Char Char Char,Comment Text Char Char1 Char,Comment Text Char1 Char,Car17,Car17 Car,- H19"/>
    <w:basedOn w:val="Normal"/>
    <w:link w:val="CommentTextChar"/>
    <w:uiPriority w:val="99"/>
    <w:unhideWhenUsed/>
    <w:qFormat/>
    <w:rsid w:val="001952BB"/>
    <w:rPr>
      <w:sz w:val="20"/>
      <w:szCs w:val="20"/>
    </w:rPr>
  </w:style>
  <w:style w:type="character" w:customStyle="1" w:styleId="CommentTextChar">
    <w:name w:val="Comment Text Char"/>
    <w:aliases w:val=" Car17 Char, Car17 Car Char, Char Char Char Char, Char Char1 Char,Annotationtext Char,Cha Char,Char Char Char Char,Char Char1 Char,Comment Text Char Char Char1,Comment Text Char Char Char Char,Comment Text Char Char1 Char Char"/>
    <w:basedOn w:val="DefaultParagraphFont"/>
    <w:link w:val="CommentText"/>
    <w:uiPriority w:val="99"/>
    <w:qFormat/>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rsid w:val="008A41CD"/>
    <w:pPr>
      <w:spacing w:before="360"/>
    </w:pPr>
  </w:style>
  <w:style w:type="paragraph" w:customStyle="1" w:styleId="Instructionaltext-bullet">
    <w:name w:val="Instructional text - bullet"/>
    <w:basedOn w:val="Instructionaltext0"/>
    <w:rsid w:val="00FD07C6"/>
    <w:pPr>
      <w:numPr>
        <w:numId w:val="11"/>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3"/>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EF6F47"/>
    <w:pPr>
      <w:keepNext/>
      <w:spacing w:after="0" w:line="240" w:lineRule="auto"/>
      <w:ind w:left="993" w:hanging="993"/>
    </w:pPr>
    <w:rPr>
      <w:rFonts w:ascii="Arial Narrow" w:eastAsiaTheme="majorEastAsia" w:hAnsi="Arial Narrow" w:cstheme="majorBidi"/>
      <w:b/>
      <w:bCs/>
      <w:sz w:val="20"/>
      <w:szCs w:val="24"/>
      <w:lang w:val="en-GB" w:eastAsia="en-AU"/>
    </w:rPr>
  </w:style>
  <w:style w:type="character" w:customStyle="1" w:styleId="TableFigureHeadingChar">
    <w:name w:val="Table/Figure Heading Char"/>
    <w:basedOn w:val="DefaultParagraphFont"/>
    <w:link w:val="TableFigureHeading"/>
    <w:rsid w:val="00EF6F47"/>
    <w:rPr>
      <w:rFonts w:ascii="Arial Narrow" w:eastAsiaTheme="majorEastAsia" w:hAnsi="Arial Narrow" w:cstheme="majorBidi"/>
      <w:b/>
      <w:bCs/>
      <w:sz w:val="20"/>
      <w:szCs w:val="24"/>
      <w:lang w:val="en-GB"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numId w:val="14"/>
      </w:numPr>
      <w:spacing w:before="0" w:after="120"/>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spacing w:before="0" w:after="1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nhideWhenUsed/>
    <w:qFormat/>
    <w:rsid w:val="009E2636"/>
    <w:pPr>
      <w:spacing w:after="120"/>
    </w:pPr>
  </w:style>
  <w:style w:type="character" w:customStyle="1" w:styleId="BodyTextChar">
    <w:name w:val="Body Text Char"/>
    <w:basedOn w:val="DefaultParagraphFont"/>
    <w:link w:val="BodyText"/>
    <w:rsid w:val="009E2636"/>
    <w:rPr>
      <w:sz w:val="24"/>
    </w:rPr>
  </w:style>
  <w:style w:type="paragraph" w:customStyle="1" w:styleId="4-SubsectionHeading">
    <w:name w:val="4-Subsection Heading"/>
    <w:basedOn w:val="Heading2"/>
    <w:next w:val="3-BodyText"/>
    <w:link w:val="4-SubsectionHeadingChar"/>
    <w:qFormat/>
    <w:rsid w:val="00C15EDC"/>
    <w:pPr>
      <w:keepLines w:val="0"/>
      <w:numPr>
        <w:ilvl w:val="0"/>
        <w:numId w:val="0"/>
      </w:numPr>
      <w:spacing w:before="12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character" w:styleId="UnresolvedMention">
    <w:name w:val="Unresolved Mention"/>
    <w:basedOn w:val="DefaultParagraphFont"/>
    <w:uiPriority w:val="99"/>
    <w:unhideWhenUsed/>
    <w:rsid w:val="007C5313"/>
    <w:rPr>
      <w:color w:val="605E5C"/>
      <w:shd w:val="clear" w:color="auto" w:fill="E1DFDD"/>
    </w:rPr>
  </w:style>
  <w:style w:type="paragraph" w:customStyle="1" w:styleId="ExecSumBodyText">
    <w:name w:val="Exec Sum Body Text"/>
    <w:basedOn w:val="Normal"/>
    <w:link w:val="ExecSumBodyTextChar"/>
    <w:uiPriority w:val="99"/>
    <w:rsid w:val="000E0CF4"/>
    <w:pPr>
      <w:spacing w:before="0" w:after="120"/>
      <w:ind w:left="720" w:hanging="720"/>
    </w:pPr>
    <w:rPr>
      <w:rFonts w:eastAsia="Times New Roman" w:cs="Arial"/>
      <w:snapToGrid w:val="0"/>
      <w:szCs w:val="24"/>
      <w:lang w:eastAsia="en-AU"/>
    </w:rPr>
  </w:style>
  <w:style w:type="character" w:customStyle="1" w:styleId="ExecSumBodyTextChar">
    <w:name w:val="Exec Sum Body Text Char"/>
    <w:basedOn w:val="DefaultParagraphFont"/>
    <w:link w:val="ExecSumBodyText"/>
    <w:uiPriority w:val="99"/>
    <w:rsid w:val="000E0CF4"/>
    <w:rPr>
      <w:rFonts w:eastAsia="Times New Roman" w:cs="Arial"/>
      <w:snapToGrid w:val="0"/>
      <w:sz w:val="24"/>
      <w:szCs w:val="24"/>
      <w:lang w:eastAsia="en-AU"/>
    </w:rPr>
  </w:style>
  <w:style w:type="paragraph" w:customStyle="1" w:styleId="EndNoteBibliographyTitle">
    <w:name w:val="EndNote Bibliography Title"/>
    <w:basedOn w:val="Normal"/>
    <w:link w:val="EndNoteBibliographyTitleChar"/>
    <w:rsid w:val="00F828A7"/>
    <w:pPr>
      <w:spacing w:after="0"/>
      <w:jc w:val="center"/>
    </w:pPr>
    <w:rPr>
      <w:rFonts w:ascii="Calibri" w:hAnsi="Calibri" w:cs="Calibri"/>
      <w:noProof/>
      <w:lang w:val="en-US"/>
    </w:rPr>
  </w:style>
  <w:style w:type="character" w:customStyle="1" w:styleId="EndNoteBibliographyTitleChar">
    <w:name w:val="EndNote Bibliography Title Char"/>
    <w:basedOn w:val="InstructionBulletpointChar"/>
    <w:link w:val="EndNoteBibliographyTitle"/>
    <w:rsid w:val="00F828A7"/>
    <w:rPr>
      <w:rFonts w:ascii="Calibri" w:hAnsi="Calibri" w:cs="Calibri"/>
      <w:noProof/>
      <w:color w:val="3366FF"/>
      <w:sz w:val="24"/>
      <w:lang w:val="en-US"/>
    </w:rPr>
  </w:style>
  <w:style w:type="paragraph" w:customStyle="1" w:styleId="EndNoteBibliography">
    <w:name w:val="EndNote Bibliography"/>
    <w:basedOn w:val="Normal"/>
    <w:link w:val="EndNoteBibliographyChar"/>
    <w:rsid w:val="00F828A7"/>
    <w:pPr>
      <w:jc w:val="left"/>
    </w:pPr>
    <w:rPr>
      <w:rFonts w:ascii="Calibri" w:hAnsi="Calibri" w:cs="Calibri"/>
      <w:noProof/>
      <w:lang w:val="en-US"/>
    </w:rPr>
  </w:style>
  <w:style w:type="character" w:customStyle="1" w:styleId="EndNoteBibliographyChar">
    <w:name w:val="EndNote Bibliography Char"/>
    <w:basedOn w:val="InstructionBulletpointChar"/>
    <w:link w:val="EndNoteBibliography"/>
    <w:rsid w:val="00F828A7"/>
    <w:rPr>
      <w:rFonts w:ascii="Calibri" w:hAnsi="Calibri" w:cs="Calibri"/>
      <w:noProof/>
      <w:color w:val="3366FF"/>
      <w:sz w:val="24"/>
      <w:lang w:val="en-US"/>
    </w:rPr>
  </w:style>
  <w:style w:type="character" w:customStyle="1" w:styleId="SmallItalics">
    <w:name w:val="Small Italics"/>
    <w:basedOn w:val="DefaultParagraphFont"/>
    <w:uiPriority w:val="4"/>
    <w:qFormat/>
    <w:rsid w:val="00B32B6C"/>
    <w:rPr>
      <w:rFonts w:ascii="Calibri" w:hAnsi="Calibri"/>
      <w:i/>
      <w:sz w:val="20"/>
    </w:rPr>
  </w:style>
  <w:style w:type="character" w:styleId="SubtleReference">
    <w:name w:val="Subtle Reference"/>
    <w:basedOn w:val="DefaultParagraphFont"/>
    <w:uiPriority w:val="31"/>
    <w:qFormat/>
    <w:rsid w:val="00B32B6C"/>
    <w:rPr>
      <w:smallCaps/>
    </w:rPr>
  </w:style>
  <w:style w:type="table" w:customStyle="1" w:styleId="Submissionstandard">
    <w:name w:val="Submission standard"/>
    <w:basedOn w:val="TableNormal"/>
    <w:uiPriority w:val="99"/>
    <w:qFormat/>
    <w:rsid w:val="00B32B6C"/>
    <w:pPr>
      <w:spacing w:after="0" w:line="240" w:lineRule="auto"/>
    </w:pPr>
    <w:rPr>
      <w:rFonts w:ascii="Arial Narrow" w:eastAsiaTheme="majorEastAsia" w:hAnsi="Arial Narrow" w:cstheme="majorBidi"/>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Franklin Gothic Book" w:hAnsi="Franklin Gothic Book"/>
        <w:b/>
        <w:sz w:val="20"/>
      </w:rPr>
      <w:tblPr/>
      <w:tcPr>
        <w:shd w:val="clear" w:color="auto" w:fill="BFBFBF" w:themeFill="background1" w:themeFillShade="BF"/>
      </w:tcPr>
    </w:tblStylePr>
  </w:style>
  <w:style w:type="paragraph" w:customStyle="1" w:styleId="TableFootnotesAbbreviations">
    <w:name w:val="Table Footnotes/Abbreviations"/>
    <w:basedOn w:val="BodyText"/>
    <w:link w:val="TableFootnotesAbbreviationsChar"/>
    <w:qFormat/>
    <w:rsid w:val="00B32B6C"/>
    <w:pPr>
      <w:spacing w:before="60" w:after="0"/>
      <w:jc w:val="left"/>
    </w:pPr>
    <w:rPr>
      <w:rFonts w:ascii="Calibri Light" w:eastAsia="Times New Roman" w:hAnsi="Calibri Light" w:cs="Times New Roman"/>
      <w:sz w:val="18"/>
      <w:szCs w:val="20"/>
      <w:lang w:val="en-US"/>
    </w:rPr>
  </w:style>
  <w:style w:type="character" w:customStyle="1" w:styleId="TableFootnotesAbbreviationsChar">
    <w:name w:val="Table Footnotes/Abbreviations Char"/>
    <w:basedOn w:val="BodyTextChar"/>
    <w:link w:val="TableFootnotesAbbreviations"/>
    <w:rsid w:val="00B32B6C"/>
    <w:rPr>
      <w:rFonts w:ascii="Calibri Light" w:eastAsia="Times New Roman" w:hAnsi="Calibri Light" w:cs="Times New Roman"/>
      <w:sz w:val="18"/>
      <w:szCs w:val="20"/>
      <w:lang w:val="en-US"/>
    </w:rPr>
  </w:style>
  <w:style w:type="paragraph" w:customStyle="1" w:styleId="TableLeft">
    <w:name w:val="Table Left"/>
    <w:basedOn w:val="Normal"/>
    <w:link w:val="TableLeftChar"/>
    <w:uiPriority w:val="99"/>
    <w:qFormat/>
    <w:rsid w:val="00B32B6C"/>
    <w:pPr>
      <w:spacing w:before="0" w:after="0"/>
    </w:pPr>
    <w:rPr>
      <w:rFonts w:ascii="Calibri" w:eastAsiaTheme="majorEastAsia" w:hAnsi="Calibri" w:cstheme="majorBidi"/>
      <w:sz w:val="18"/>
      <w:lang w:bidi="en-US"/>
    </w:rPr>
  </w:style>
  <w:style w:type="character" w:customStyle="1" w:styleId="TableLeftChar">
    <w:name w:val="Table Left Char"/>
    <w:basedOn w:val="DefaultParagraphFont"/>
    <w:link w:val="TableLeft"/>
    <w:uiPriority w:val="99"/>
    <w:locked/>
    <w:rsid w:val="00B32B6C"/>
    <w:rPr>
      <w:rFonts w:ascii="Calibri" w:eastAsiaTheme="majorEastAsia" w:hAnsi="Calibri" w:cstheme="majorBidi"/>
      <w:sz w:val="18"/>
      <w:lang w:bidi="en-US"/>
    </w:rPr>
  </w:style>
  <w:style w:type="table" w:customStyle="1" w:styleId="TableGrid10">
    <w:name w:val="Table Grid1"/>
    <w:basedOn w:val="TableNormal"/>
    <w:next w:val="TableGrid"/>
    <w:uiPriority w:val="59"/>
    <w:rsid w:val="00B32B6C"/>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bmissionstandard1">
    <w:name w:val="Submission standard1"/>
    <w:basedOn w:val="TableNormal"/>
    <w:uiPriority w:val="99"/>
    <w:qFormat/>
    <w:rsid w:val="00B32B6C"/>
    <w:pPr>
      <w:spacing w:after="0" w:line="240" w:lineRule="auto"/>
    </w:pPr>
    <w:rPr>
      <w:rFonts w:ascii="Arial Narrow" w:eastAsia="MS Gothic"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Franklin Gothic Book" w:hAnsi="Franklin Gothic Book"/>
        <w:b/>
        <w:sz w:val="20"/>
      </w:rPr>
      <w:tblPr/>
      <w:tcPr>
        <w:shd w:val="clear" w:color="auto" w:fill="BFBFBF"/>
      </w:tcPr>
    </w:tblStylePr>
  </w:style>
  <w:style w:type="table" w:customStyle="1" w:styleId="Submissionstandard2">
    <w:name w:val="Submission standard2"/>
    <w:basedOn w:val="TableNormal"/>
    <w:uiPriority w:val="99"/>
    <w:qFormat/>
    <w:rsid w:val="00B32B6C"/>
    <w:pPr>
      <w:spacing w:after="0" w:line="240" w:lineRule="auto"/>
    </w:pPr>
    <w:rPr>
      <w:rFonts w:ascii="Arial Narrow" w:eastAsia="MS Gothic"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Franklin Gothic Book" w:hAnsi="Franklin Gothic Book"/>
        <w:b/>
        <w:sz w:val="20"/>
      </w:rPr>
      <w:tblPr/>
      <w:tcPr>
        <w:shd w:val="clear" w:color="auto" w:fill="BFBFBF"/>
      </w:tcPr>
    </w:tblStylePr>
  </w:style>
  <w:style w:type="table" w:customStyle="1" w:styleId="Submissionstandard3">
    <w:name w:val="Submission standard3"/>
    <w:basedOn w:val="TableNormal"/>
    <w:uiPriority w:val="99"/>
    <w:qFormat/>
    <w:rsid w:val="00B32B6C"/>
    <w:pPr>
      <w:spacing w:after="0" w:line="240" w:lineRule="auto"/>
    </w:pPr>
    <w:rPr>
      <w:rFonts w:ascii="Arial Narrow" w:eastAsia="MS Gothic"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Franklin Gothic Book" w:hAnsi="Franklin Gothic Book"/>
        <w:b/>
        <w:sz w:val="20"/>
      </w:rPr>
      <w:tblPr/>
      <w:tcPr>
        <w:shd w:val="clear" w:color="auto" w:fill="BFBFBF"/>
      </w:tcPr>
    </w:tblStylePr>
  </w:style>
  <w:style w:type="table" w:customStyle="1" w:styleId="Submissionstandard4">
    <w:name w:val="Submission standard4"/>
    <w:basedOn w:val="TableNormal"/>
    <w:uiPriority w:val="99"/>
    <w:qFormat/>
    <w:rsid w:val="00B32B6C"/>
    <w:pPr>
      <w:spacing w:after="0" w:line="240" w:lineRule="auto"/>
    </w:pPr>
    <w:rPr>
      <w:rFonts w:ascii="Arial Narrow" w:eastAsia="MS Gothic"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Franklin Gothic Book" w:hAnsi="Franklin Gothic Book"/>
        <w:b/>
        <w:sz w:val="20"/>
      </w:rPr>
      <w:tblPr/>
      <w:tcPr>
        <w:shd w:val="clear" w:color="auto" w:fill="BFBFBF"/>
      </w:tcPr>
    </w:tblStylePr>
  </w:style>
  <w:style w:type="table" w:customStyle="1" w:styleId="Submissionstandard5">
    <w:name w:val="Submission standard5"/>
    <w:basedOn w:val="TableNormal"/>
    <w:uiPriority w:val="99"/>
    <w:qFormat/>
    <w:rsid w:val="00B32B6C"/>
    <w:pPr>
      <w:spacing w:after="0" w:line="240" w:lineRule="auto"/>
    </w:pPr>
    <w:rPr>
      <w:rFonts w:ascii="Arial Narrow" w:eastAsia="MS Gothic"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Franklin Gothic Book" w:hAnsi="Franklin Gothic Book"/>
        <w:b/>
        <w:sz w:val="20"/>
      </w:rPr>
      <w:tblPr/>
      <w:tcPr>
        <w:shd w:val="clear" w:color="auto" w:fill="BFBFBF"/>
      </w:tcPr>
    </w:tblStylePr>
  </w:style>
  <w:style w:type="paragraph" w:customStyle="1" w:styleId="aubodycopy-nospaceafter">
    <w:name w:val="aubodycopy-nospaceafter"/>
    <w:basedOn w:val="Normal"/>
    <w:rsid w:val="00B32B6C"/>
    <w:pPr>
      <w:spacing w:before="100" w:beforeAutospacing="1" w:after="100" w:afterAutospacing="1"/>
      <w:jc w:val="left"/>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B32B6C"/>
  </w:style>
  <w:style w:type="paragraph" w:styleId="ListBullet">
    <w:name w:val="List Bullet"/>
    <w:basedOn w:val="Normal"/>
    <w:link w:val="ListBulletChar"/>
    <w:unhideWhenUsed/>
    <w:rsid w:val="00B32B6C"/>
    <w:pPr>
      <w:numPr>
        <w:numId w:val="16"/>
      </w:numPr>
      <w:spacing w:before="0" w:after="0"/>
      <w:contextualSpacing/>
    </w:pPr>
    <w:rPr>
      <w:rFonts w:ascii="Calibri" w:eastAsia="Times New Roman" w:hAnsi="Calibri" w:cs="Arial"/>
      <w:szCs w:val="24"/>
      <w:lang w:eastAsia="en-AU"/>
    </w:rPr>
  </w:style>
  <w:style w:type="character" w:customStyle="1" w:styleId="ListBulletChar">
    <w:name w:val="List Bullet Char"/>
    <w:basedOn w:val="DefaultParagraphFont"/>
    <w:link w:val="ListBullet"/>
    <w:rsid w:val="00B32B6C"/>
    <w:rPr>
      <w:rFonts w:ascii="Calibri" w:eastAsia="Times New Roman" w:hAnsi="Calibri" w:cs="Arial"/>
      <w:sz w:val="24"/>
      <w:szCs w:val="24"/>
      <w:lang w:eastAsia="en-AU"/>
    </w:rPr>
  </w:style>
  <w:style w:type="paragraph" w:customStyle="1" w:styleId="NICEnormal">
    <w:name w:val="NICE normal"/>
    <w:basedOn w:val="Normal"/>
    <w:link w:val="NICEnormalChar"/>
    <w:rsid w:val="00B32B6C"/>
    <w:pPr>
      <w:spacing w:after="120" w:line="360" w:lineRule="auto"/>
      <w:jc w:val="left"/>
    </w:pPr>
    <w:rPr>
      <w:rFonts w:ascii="Arial" w:hAnsi="Arial"/>
      <w:lang w:val="en-GB"/>
    </w:rPr>
  </w:style>
  <w:style w:type="character" w:customStyle="1" w:styleId="NICEnormalChar">
    <w:name w:val="NICE normal Char"/>
    <w:basedOn w:val="DefaultParagraphFont"/>
    <w:link w:val="NICEnormal"/>
    <w:rsid w:val="00B32B6C"/>
    <w:rPr>
      <w:rFonts w:ascii="Arial" w:hAnsi="Arial"/>
      <w:sz w:val="24"/>
      <w:lang w:val="en-GB"/>
    </w:rPr>
  </w:style>
  <w:style w:type="table" w:styleId="TableGridLight">
    <w:name w:val="Grid Table Light"/>
    <w:basedOn w:val="TableNormal"/>
    <w:uiPriority w:val="40"/>
    <w:rsid w:val="00B32B6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customStyle="1" w:styleId="pf0">
    <w:name w:val="pf0"/>
    <w:basedOn w:val="Normal"/>
    <w:rsid w:val="00B32B6C"/>
    <w:pPr>
      <w:spacing w:before="100" w:beforeAutospacing="1" w:after="100" w:afterAutospacing="1"/>
      <w:jc w:val="left"/>
    </w:pPr>
    <w:rPr>
      <w:rFonts w:ascii="Times New Roman" w:eastAsia="Times New Roman" w:hAnsi="Times New Roman" w:cs="Times New Roman"/>
      <w:szCs w:val="24"/>
      <w:lang w:eastAsia="en-AU"/>
    </w:rPr>
  </w:style>
  <w:style w:type="character" w:customStyle="1" w:styleId="cf01">
    <w:name w:val="cf01"/>
    <w:basedOn w:val="DefaultParagraphFont"/>
    <w:rsid w:val="00B32B6C"/>
    <w:rPr>
      <w:rFonts w:ascii="Segoe UI" w:hAnsi="Segoe UI" w:cs="Segoe UI" w:hint="default"/>
      <w:sz w:val="18"/>
      <w:szCs w:val="18"/>
    </w:rPr>
  </w:style>
  <w:style w:type="character" w:customStyle="1" w:styleId="FooterTableFigureChar">
    <w:name w:val="Footer Table/Figure Char"/>
    <w:link w:val="FooterTableFigure"/>
    <w:locked/>
    <w:rsid w:val="00B32B6C"/>
    <w:rPr>
      <w:rFonts w:ascii="Arial Narrow" w:hAnsi="Arial Narrow" w:cs="Arial"/>
      <w:sz w:val="18"/>
    </w:rPr>
  </w:style>
  <w:style w:type="paragraph" w:customStyle="1" w:styleId="FooterTableFigure">
    <w:name w:val="Footer Table/Figure"/>
    <w:basedOn w:val="Normal"/>
    <w:link w:val="FooterTableFigureChar"/>
    <w:qFormat/>
    <w:rsid w:val="00B32B6C"/>
    <w:pPr>
      <w:snapToGrid w:val="0"/>
      <w:spacing w:before="0" w:after="120"/>
      <w:contextualSpacing/>
    </w:pPr>
    <w:rPr>
      <w:rFonts w:ascii="Arial Narrow" w:hAnsi="Arial Narrow" w:cs="Arial"/>
      <w:sz w:val="18"/>
    </w:rPr>
  </w:style>
  <w:style w:type="character" w:styleId="Mention">
    <w:name w:val="Mention"/>
    <w:basedOn w:val="DefaultParagraphFont"/>
    <w:uiPriority w:val="99"/>
    <w:unhideWhenUsed/>
    <w:rsid w:val="00B32B6C"/>
    <w:rPr>
      <w:color w:val="2B579A"/>
      <w:shd w:val="clear" w:color="auto" w:fill="E1DFDD"/>
    </w:rPr>
  </w:style>
  <w:style w:type="paragraph" w:customStyle="1" w:styleId="COMH1numbered">
    <w:name w:val="COM H1 numbered"/>
    <w:next w:val="Normal"/>
    <w:link w:val="COMH1numberedChar"/>
    <w:qFormat/>
    <w:rsid w:val="00B32B6C"/>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COMexecsumnumberedpara">
    <w:name w:val="COM exec sum numbered para"/>
    <w:basedOn w:val="ListParagraph"/>
    <w:qFormat/>
    <w:rsid w:val="00B32B6C"/>
    <w:pPr>
      <w:numPr>
        <w:numId w:val="0"/>
      </w:numPr>
      <w:spacing w:before="0" w:after="120"/>
      <w:ind w:left="720" w:hanging="720"/>
    </w:pPr>
    <w:rPr>
      <w:rFonts w:eastAsia="Times New Roman" w:cs="Arial"/>
      <w:snapToGrid w:val="0"/>
      <w:color w:val="auto"/>
      <w:szCs w:val="24"/>
      <w:lang w:eastAsia="en-AU"/>
    </w:rPr>
  </w:style>
  <w:style w:type="character" w:customStyle="1" w:styleId="COMH1numberedChar">
    <w:name w:val="COM H1 numbered Char"/>
    <w:basedOn w:val="DefaultParagraphFont"/>
    <w:link w:val="COMH1numbered"/>
    <w:rsid w:val="00B32B6C"/>
    <w:rPr>
      <w:rFonts w:eastAsia="Times New Roman" w:cs="Arial"/>
      <w:b/>
      <w:snapToGrid w:val="0"/>
      <w:sz w:val="32"/>
      <w:szCs w:val="32"/>
      <w:lang w:eastAsia="en-AU"/>
    </w:rPr>
  </w:style>
  <w:style w:type="paragraph" w:customStyle="1" w:styleId="Tablefootnote">
    <w:name w:val="Table footnote"/>
    <w:basedOn w:val="Normal"/>
    <w:next w:val="NICEnormal"/>
    <w:link w:val="TablefootnoteChar"/>
    <w:qFormat/>
    <w:rsid w:val="00B32B6C"/>
    <w:pPr>
      <w:spacing w:before="0" w:after="120"/>
      <w:jc w:val="left"/>
    </w:pPr>
    <w:rPr>
      <w:sz w:val="18"/>
      <w:szCs w:val="20"/>
      <w:lang w:val="en-GB"/>
    </w:rPr>
  </w:style>
  <w:style w:type="character" w:customStyle="1" w:styleId="TablefootnoteChar">
    <w:name w:val="Table footnote Char"/>
    <w:link w:val="Tablefootnote"/>
    <w:rsid w:val="00B32B6C"/>
    <w:rPr>
      <w:sz w:val="18"/>
      <w:szCs w:val="20"/>
      <w:lang w:val="en-GB"/>
    </w:rPr>
  </w:style>
  <w:style w:type="paragraph" w:customStyle="1" w:styleId="Pic">
    <w:name w:val="Pic"/>
    <w:next w:val="ListParagraph"/>
    <w:uiPriority w:val="9"/>
    <w:qFormat/>
    <w:rsid w:val="00B32B6C"/>
    <w:pPr>
      <w:keepNext/>
      <w:spacing w:after="0" w:line="240" w:lineRule="auto"/>
    </w:pPr>
    <w:rPr>
      <w:rFonts w:ascii="Calibri" w:eastAsia="Calibri" w:hAnsi="Calibri" w:cs="Calibri"/>
      <w:sz w:val="20"/>
      <w:szCs w:val="20"/>
    </w:rPr>
  </w:style>
  <w:style w:type="paragraph" w:customStyle="1" w:styleId="TableFigNotes18">
    <w:name w:val="TableFigNotes+18"/>
    <w:basedOn w:val="ListParagraph"/>
    <w:next w:val="BodyText"/>
    <w:link w:val="TableFigNotes18Char"/>
    <w:uiPriority w:val="4"/>
    <w:qFormat/>
    <w:rsid w:val="00B32B6C"/>
    <w:pPr>
      <w:numPr>
        <w:numId w:val="0"/>
      </w:numPr>
      <w:spacing w:before="60" w:after="360"/>
      <w:contextualSpacing/>
      <w:jc w:val="left"/>
    </w:pPr>
    <w:rPr>
      <w:rFonts w:ascii="Montserrat" w:eastAsia="Calibri" w:hAnsi="Montserrat" w:cs="Calibri"/>
      <w:color w:val="auto"/>
      <w:sz w:val="14"/>
      <w:szCs w:val="20"/>
    </w:rPr>
  </w:style>
  <w:style w:type="character" w:customStyle="1" w:styleId="TableFigNotes18Char">
    <w:name w:val="TableFigNotes+18 Char"/>
    <w:basedOn w:val="DefaultParagraphFont"/>
    <w:link w:val="TableFigNotes18"/>
    <w:uiPriority w:val="4"/>
    <w:locked/>
    <w:rsid w:val="00B32B6C"/>
    <w:rPr>
      <w:rFonts w:ascii="Montserrat" w:eastAsia="Calibri" w:hAnsi="Montserrat" w:cs="Calibri"/>
      <w:sz w:val="14"/>
      <w:szCs w:val="20"/>
    </w:rPr>
  </w:style>
  <w:style w:type="paragraph" w:customStyle="1" w:styleId="Tabletext8pt">
    <w:name w:val="Table text 8pt"/>
    <w:basedOn w:val="Tabletext0"/>
    <w:qFormat/>
    <w:rsid w:val="00B32B6C"/>
    <w:pPr>
      <w:keepNext/>
      <w:keepLines/>
      <w:spacing w:before="20" w:after="20"/>
    </w:pPr>
    <w:rPr>
      <w:rFonts w:ascii="Montserrat" w:eastAsia="Calibri" w:hAnsi="Montserrat" w:cs="Calibri"/>
      <w:snapToGrid/>
      <w:sz w:val="16"/>
      <w:szCs w:val="16"/>
      <w:lang w:eastAsia="en-US"/>
    </w:rPr>
  </w:style>
  <w:style w:type="table" w:customStyle="1" w:styleId="HTATableshaded">
    <w:name w:val="HTA Table shaded"/>
    <w:basedOn w:val="TableNormal"/>
    <w:rsid w:val="00B32B6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28pt">
    <w:name w:val="Table H2 8pt"/>
    <w:basedOn w:val="Normal"/>
    <w:qFormat/>
    <w:rsid w:val="00B32B6C"/>
    <w:pPr>
      <w:keepNext/>
      <w:keepLines/>
      <w:spacing w:before="20" w:after="20"/>
      <w:contextualSpacing/>
      <w:jc w:val="left"/>
    </w:pPr>
    <w:rPr>
      <w:rFonts w:ascii="Montserrat" w:eastAsia="Calibri" w:hAnsi="Montserrat" w:cs="Calibri"/>
      <w:b/>
      <w:sz w:val="16"/>
      <w:szCs w:val="20"/>
    </w:rPr>
  </w:style>
  <w:style w:type="paragraph" w:customStyle="1" w:styleId="Tablebulletlist">
    <w:name w:val="Table bullet list"/>
    <w:basedOn w:val="Normal"/>
    <w:qFormat/>
    <w:rsid w:val="00B32B6C"/>
    <w:pPr>
      <w:widowControl w:val="0"/>
      <w:numPr>
        <w:numId w:val="19"/>
      </w:numPr>
      <w:tabs>
        <w:tab w:val="left" w:pos="464"/>
      </w:tabs>
      <w:spacing w:before="34" w:after="0"/>
      <w:jc w:val="left"/>
    </w:pPr>
    <w:rPr>
      <w:rFonts w:ascii="Montserrat" w:eastAsia="Calibri" w:hAnsi="Montserrat" w:cs="Times New Roman"/>
      <w:sz w:val="16"/>
      <w:szCs w:val="18"/>
      <w:lang w:val="en-US" w:eastAsia="en-AU"/>
    </w:rPr>
  </w:style>
  <w:style w:type="paragraph" w:customStyle="1" w:styleId="TableH28ptCentered">
    <w:name w:val="Table H2 8pt + Centered"/>
    <w:basedOn w:val="Normal"/>
    <w:qFormat/>
    <w:rsid w:val="00B32B6C"/>
    <w:pPr>
      <w:keepNext/>
      <w:keepLines/>
      <w:spacing w:before="20" w:after="20"/>
      <w:contextualSpacing/>
      <w:jc w:val="center"/>
    </w:pPr>
    <w:rPr>
      <w:rFonts w:ascii="Montserrat" w:eastAsia="Calibri" w:hAnsi="Montserrat" w:cs="Calibri"/>
      <w:b/>
      <w:sz w:val="16"/>
      <w:szCs w:val="20"/>
    </w:rPr>
  </w:style>
  <w:style w:type="paragraph" w:customStyle="1" w:styleId="Tabletext8ptCentered">
    <w:name w:val="Table text 8pt + Centered"/>
    <w:basedOn w:val="Tabletext8pt"/>
    <w:qFormat/>
    <w:rsid w:val="00B32B6C"/>
  </w:style>
  <w:style w:type="paragraph" w:customStyle="1" w:styleId="Tabletextleft">
    <w:name w:val="Table text left"/>
    <w:basedOn w:val="Normal"/>
    <w:link w:val="TabletextleftChar"/>
    <w:qFormat/>
    <w:rsid w:val="00B32B6C"/>
    <w:pPr>
      <w:spacing w:before="0" w:after="20"/>
      <w:jc w:val="left"/>
    </w:pPr>
    <w:rPr>
      <w:rFonts w:eastAsia="Times New Roman" w:cs="Times New Roman"/>
      <w:sz w:val="18"/>
      <w:szCs w:val="20"/>
      <w:lang w:eastAsia="en-AU"/>
    </w:rPr>
  </w:style>
  <w:style w:type="character" w:customStyle="1" w:styleId="TabletextleftChar">
    <w:name w:val="Table text left Char"/>
    <w:basedOn w:val="DefaultParagraphFont"/>
    <w:link w:val="Tabletextleft"/>
    <w:rsid w:val="00B32B6C"/>
    <w:rPr>
      <w:rFonts w:eastAsia="Times New Roman" w:cs="Times New Roman"/>
      <w:sz w:val="18"/>
      <w:szCs w:val="20"/>
      <w:lang w:eastAsia="en-AU"/>
    </w:rPr>
  </w:style>
  <w:style w:type="table" w:customStyle="1" w:styleId="TableGrid28">
    <w:name w:val="Table Grid28"/>
    <w:basedOn w:val="TableNormal"/>
    <w:next w:val="TableGrid"/>
    <w:uiPriority w:val="59"/>
    <w:rsid w:val="00B32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1">
    <w:name w:val="Table H1"/>
    <w:basedOn w:val="BodyText"/>
    <w:uiPriority w:val="4"/>
    <w:qFormat/>
    <w:rsid w:val="00B32B6C"/>
    <w:pPr>
      <w:keepNext/>
      <w:keepLines/>
      <w:spacing w:before="20" w:after="20"/>
      <w:jc w:val="left"/>
    </w:pPr>
    <w:rPr>
      <w:rFonts w:ascii="Montserrat" w:eastAsia="Calibri" w:hAnsi="Montserrat" w:cs="Calibri"/>
      <w:b/>
      <w:sz w:val="16"/>
      <w:szCs w:val="16"/>
      <w:lang w:val="en-US"/>
    </w:rPr>
  </w:style>
  <w:style w:type="paragraph" w:customStyle="1" w:styleId="TableFigNotes187">
    <w:name w:val="TableFigNotes+18 7"/>
    <w:basedOn w:val="TableFigNotes18"/>
    <w:qFormat/>
    <w:rsid w:val="00B32B6C"/>
    <w:pPr>
      <w:spacing w:before="20" w:after="160"/>
    </w:pPr>
  </w:style>
  <w:style w:type="paragraph" w:customStyle="1" w:styleId="LLYBlueHeading">
    <w:name w:val="LLY Blue Heading"/>
    <w:basedOn w:val="Normal"/>
    <w:qFormat/>
    <w:rsid w:val="00B32B6C"/>
    <w:pPr>
      <w:keepNext/>
      <w:spacing w:after="120"/>
      <w:jc w:val="left"/>
    </w:pPr>
    <w:rPr>
      <w:rFonts w:ascii="Montserrat" w:eastAsia="Times New Roman" w:hAnsi="Montserrat" w:cs="Times New Roman"/>
      <w:b/>
      <w:color w:val="1F497D"/>
      <w:sz w:val="20"/>
      <w:szCs w:val="24"/>
      <w:lang w:val="en-GB"/>
    </w:rPr>
  </w:style>
  <w:style w:type="paragraph" w:customStyle="1" w:styleId="Summary">
    <w:name w:val="Summary"/>
    <w:basedOn w:val="BodyText"/>
    <w:qFormat/>
    <w:rsid w:val="00B32B6C"/>
    <w:pPr>
      <w:keepLines/>
      <w:pBdr>
        <w:top w:val="single" w:sz="4" w:space="1" w:color="auto"/>
        <w:left w:val="single" w:sz="4" w:space="4" w:color="auto"/>
        <w:bottom w:val="single" w:sz="4" w:space="1" w:color="auto"/>
        <w:right w:val="single" w:sz="4" w:space="4" w:color="auto"/>
      </w:pBdr>
      <w:spacing w:before="0" w:line="288" w:lineRule="auto"/>
      <w:jc w:val="left"/>
    </w:pPr>
    <w:rPr>
      <w:rFonts w:ascii="Montserrat" w:eastAsia="Calibri" w:hAnsi="Montserrat" w:cs="Calibri"/>
      <w:sz w:val="18"/>
      <w:szCs w:val="20"/>
    </w:rPr>
  </w:style>
  <w:style w:type="paragraph" w:customStyle="1" w:styleId="Default">
    <w:name w:val="Default"/>
    <w:rsid w:val="00B32B6C"/>
    <w:pPr>
      <w:autoSpaceDE w:val="0"/>
      <w:autoSpaceDN w:val="0"/>
      <w:adjustRightInd w:val="0"/>
      <w:spacing w:after="0" w:line="240" w:lineRule="auto"/>
    </w:pPr>
    <w:rPr>
      <w:rFonts w:ascii="Cambria" w:hAnsi="Cambria" w:cs="Cambria"/>
      <w:color w:val="000000"/>
      <w:sz w:val="24"/>
      <w:szCs w:val="24"/>
    </w:rPr>
  </w:style>
  <w:style w:type="paragraph" w:customStyle="1" w:styleId="TableHeadingleft">
    <w:name w:val="Table Heading left"/>
    <w:basedOn w:val="Normal"/>
    <w:next w:val="Tabletextleft"/>
    <w:qFormat/>
    <w:rsid w:val="00B32B6C"/>
    <w:pPr>
      <w:spacing w:before="40" w:after="40"/>
      <w:jc w:val="left"/>
    </w:pPr>
    <w:rPr>
      <w:rFonts w:cs="Tahoma"/>
      <w:b/>
      <w:sz w:val="18"/>
      <w:szCs w:val="18"/>
      <w:lang w:val="de-DE"/>
    </w:rPr>
  </w:style>
  <w:style w:type="character" w:styleId="PlaceholderText">
    <w:name w:val="Placeholder Text"/>
    <w:basedOn w:val="DefaultParagraphFont"/>
    <w:uiPriority w:val="99"/>
    <w:semiHidden/>
    <w:rsid w:val="00B32B6C"/>
    <w:rPr>
      <w:color w:val="666666"/>
    </w:rPr>
  </w:style>
  <w:style w:type="table" w:customStyle="1" w:styleId="HeaderTable1">
    <w:name w:val="Header Table1"/>
    <w:basedOn w:val="TableNormal"/>
    <w:next w:val="TableGrid"/>
    <w:uiPriority w:val="39"/>
    <w:rsid w:val="00280EE9"/>
    <w:pPr>
      <w:spacing w:after="0" w:line="240" w:lineRule="auto"/>
    </w:pPr>
    <w:rPr>
      <w:rFonts w:eastAsia="Calibr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Body">
    <w:name w:val="Heading 2 - Body"/>
    <w:basedOn w:val="Heading5"/>
    <w:qFormat/>
    <w:rsid w:val="006C3E79"/>
  </w:style>
  <w:style w:type="numbering" w:customStyle="1" w:styleId="Style11">
    <w:name w:val="Style11"/>
    <w:uiPriority w:val="99"/>
    <w:rsid w:val="0038328D"/>
  </w:style>
  <w:style w:type="paragraph" w:customStyle="1" w:styleId="Heading61">
    <w:name w:val="Heading 61"/>
    <w:basedOn w:val="Heading6"/>
    <w:link w:val="heading6Char0"/>
    <w:qFormat/>
    <w:rsid w:val="0038328D"/>
    <w:pPr>
      <w:numPr>
        <w:numId w:val="3"/>
      </w:numPr>
      <w:tabs>
        <w:tab w:val="clear" w:pos="1134"/>
        <w:tab w:val="left" w:pos="1418"/>
      </w:tabs>
      <w:ind w:left="1134" w:hanging="1134"/>
    </w:pPr>
  </w:style>
  <w:style w:type="character" w:customStyle="1" w:styleId="heading6Char0">
    <w:name w:val="heading 6 Char"/>
    <w:basedOn w:val="Heading6Char"/>
    <w:link w:val="Heading61"/>
    <w:rsid w:val="0038328D"/>
    <w:rPr>
      <w:rFonts w:eastAsiaTheme="majorEastAsia" w:cstheme="majorBidi"/>
      <w:b/>
      <w:sz w:val="24"/>
      <w:szCs w:val="28"/>
    </w:rPr>
  </w:style>
  <w:style w:type="table" w:customStyle="1" w:styleId="HeaderTable2">
    <w:name w:val="Header Table2"/>
    <w:basedOn w:val="TableNormal"/>
    <w:next w:val="TableGrid"/>
    <w:uiPriority w:val="39"/>
    <w:rsid w:val="0038328D"/>
    <w:pPr>
      <w:spacing w:after="0" w:line="240" w:lineRule="auto"/>
    </w:pPr>
    <w:rPr>
      <w:rFonts w:eastAsia="Calibr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696F20"/>
  </w:style>
  <w:style w:type="numbering" w:customStyle="1" w:styleId="Style13">
    <w:name w:val="Style13"/>
    <w:uiPriority w:val="99"/>
    <w:rsid w:val="00931B87"/>
    <w:pPr>
      <w:numPr>
        <w:numId w:val="10"/>
      </w:numPr>
    </w:pPr>
  </w:style>
  <w:style w:type="numbering" w:customStyle="1" w:styleId="Style31">
    <w:name w:val="Style31"/>
    <w:uiPriority w:val="99"/>
    <w:rsid w:val="00931B87"/>
    <w:pPr>
      <w:numPr>
        <w:numId w:val="12"/>
      </w:numPr>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B69EE"/>
    <w:pPr>
      <w:spacing w:before="0" w:line="240" w:lineRule="exact"/>
      <w:jc w:val="left"/>
    </w:pPr>
    <w:rPr>
      <w:rFonts w:ascii="Verdana" w:eastAsia="MS Mincho" w:hAnsi="Verdana" w:cs="Verdana"/>
      <w:sz w:val="20"/>
      <w:szCs w:val="20"/>
      <w:lang w:val="en-US"/>
    </w:rPr>
  </w:style>
  <w:style w:type="character" w:customStyle="1" w:styleId="text-widget">
    <w:name w:val="text-widget"/>
    <w:basedOn w:val="DefaultParagraphFont"/>
    <w:rsid w:val="00BB69EE"/>
  </w:style>
  <w:style w:type="table" w:customStyle="1" w:styleId="TableGrid2">
    <w:name w:val="Table Grid2"/>
    <w:basedOn w:val="TableNormal"/>
    <w:next w:val="TableGrid"/>
    <w:uiPriority w:val="39"/>
    <w:rsid w:val="00BB69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B69EE"/>
    <w:pPr>
      <w:spacing w:before="100" w:beforeAutospacing="1" w:after="100" w:afterAutospacing="1"/>
      <w:jc w:val="left"/>
    </w:pPr>
    <w:rPr>
      <w:rFonts w:ascii="Times New Roman" w:eastAsia="Times New Roman" w:hAnsi="Times New Roman" w:cs="Times New Roman"/>
      <w:szCs w:val="24"/>
      <w:lang w:eastAsia="en-AU"/>
    </w:rPr>
  </w:style>
  <w:style w:type="paragraph" w:customStyle="1" w:styleId="PBACHeading1">
    <w:name w:val="PBAC Heading 1"/>
    <w:qFormat/>
    <w:rsid w:val="00B428F5"/>
    <w:pPr>
      <w:spacing w:after="0" w:line="240" w:lineRule="auto"/>
      <w:ind w:left="720" w:hanging="720"/>
      <w:outlineLvl w:val="0"/>
    </w:pPr>
    <w:rPr>
      <w:rFonts w:ascii="Calibri" w:eastAsia="Times New Roman" w:hAnsi="Calibri" w:cs="Calibri"/>
      <w:b/>
      <w:snapToGrid w:val="0"/>
      <w:sz w:val="32"/>
      <w:szCs w:val="32"/>
    </w:rPr>
  </w:style>
  <w:style w:type="character" w:customStyle="1" w:styleId="cf11">
    <w:name w:val="cf11"/>
    <w:basedOn w:val="DefaultParagraphFont"/>
    <w:rsid w:val="00FD76D7"/>
    <w:rPr>
      <w:rFonts w:ascii="Segoe UI" w:hAnsi="Segoe UI" w:cs="Segoe UI" w:hint="default"/>
      <w:i/>
      <w:iCs/>
      <w:sz w:val="18"/>
      <w:szCs w:val="18"/>
    </w:rPr>
  </w:style>
  <w:style w:type="paragraph" w:customStyle="1" w:styleId="TableHeader">
    <w:name w:val="Table Header"/>
    <w:basedOn w:val="Normal"/>
    <w:uiPriority w:val="3"/>
    <w:rsid w:val="00AE1F22"/>
    <w:pPr>
      <w:spacing w:before="0" w:after="0"/>
    </w:pPr>
    <w:rPr>
      <w:rFonts w:ascii="Calibri" w:eastAsia="Times New Roman" w:hAnsi="Calibri" w:cs="Arial"/>
      <w:b/>
      <w:sz w:val="20"/>
      <w:szCs w:val="24"/>
      <w:lang w:eastAsia="en-AU"/>
    </w:rPr>
  </w:style>
  <w:style w:type="paragraph" w:styleId="Title">
    <w:name w:val="Title"/>
    <w:basedOn w:val="Normal"/>
    <w:next w:val="Normal"/>
    <w:link w:val="TitleChar"/>
    <w:qFormat/>
    <w:rsid w:val="00AE1F22"/>
    <w:pPr>
      <w:spacing w:before="240" w:after="60"/>
      <w:jc w:val="center"/>
      <w:outlineLvl w:val="0"/>
    </w:pPr>
    <w:rPr>
      <w:rFonts w:ascii="Cambria" w:eastAsia="Times New Roman" w:hAnsi="Cambria" w:cs="Arial"/>
      <w:b/>
      <w:bCs/>
      <w:kern w:val="28"/>
      <w:sz w:val="32"/>
      <w:szCs w:val="32"/>
      <w:lang w:eastAsia="en-AU"/>
    </w:rPr>
  </w:style>
  <w:style w:type="character" w:customStyle="1" w:styleId="TitleChar">
    <w:name w:val="Title Char"/>
    <w:basedOn w:val="DefaultParagraphFont"/>
    <w:link w:val="Title"/>
    <w:rsid w:val="00AE1F22"/>
    <w:rPr>
      <w:rFonts w:ascii="Cambria" w:eastAsia="Times New Roman" w:hAnsi="Cambria" w:cs="Arial"/>
      <w:b/>
      <w:bCs/>
      <w:kern w:val="28"/>
      <w:sz w:val="32"/>
      <w:szCs w:val="32"/>
      <w:lang w:eastAsia="en-AU"/>
    </w:rPr>
  </w:style>
  <w:style w:type="paragraph" w:customStyle="1" w:styleId="Corpsdetextemarge">
    <w:name w:val="Corps de texte marge"/>
    <w:basedOn w:val="BodyText"/>
    <w:uiPriority w:val="99"/>
    <w:rsid w:val="00AE1F22"/>
    <w:pPr>
      <w:spacing w:before="0" w:after="0"/>
    </w:pPr>
    <w:rPr>
      <w:rFonts w:ascii="Times" w:eastAsia="Times New Roman" w:hAnsi="Times" w:cs="Times New Roman"/>
      <w:snapToGrid w:val="0"/>
      <w:szCs w:val="24"/>
      <w:lang w:val="en-US" w:eastAsia="en-AU"/>
    </w:rPr>
  </w:style>
  <w:style w:type="paragraph" w:customStyle="1" w:styleId="TableName">
    <w:name w:val="TableName"/>
    <w:basedOn w:val="Normal"/>
    <w:rsid w:val="00AE1F22"/>
    <w:pPr>
      <w:keepNext/>
      <w:spacing w:after="120"/>
      <w:ind w:left="1800" w:hanging="1080"/>
      <w:jc w:val="left"/>
    </w:pPr>
    <w:rPr>
      <w:rFonts w:ascii="Arial Narrow" w:eastAsia="Times New Roman" w:hAnsi="Arial Narrow" w:cs="Arial Narrow"/>
      <w:b/>
      <w:bCs/>
      <w:snapToGrid w:val="0"/>
      <w:szCs w:val="24"/>
      <w:lang w:eastAsia="en-AU"/>
    </w:rPr>
  </w:style>
  <w:style w:type="paragraph" w:customStyle="1" w:styleId="TableNotes18">
    <w:name w:val="TableNotes+18"/>
    <w:basedOn w:val="Normal"/>
    <w:rsid w:val="00AE1F22"/>
    <w:pPr>
      <w:keepLines/>
      <w:spacing w:before="0" w:after="360"/>
      <w:ind w:left="720"/>
      <w:jc w:val="left"/>
    </w:pPr>
    <w:rPr>
      <w:rFonts w:ascii="Arial Narrow" w:eastAsia="Times New Roman" w:hAnsi="Arial Narrow" w:cs="Arial Narrow"/>
      <w:snapToGrid w:val="0"/>
      <w:sz w:val="18"/>
      <w:szCs w:val="18"/>
      <w:lang w:eastAsia="en-AU"/>
    </w:rPr>
  </w:style>
  <w:style w:type="paragraph" w:customStyle="1" w:styleId="TableNotes0">
    <w:name w:val="TableNotes+0"/>
    <w:basedOn w:val="TableNotes18"/>
    <w:rsid w:val="00AE1F22"/>
    <w:pPr>
      <w:keepNext/>
      <w:spacing w:after="0"/>
    </w:pPr>
  </w:style>
  <w:style w:type="paragraph" w:styleId="BodyTextIndent">
    <w:name w:val="Body Text Indent"/>
    <w:basedOn w:val="Normal"/>
    <w:link w:val="BodyTextIndentChar"/>
    <w:rsid w:val="00AE1F22"/>
    <w:pPr>
      <w:spacing w:before="0" w:after="120"/>
      <w:ind w:left="283"/>
    </w:pPr>
    <w:rPr>
      <w:rFonts w:ascii="Calibri" w:eastAsia="Times New Roman" w:hAnsi="Calibri" w:cs="Arial"/>
      <w:szCs w:val="24"/>
      <w:lang w:eastAsia="en-AU"/>
    </w:rPr>
  </w:style>
  <w:style w:type="character" w:customStyle="1" w:styleId="BodyTextIndentChar">
    <w:name w:val="Body Text Indent Char"/>
    <w:basedOn w:val="DefaultParagraphFont"/>
    <w:link w:val="BodyTextIndent"/>
    <w:rsid w:val="00AE1F22"/>
    <w:rPr>
      <w:rFonts w:ascii="Calibri" w:eastAsia="Times New Roman" w:hAnsi="Calibri" w:cs="Arial"/>
      <w:sz w:val="24"/>
      <w:szCs w:val="24"/>
      <w:lang w:eastAsia="en-AU"/>
    </w:rPr>
  </w:style>
  <w:style w:type="paragraph" w:customStyle="1" w:styleId="Char1CharCharChar">
    <w:name w:val="Char1 Char Char Char"/>
    <w:basedOn w:val="Normal"/>
    <w:rsid w:val="00AE1F22"/>
    <w:pPr>
      <w:spacing w:before="0" w:line="240" w:lineRule="exact"/>
      <w:jc w:val="left"/>
    </w:pPr>
    <w:rPr>
      <w:rFonts w:ascii="Verdana" w:eastAsia="MS Mincho" w:hAnsi="Verdana" w:cs="Verdana"/>
      <w:snapToGrid w:val="0"/>
      <w:sz w:val="20"/>
      <w:szCs w:val="24"/>
      <w:lang w:val="en-US" w:eastAsia="en-AU"/>
    </w:rPr>
  </w:style>
  <w:style w:type="character" w:customStyle="1" w:styleId="SubtitleChar">
    <w:name w:val="Subtitle Char"/>
    <w:link w:val="Subtitle"/>
    <w:rsid w:val="00AE1F22"/>
  </w:style>
  <w:style w:type="paragraph" w:styleId="Subtitle">
    <w:name w:val="Subtitle"/>
    <w:basedOn w:val="Normal"/>
    <w:link w:val="SubtitleChar"/>
    <w:rsid w:val="00AE1F22"/>
    <w:pPr>
      <w:spacing w:before="0" w:after="0"/>
    </w:pPr>
    <w:rPr>
      <w:sz w:val="22"/>
    </w:rPr>
  </w:style>
  <w:style w:type="character" w:customStyle="1" w:styleId="SubtitleChar1">
    <w:name w:val="Subtitle Char1"/>
    <w:basedOn w:val="DefaultParagraphFont"/>
    <w:rsid w:val="00AE1F22"/>
    <w:rPr>
      <w:rFonts w:eastAsiaTheme="minorEastAsia"/>
      <w:color w:val="5A5A5A" w:themeColor="text1" w:themeTint="A5"/>
      <w:spacing w:val="15"/>
    </w:rPr>
  </w:style>
  <w:style w:type="table" w:customStyle="1" w:styleId="PlainTable21">
    <w:name w:val="Plain Table 21"/>
    <w:basedOn w:val="TableNormal"/>
    <w:uiPriority w:val="42"/>
    <w:rsid w:val="00AE1F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semiHidden/>
    <w:unhideWhenUsed/>
    <w:rsid w:val="00AE1F22"/>
  </w:style>
  <w:style w:type="paragraph" w:customStyle="1" w:styleId="V50Tablename">
    <w:name w:val="V5.0 Table name"/>
    <w:basedOn w:val="Normal"/>
    <w:link w:val="V50TablenameChar"/>
    <w:rsid w:val="00AE1F22"/>
    <w:pPr>
      <w:keepNext/>
      <w:spacing w:before="0" w:after="0"/>
      <w:jc w:val="left"/>
    </w:pPr>
    <w:rPr>
      <w:b/>
      <w:snapToGrid w:val="0"/>
      <w:sz w:val="20"/>
      <w:szCs w:val="24"/>
      <w:lang w:val="en-US" w:eastAsia="en-AU"/>
    </w:rPr>
  </w:style>
  <w:style w:type="character" w:customStyle="1" w:styleId="V50TablenameChar">
    <w:name w:val="V5.0 Table name Char"/>
    <w:basedOn w:val="DefaultParagraphFont"/>
    <w:link w:val="V50Tablename"/>
    <w:rsid w:val="00AE1F22"/>
    <w:rPr>
      <w:b/>
      <w:snapToGrid w:val="0"/>
      <w:sz w:val="20"/>
      <w:szCs w:val="24"/>
      <w:lang w:val="en-US" w:eastAsia="en-AU"/>
    </w:rPr>
  </w:style>
  <w:style w:type="paragraph" w:customStyle="1" w:styleId="GeneralHeading">
    <w:name w:val="General Heading"/>
    <w:qFormat/>
    <w:rsid w:val="00AE1F22"/>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1-MainHeading">
    <w:name w:val="1-Main Heading"/>
    <w:next w:val="2-SectionHeading"/>
    <w:link w:val="1-MainHeadingChar"/>
    <w:qFormat/>
    <w:rsid w:val="00AE1F22"/>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AE1F22"/>
    <w:rPr>
      <w:rFonts w:eastAsiaTheme="majorEastAsia" w:cstheme="majorBidi"/>
      <w:b/>
      <w:spacing w:val="5"/>
      <w:kern w:val="28"/>
      <w:sz w:val="36"/>
      <w:szCs w:val="36"/>
      <w:lang w:eastAsia="en-AU"/>
    </w:rPr>
  </w:style>
  <w:style w:type="paragraph" w:customStyle="1" w:styleId="PageFooter">
    <w:name w:val="Page Footer"/>
    <w:basedOn w:val="Normal"/>
    <w:link w:val="PageFooterChar"/>
    <w:qFormat/>
    <w:rsid w:val="00AE1F22"/>
    <w:pPr>
      <w:keepNext/>
      <w:tabs>
        <w:tab w:val="center" w:pos="4153"/>
        <w:tab w:val="center" w:pos="4513"/>
        <w:tab w:val="right" w:pos="8306"/>
        <w:tab w:val="right" w:pos="9026"/>
      </w:tabs>
      <w:spacing w:before="0" w:after="0"/>
      <w:jc w:val="center"/>
    </w:pPr>
    <w:rPr>
      <w:rFonts w:ascii="Calibri" w:eastAsia="Times New Roman" w:hAnsi="Calibri" w:cs="Arial"/>
      <w:b/>
      <w:szCs w:val="24"/>
      <w:lang w:eastAsia="en-AU"/>
    </w:rPr>
  </w:style>
  <w:style w:type="character" w:customStyle="1" w:styleId="PageFooterChar">
    <w:name w:val="Page Footer Char"/>
    <w:basedOn w:val="DefaultParagraphFont"/>
    <w:link w:val="PageFooter"/>
    <w:rsid w:val="00AE1F22"/>
    <w:rPr>
      <w:rFonts w:ascii="Calibri" w:eastAsia="Times New Roman" w:hAnsi="Calibri" w:cs="Arial"/>
      <w:b/>
      <w:sz w:val="24"/>
      <w:szCs w:val="24"/>
      <w:lang w:eastAsia="en-AU"/>
    </w:rPr>
  </w:style>
  <w:style w:type="paragraph" w:customStyle="1" w:styleId="5-SubsectionSubheading">
    <w:name w:val="5-Subsection Subheading"/>
    <w:basedOn w:val="Heading3"/>
    <w:next w:val="3-BodyText"/>
    <w:link w:val="5-SubsectionSubheadingChar"/>
    <w:qFormat/>
    <w:rsid w:val="00AE1F22"/>
    <w:pPr>
      <w:numPr>
        <w:ilvl w:val="0"/>
        <w:numId w:val="0"/>
      </w:numPr>
      <w:tabs>
        <w:tab w:val="clear" w:pos="1134"/>
      </w:tabs>
      <w:spacing w:before="40" w:after="0"/>
    </w:pPr>
    <w:rPr>
      <w:color w:val="000000" w:themeColor="text1"/>
      <w:sz w:val="24"/>
      <w:szCs w:val="24"/>
      <w:lang w:eastAsia="en-AU"/>
    </w:rPr>
  </w:style>
  <w:style w:type="character" w:customStyle="1" w:styleId="5-SubsectionSubheadingChar">
    <w:name w:val="5-Subsection Subheading Char"/>
    <w:basedOn w:val="DefaultParagraphFont"/>
    <w:link w:val="5-SubsectionSubheading"/>
    <w:rsid w:val="00AE1F22"/>
    <w:rPr>
      <w:rFonts w:eastAsiaTheme="majorEastAsia" w:cstheme="majorBidi"/>
      <w:b/>
      <w:color w:val="000000" w:themeColor="text1"/>
      <w:sz w:val="24"/>
      <w:szCs w:val="24"/>
      <w:lang w:eastAsia="en-AU"/>
    </w:rPr>
  </w:style>
  <w:style w:type="paragraph" w:customStyle="1" w:styleId="bullet0">
    <w:name w:val="bullet"/>
    <w:basedOn w:val="ListParagraph"/>
    <w:link w:val="bulletChar"/>
    <w:rsid w:val="00AE1F22"/>
    <w:pPr>
      <w:numPr>
        <w:numId w:val="25"/>
      </w:numPr>
      <w:spacing w:before="0" w:after="120"/>
      <w:jc w:val="left"/>
    </w:pPr>
    <w:rPr>
      <w:rFonts w:ascii="Calibri" w:eastAsia="Times New Roman" w:hAnsi="Calibri"/>
      <w:i/>
      <w:color w:val="auto"/>
      <w:sz w:val="22"/>
    </w:rPr>
  </w:style>
  <w:style w:type="character" w:customStyle="1" w:styleId="bulletChar">
    <w:name w:val="bullet Char"/>
    <w:basedOn w:val="DefaultParagraphFont"/>
    <w:link w:val="bullet0"/>
    <w:rsid w:val="00AE1F22"/>
    <w:rPr>
      <w:rFonts w:ascii="Calibri" w:eastAsia="Times New Roman" w:hAnsi="Calibri"/>
      <w:i/>
    </w:rPr>
  </w:style>
  <w:style w:type="paragraph" w:customStyle="1" w:styleId="PBACTabletext">
    <w:name w:val="PBAC Table text"/>
    <w:link w:val="PBACTabletextChar"/>
    <w:qFormat/>
    <w:rsid w:val="00AE1F22"/>
    <w:pPr>
      <w:keepNext/>
      <w:keepLines/>
      <w:suppressLineNumbers/>
      <w:spacing w:before="20" w:after="20" w:line="240" w:lineRule="auto"/>
      <w:ind w:right="57"/>
      <w:textboxTightWrap w:val="allLines"/>
    </w:pPr>
    <w:rPr>
      <w:rFonts w:ascii="Arial Narrow" w:eastAsia="Times New Roman" w:hAnsi="Arial Narrow" w:cstheme="minorHAnsi"/>
      <w:sz w:val="20"/>
      <w:szCs w:val="20"/>
      <w:lang w:eastAsia="en-GB"/>
    </w:rPr>
  </w:style>
  <w:style w:type="character" w:customStyle="1" w:styleId="PBACTabletextChar">
    <w:name w:val="PBAC Table text Char"/>
    <w:basedOn w:val="DefaultParagraphFont"/>
    <w:link w:val="PBACTabletext"/>
    <w:rsid w:val="00AE1F22"/>
    <w:rPr>
      <w:rFonts w:ascii="Arial Narrow" w:eastAsia="Times New Roman" w:hAnsi="Arial Narrow" w:cstheme="minorHAnsi"/>
      <w:sz w:val="20"/>
      <w:szCs w:val="20"/>
      <w:lang w:eastAsia="en-GB"/>
    </w:rPr>
  </w:style>
  <w:style w:type="paragraph" w:customStyle="1" w:styleId="PBACTblFignote">
    <w:name w:val="PBAC Tbl/Fig note"/>
    <w:qFormat/>
    <w:rsid w:val="00AE1F22"/>
    <w:pPr>
      <w:keepNext/>
      <w:keepLines/>
      <w:spacing w:before="40" w:after="0" w:line="240" w:lineRule="auto"/>
      <w:textboxTightWrap w:val="allLines"/>
    </w:pPr>
    <w:rPr>
      <w:rFonts w:ascii="Arial Narrow" w:eastAsia="Times New Roman" w:hAnsi="Arial Narrow" w:cs="Arial"/>
      <w:sz w:val="18"/>
      <w:szCs w:val="24"/>
      <w:lang w:eastAsia="en-GB"/>
    </w:rPr>
  </w:style>
  <w:style w:type="paragraph" w:customStyle="1" w:styleId="PBACTableText0">
    <w:name w:val="PBAC Table Text"/>
    <w:basedOn w:val="Normal"/>
    <w:link w:val="PBACTableTextChar0"/>
    <w:qFormat/>
    <w:rsid w:val="00AE1F22"/>
    <w:pPr>
      <w:spacing w:before="40" w:after="40"/>
      <w:jc w:val="left"/>
    </w:pPr>
    <w:rPr>
      <w:rFonts w:ascii="Arial Narrow" w:eastAsia="Times New Roman" w:hAnsi="Arial Narrow" w:cstheme="minorHAnsi"/>
      <w:sz w:val="20"/>
      <w:szCs w:val="20"/>
    </w:rPr>
  </w:style>
  <w:style w:type="character" w:customStyle="1" w:styleId="PBACTableTextChar0">
    <w:name w:val="PBAC Table Text Char"/>
    <w:basedOn w:val="DefaultParagraphFont"/>
    <w:link w:val="PBACTableText0"/>
    <w:rsid w:val="00AE1F22"/>
    <w:rPr>
      <w:rFonts w:ascii="Arial Narrow" w:eastAsia="Times New Roman" w:hAnsi="Arial Narrow" w:cstheme="minorHAnsi"/>
      <w:sz w:val="20"/>
      <w:szCs w:val="20"/>
    </w:rPr>
  </w:style>
  <w:style w:type="paragraph" w:customStyle="1" w:styleId="TableText1">
    <w:name w:val="Table Text 1"/>
    <w:basedOn w:val="Normal"/>
    <w:qFormat/>
    <w:rsid w:val="00AE1F22"/>
    <w:pPr>
      <w:spacing w:before="0" w:after="240"/>
      <w:jc w:val="left"/>
    </w:pPr>
    <w:rPr>
      <w:rFonts w:ascii="Arial Narrow" w:hAnsi="Arial Narrow"/>
      <w:sz w:val="20"/>
      <w:szCs w:val="20"/>
    </w:rPr>
  </w:style>
  <w:style w:type="table" w:customStyle="1" w:styleId="LashStyleTabl1">
    <w:name w:val="Lash Style Tabl1"/>
    <w:basedOn w:val="TableNormal"/>
    <w:uiPriority w:val="39"/>
    <w:rsid w:val="00417D53"/>
    <w:pPr>
      <w:spacing w:after="0" w:line="240" w:lineRule="auto"/>
    </w:pPr>
    <w:rPr>
      <w:rFonts w:ascii="Calibri" w:hAnsi="Calibri"/>
      <w:color w:val="000000" w:themeColor="text1"/>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BodyText3">
    <w:name w:val="Body Text 3"/>
    <w:basedOn w:val="Normal"/>
    <w:link w:val="BodyText3Char"/>
    <w:rsid w:val="0048464E"/>
    <w:pPr>
      <w:spacing w:before="0" w:after="0"/>
    </w:pPr>
    <w:rPr>
      <w:rFonts w:eastAsia="Times New Roman" w:cs="Arial"/>
      <w:snapToGrid w:val="0"/>
      <w:color w:val="0000FF"/>
      <w:szCs w:val="24"/>
    </w:rPr>
  </w:style>
  <w:style w:type="character" w:customStyle="1" w:styleId="BodyText3Char">
    <w:name w:val="Body Text 3 Char"/>
    <w:basedOn w:val="DefaultParagraphFont"/>
    <w:link w:val="BodyText3"/>
    <w:rsid w:val="0048464E"/>
    <w:rPr>
      <w:rFonts w:eastAsia="Times New Roman" w:cs="Arial"/>
      <w:snapToGrid w:val="0"/>
      <w:color w:val="0000FF"/>
      <w:sz w:val="24"/>
      <w:szCs w:val="24"/>
    </w:rPr>
  </w:style>
  <w:style w:type="paragraph" w:customStyle="1" w:styleId="Tabletitle">
    <w:name w:val="Table title"/>
    <w:basedOn w:val="Tabletext0"/>
    <w:link w:val="TabletitleChar"/>
    <w:qFormat/>
    <w:rsid w:val="0048464E"/>
    <w:rPr>
      <w:rFonts w:eastAsia="Calibri" w:cs="Arial"/>
      <w:b/>
      <w:snapToGrid/>
      <w:szCs w:val="20"/>
    </w:rPr>
  </w:style>
  <w:style w:type="character" w:customStyle="1" w:styleId="TabletitleChar">
    <w:name w:val="Table title Char"/>
    <w:basedOn w:val="TabletextChar0"/>
    <w:link w:val="Tabletitle"/>
    <w:rsid w:val="0048464E"/>
    <w:rPr>
      <w:rFonts w:ascii="Arial Narrow" w:eastAsia="Calibri" w:hAnsi="Arial Narrow" w:cs="Arial"/>
      <w:b/>
      <w:snapToGrid/>
      <w:sz w:val="20"/>
      <w:szCs w:val="20"/>
      <w:lang w:eastAsia="en-AU"/>
    </w:rPr>
  </w:style>
  <w:style w:type="paragraph" w:customStyle="1" w:styleId="Footnotes">
    <w:name w:val="Footnotes"/>
    <w:basedOn w:val="FootnoteText"/>
    <w:link w:val="FootnotesChar"/>
    <w:qFormat/>
    <w:rsid w:val="0048464E"/>
    <w:rPr>
      <w:rFonts w:eastAsia="Times New Roman" w:cs="Arial"/>
      <w:snapToGrid w:val="0"/>
      <w:sz w:val="20"/>
    </w:rPr>
  </w:style>
  <w:style w:type="character" w:customStyle="1" w:styleId="FootnotesChar">
    <w:name w:val="Footnotes Char"/>
    <w:basedOn w:val="FootnoteTextChar"/>
    <w:link w:val="Footnotes"/>
    <w:rsid w:val="0048464E"/>
    <w:rPr>
      <w:rFonts w:eastAsia="Times New Roman" w:cs="Arial"/>
      <w:snapToGrid w:val="0"/>
      <w:sz w:val="20"/>
      <w:szCs w:val="20"/>
    </w:rPr>
  </w:style>
  <w:style w:type="paragraph" w:customStyle="1" w:styleId="COMH1-non-numbered">
    <w:name w:val="COM H1 - non-numbered"/>
    <w:next w:val="Normal"/>
    <w:link w:val="COMH1-non-numberedChar"/>
    <w:qFormat/>
    <w:rsid w:val="0048464E"/>
    <w:pPr>
      <w:keepNext/>
      <w:spacing w:before="120" w:line="240" w:lineRule="auto"/>
      <w:ind w:left="720" w:hanging="720"/>
      <w:outlineLvl w:val="0"/>
    </w:pPr>
    <w:rPr>
      <w:rFonts w:eastAsiaTheme="majorEastAsia" w:cstheme="majorBidi"/>
      <w:b/>
      <w:spacing w:val="5"/>
      <w:kern w:val="28"/>
      <w:sz w:val="32"/>
      <w:szCs w:val="36"/>
      <w:lang w:eastAsia="en-AU"/>
    </w:rPr>
  </w:style>
  <w:style w:type="character" w:customStyle="1" w:styleId="COMH1-non-numberedChar">
    <w:name w:val="COM H1 - non-numbered Char"/>
    <w:basedOn w:val="DefaultParagraphFont"/>
    <w:link w:val="COMH1-non-numbered"/>
    <w:rsid w:val="0048464E"/>
    <w:rPr>
      <w:rFonts w:eastAsiaTheme="majorEastAsia" w:cstheme="majorBidi"/>
      <w:b/>
      <w:spacing w:val="5"/>
      <w:kern w:val="28"/>
      <w:sz w:val="32"/>
      <w:szCs w:val="36"/>
      <w:lang w:eastAsia="en-AU"/>
    </w:rPr>
  </w:style>
  <w:style w:type="table" w:customStyle="1" w:styleId="LashStyleTabl2">
    <w:name w:val="Lash Style Tabl2"/>
    <w:basedOn w:val="TableNormal"/>
    <w:next w:val="TableGrid"/>
    <w:uiPriority w:val="39"/>
    <w:rsid w:val="0048464E"/>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UnresolvedMention1">
    <w:name w:val="Unresolved Mention1"/>
    <w:basedOn w:val="DefaultParagraphFont"/>
    <w:uiPriority w:val="99"/>
    <w:semiHidden/>
    <w:unhideWhenUsed/>
    <w:rsid w:val="0048464E"/>
    <w:rPr>
      <w:color w:val="605E5C"/>
      <w:shd w:val="clear" w:color="auto" w:fill="E1DFDD"/>
    </w:rPr>
  </w:style>
  <w:style w:type="paragraph" w:customStyle="1" w:styleId="3-SubsectionHeading">
    <w:name w:val="3-Subsection Heading"/>
    <w:basedOn w:val="Heading2"/>
    <w:next w:val="Normal"/>
    <w:link w:val="3-SubsectionHeadingChar"/>
    <w:qFormat/>
    <w:rsid w:val="00C7203E"/>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C7203E"/>
    <w:rPr>
      <w:rFonts w:ascii="Arial" w:eastAsiaTheme="majorEastAsia" w:hAnsi="Arial" w:cstheme="majorBidi"/>
      <w:b/>
      <w:i/>
      <w:snapToGrid/>
      <w:spacing w:val="5"/>
      <w:kern w:val="28"/>
      <w:sz w:val="28"/>
      <w:szCs w:val="36"/>
    </w:rPr>
  </w:style>
  <w:style w:type="paragraph" w:customStyle="1" w:styleId="Numberbullet2">
    <w:name w:val="Number bullet 2"/>
    <w:basedOn w:val="ListBullet2"/>
    <w:qFormat/>
    <w:rsid w:val="00920684"/>
    <w:pPr>
      <w:numPr>
        <w:numId w:val="0"/>
      </w:numPr>
      <w:spacing w:after="180" w:line="240" w:lineRule="atLeast"/>
      <w:ind w:left="1080" w:hanging="360"/>
      <w:contextualSpacing w:val="0"/>
      <w:jc w:val="left"/>
    </w:pPr>
    <w:rPr>
      <w:rFonts w:ascii="Cambria" w:eastAsia="Cambria" w:hAnsi="Cambria" w:cs="Times New Roman"/>
      <w:sz w:val="22"/>
    </w:rPr>
  </w:style>
  <w:style w:type="paragraph" w:customStyle="1" w:styleId="Numberbullet3">
    <w:name w:val="Number bullet 3"/>
    <w:basedOn w:val="ListBullet3"/>
    <w:qFormat/>
    <w:rsid w:val="00920684"/>
    <w:pPr>
      <w:numPr>
        <w:numId w:val="0"/>
      </w:numPr>
      <w:spacing w:after="180" w:line="240" w:lineRule="atLeast"/>
      <w:ind w:left="1800" w:hanging="180"/>
      <w:contextualSpacing w:val="0"/>
      <w:jc w:val="left"/>
    </w:pPr>
    <w:rPr>
      <w:rFonts w:ascii="Cambria" w:eastAsia="Cambria" w:hAnsi="Cambria" w:cs="Times New Roman"/>
      <w:sz w:val="22"/>
    </w:rPr>
  </w:style>
  <w:style w:type="numbering" w:customStyle="1" w:styleId="NumberBullet">
    <w:name w:val="NumberBullet"/>
    <w:uiPriority w:val="99"/>
    <w:locked/>
    <w:rsid w:val="00920684"/>
    <w:pPr>
      <w:numPr>
        <w:numId w:val="31"/>
      </w:numPr>
    </w:pPr>
  </w:style>
  <w:style w:type="paragraph" w:styleId="ListBullet2">
    <w:name w:val="List Bullet 2"/>
    <w:basedOn w:val="Normal"/>
    <w:uiPriority w:val="99"/>
    <w:semiHidden/>
    <w:rsid w:val="00920684"/>
    <w:pPr>
      <w:numPr>
        <w:numId w:val="31"/>
      </w:numPr>
      <w:contextualSpacing/>
    </w:pPr>
  </w:style>
  <w:style w:type="paragraph" w:styleId="ListBullet3">
    <w:name w:val="List Bullet 3"/>
    <w:basedOn w:val="Normal"/>
    <w:uiPriority w:val="99"/>
    <w:semiHidden/>
    <w:rsid w:val="00920684"/>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34744034">
      <w:bodyDiv w:val="1"/>
      <w:marLeft w:val="0"/>
      <w:marRight w:val="0"/>
      <w:marTop w:val="0"/>
      <w:marBottom w:val="0"/>
      <w:divBdr>
        <w:top w:val="none" w:sz="0" w:space="0" w:color="auto"/>
        <w:left w:val="none" w:sz="0" w:space="0" w:color="auto"/>
        <w:bottom w:val="none" w:sz="0" w:space="0" w:color="auto"/>
        <w:right w:val="none" w:sz="0" w:space="0" w:color="auto"/>
      </w:divBdr>
      <w:divsChild>
        <w:div w:id="611203663">
          <w:marLeft w:val="360"/>
          <w:marRight w:val="0"/>
          <w:marTop w:val="200"/>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94393846">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5874192">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06590726">
      <w:bodyDiv w:val="1"/>
      <w:marLeft w:val="0"/>
      <w:marRight w:val="0"/>
      <w:marTop w:val="0"/>
      <w:marBottom w:val="0"/>
      <w:divBdr>
        <w:top w:val="none" w:sz="0" w:space="0" w:color="auto"/>
        <w:left w:val="none" w:sz="0" w:space="0" w:color="auto"/>
        <w:bottom w:val="none" w:sz="0" w:space="0" w:color="auto"/>
        <w:right w:val="none" w:sz="0" w:space="0" w:color="auto"/>
      </w:divBdr>
    </w:div>
    <w:div w:id="331225871">
      <w:bodyDiv w:val="1"/>
      <w:marLeft w:val="0"/>
      <w:marRight w:val="0"/>
      <w:marTop w:val="0"/>
      <w:marBottom w:val="0"/>
      <w:divBdr>
        <w:top w:val="none" w:sz="0" w:space="0" w:color="auto"/>
        <w:left w:val="none" w:sz="0" w:space="0" w:color="auto"/>
        <w:bottom w:val="none" w:sz="0" w:space="0" w:color="auto"/>
        <w:right w:val="none" w:sz="0" w:space="0" w:color="auto"/>
      </w:divBdr>
    </w:div>
    <w:div w:id="366103288">
      <w:bodyDiv w:val="1"/>
      <w:marLeft w:val="0"/>
      <w:marRight w:val="0"/>
      <w:marTop w:val="0"/>
      <w:marBottom w:val="0"/>
      <w:divBdr>
        <w:top w:val="none" w:sz="0" w:space="0" w:color="auto"/>
        <w:left w:val="none" w:sz="0" w:space="0" w:color="auto"/>
        <w:bottom w:val="none" w:sz="0" w:space="0" w:color="auto"/>
        <w:right w:val="none" w:sz="0" w:space="0" w:color="auto"/>
      </w:divBdr>
      <w:divsChild>
        <w:div w:id="518011694">
          <w:marLeft w:val="360"/>
          <w:marRight w:val="0"/>
          <w:marTop w:val="200"/>
          <w:marBottom w:val="0"/>
          <w:divBdr>
            <w:top w:val="none" w:sz="0" w:space="0" w:color="auto"/>
            <w:left w:val="none" w:sz="0" w:space="0" w:color="auto"/>
            <w:bottom w:val="none" w:sz="0" w:space="0" w:color="auto"/>
            <w:right w:val="none" w:sz="0" w:space="0" w:color="auto"/>
          </w:divBdr>
        </w:div>
        <w:div w:id="1176962883">
          <w:marLeft w:val="1080"/>
          <w:marRight w:val="0"/>
          <w:marTop w:val="0"/>
          <w:marBottom w:val="0"/>
          <w:divBdr>
            <w:top w:val="none" w:sz="0" w:space="0" w:color="auto"/>
            <w:left w:val="none" w:sz="0" w:space="0" w:color="auto"/>
            <w:bottom w:val="none" w:sz="0" w:space="0" w:color="auto"/>
            <w:right w:val="none" w:sz="0" w:space="0" w:color="auto"/>
          </w:divBdr>
        </w:div>
      </w:divsChild>
    </w:div>
    <w:div w:id="395665081">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398329348">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2588410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36758522">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479537384">
      <w:bodyDiv w:val="1"/>
      <w:marLeft w:val="0"/>
      <w:marRight w:val="0"/>
      <w:marTop w:val="0"/>
      <w:marBottom w:val="0"/>
      <w:divBdr>
        <w:top w:val="none" w:sz="0" w:space="0" w:color="auto"/>
        <w:left w:val="none" w:sz="0" w:space="0" w:color="auto"/>
        <w:bottom w:val="none" w:sz="0" w:space="0" w:color="auto"/>
        <w:right w:val="none" w:sz="0" w:space="0" w:color="auto"/>
      </w:divBdr>
    </w:div>
    <w:div w:id="496114422">
      <w:bodyDiv w:val="1"/>
      <w:marLeft w:val="0"/>
      <w:marRight w:val="0"/>
      <w:marTop w:val="0"/>
      <w:marBottom w:val="0"/>
      <w:divBdr>
        <w:top w:val="none" w:sz="0" w:space="0" w:color="auto"/>
        <w:left w:val="none" w:sz="0" w:space="0" w:color="auto"/>
        <w:bottom w:val="none" w:sz="0" w:space="0" w:color="auto"/>
        <w:right w:val="none" w:sz="0" w:space="0" w:color="auto"/>
      </w:divBdr>
      <w:divsChild>
        <w:div w:id="1718511784">
          <w:marLeft w:val="360"/>
          <w:marRight w:val="0"/>
          <w:marTop w:val="200"/>
          <w:marBottom w:val="0"/>
          <w:divBdr>
            <w:top w:val="none" w:sz="0" w:space="0" w:color="auto"/>
            <w:left w:val="none" w:sz="0" w:space="0" w:color="auto"/>
            <w:bottom w:val="none" w:sz="0" w:space="0" w:color="auto"/>
            <w:right w:val="none" w:sz="0" w:space="0" w:color="auto"/>
          </w:divBdr>
        </w:div>
      </w:divsChild>
    </w:div>
    <w:div w:id="510677947">
      <w:bodyDiv w:val="1"/>
      <w:marLeft w:val="0"/>
      <w:marRight w:val="0"/>
      <w:marTop w:val="0"/>
      <w:marBottom w:val="0"/>
      <w:divBdr>
        <w:top w:val="none" w:sz="0" w:space="0" w:color="auto"/>
        <w:left w:val="none" w:sz="0" w:space="0" w:color="auto"/>
        <w:bottom w:val="none" w:sz="0" w:space="0" w:color="auto"/>
        <w:right w:val="none" w:sz="0" w:space="0" w:color="auto"/>
      </w:divBdr>
    </w:div>
    <w:div w:id="518202857">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6161">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75321359">
      <w:bodyDiv w:val="1"/>
      <w:marLeft w:val="0"/>
      <w:marRight w:val="0"/>
      <w:marTop w:val="0"/>
      <w:marBottom w:val="0"/>
      <w:divBdr>
        <w:top w:val="none" w:sz="0" w:space="0" w:color="auto"/>
        <w:left w:val="none" w:sz="0" w:space="0" w:color="auto"/>
        <w:bottom w:val="none" w:sz="0" w:space="0" w:color="auto"/>
        <w:right w:val="none" w:sz="0" w:space="0" w:color="auto"/>
      </w:divBdr>
    </w:div>
    <w:div w:id="783891920">
      <w:bodyDiv w:val="1"/>
      <w:marLeft w:val="0"/>
      <w:marRight w:val="0"/>
      <w:marTop w:val="0"/>
      <w:marBottom w:val="0"/>
      <w:divBdr>
        <w:top w:val="none" w:sz="0" w:space="0" w:color="auto"/>
        <w:left w:val="none" w:sz="0" w:space="0" w:color="auto"/>
        <w:bottom w:val="none" w:sz="0" w:space="0" w:color="auto"/>
        <w:right w:val="none" w:sz="0" w:space="0" w:color="auto"/>
      </w:divBdr>
    </w:div>
    <w:div w:id="799567545">
      <w:bodyDiv w:val="1"/>
      <w:marLeft w:val="0"/>
      <w:marRight w:val="0"/>
      <w:marTop w:val="0"/>
      <w:marBottom w:val="0"/>
      <w:divBdr>
        <w:top w:val="none" w:sz="0" w:space="0" w:color="auto"/>
        <w:left w:val="none" w:sz="0" w:space="0" w:color="auto"/>
        <w:bottom w:val="none" w:sz="0" w:space="0" w:color="auto"/>
        <w:right w:val="none" w:sz="0" w:space="0" w:color="auto"/>
      </w:divBdr>
      <w:divsChild>
        <w:div w:id="1303927759">
          <w:marLeft w:val="360"/>
          <w:marRight w:val="0"/>
          <w:marTop w:val="200"/>
          <w:marBottom w:val="0"/>
          <w:divBdr>
            <w:top w:val="none" w:sz="0" w:space="0" w:color="auto"/>
            <w:left w:val="none" w:sz="0" w:space="0" w:color="auto"/>
            <w:bottom w:val="none" w:sz="0" w:space="0" w:color="auto"/>
            <w:right w:val="none" w:sz="0" w:space="0" w:color="auto"/>
          </w:divBdr>
        </w:div>
      </w:divsChild>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23353101">
      <w:bodyDiv w:val="1"/>
      <w:marLeft w:val="0"/>
      <w:marRight w:val="0"/>
      <w:marTop w:val="0"/>
      <w:marBottom w:val="0"/>
      <w:divBdr>
        <w:top w:val="none" w:sz="0" w:space="0" w:color="auto"/>
        <w:left w:val="none" w:sz="0" w:space="0" w:color="auto"/>
        <w:bottom w:val="none" w:sz="0" w:space="0" w:color="auto"/>
        <w:right w:val="none" w:sz="0" w:space="0" w:color="auto"/>
      </w:divBdr>
    </w:div>
    <w:div w:id="832914753">
      <w:bodyDiv w:val="1"/>
      <w:marLeft w:val="0"/>
      <w:marRight w:val="0"/>
      <w:marTop w:val="0"/>
      <w:marBottom w:val="0"/>
      <w:divBdr>
        <w:top w:val="none" w:sz="0" w:space="0" w:color="auto"/>
        <w:left w:val="none" w:sz="0" w:space="0" w:color="auto"/>
        <w:bottom w:val="none" w:sz="0" w:space="0" w:color="auto"/>
        <w:right w:val="none" w:sz="0" w:space="0" w:color="auto"/>
      </w:divBdr>
    </w:div>
    <w:div w:id="841168395">
      <w:bodyDiv w:val="1"/>
      <w:marLeft w:val="0"/>
      <w:marRight w:val="0"/>
      <w:marTop w:val="0"/>
      <w:marBottom w:val="0"/>
      <w:divBdr>
        <w:top w:val="none" w:sz="0" w:space="0" w:color="auto"/>
        <w:left w:val="none" w:sz="0" w:space="0" w:color="auto"/>
        <w:bottom w:val="none" w:sz="0" w:space="0" w:color="auto"/>
        <w:right w:val="none" w:sz="0" w:space="0" w:color="auto"/>
      </w:divBdr>
    </w:div>
    <w:div w:id="843471733">
      <w:bodyDiv w:val="1"/>
      <w:marLeft w:val="0"/>
      <w:marRight w:val="0"/>
      <w:marTop w:val="0"/>
      <w:marBottom w:val="0"/>
      <w:divBdr>
        <w:top w:val="none" w:sz="0" w:space="0" w:color="auto"/>
        <w:left w:val="none" w:sz="0" w:space="0" w:color="auto"/>
        <w:bottom w:val="none" w:sz="0" w:space="0" w:color="auto"/>
        <w:right w:val="none" w:sz="0" w:space="0" w:color="auto"/>
      </w:divBdr>
      <w:divsChild>
        <w:div w:id="197091169">
          <w:marLeft w:val="360"/>
          <w:marRight w:val="0"/>
          <w:marTop w:val="0"/>
          <w:marBottom w:val="0"/>
          <w:divBdr>
            <w:top w:val="none" w:sz="0" w:space="0" w:color="auto"/>
            <w:left w:val="none" w:sz="0" w:space="0" w:color="auto"/>
            <w:bottom w:val="none" w:sz="0" w:space="0" w:color="auto"/>
            <w:right w:val="none" w:sz="0" w:space="0" w:color="auto"/>
          </w:divBdr>
        </w:div>
      </w:divsChild>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02835364">
      <w:bodyDiv w:val="1"/>
      <w:marLeft w:val="0"/>
      <w:marRight w:val="0"/>
      <w:marTop w:val="0"/>
      <w:marBottom w:val="0"/>
      <w:divBdr>
        <w:top w:val="none" w:sz="0" w:space="0" w:color="auto"/>
        <w:left w:val="none" w:sz="0" w:space="0" w:color="auto"/>
        <w:bottom w:val="none" w:sz="0" w:space="0" w:color="auto"/>
        <w:right w:val="none" w:sz="0" w:space="0" w:color="auto"/>
      </w:divBdr>
    </w:div>
    <w:div w:id="907692615">
      <w:bodyDiv w:val="1"/>
      <w:marLeft w:val="0"/>
      <w:marRight w:val="0"/>
      <w:marTop w:val="0"/>
      <w:marBottom w:val="0"/>
      <w:divBdr>
        <w:top w:val="none" w:sz="0" w:space="0" w:color="auto"/>
        <w:left w:val="none" w:sz="0" w:space="0" w:color="auto"/>
        <w:bottom w:val="none" w:sz="0" w:space="0" w:color="auto"/>
        <w:right w:val="none" w:sz="0" w:space="0" w:color="auto"/>
      </w:divBdr>
      <w:divsChild>
        <w:div w:id="128326275">
          <w:marLeft w:val="0"/>
          <w:marRight w:val="0"/>
          <w:marTop w:val="0"/>
          <w:marBottom w:val="0"/>
          <w:divBdr>
            <w:top w:val="none" w:sz="0" w:space="0" w:color="auto"/>
            <w:left w:val="none" w:sz="0" w:space="0" w:color="auto"/>
            <w:bottom w:val="none" w:sz="0" w:space="0" w:color="auto"/>
            <w:right w:val="none" w:sz="0" w:space="0" w:color="auto"/>
          </w:divBdr>
          <w:divsChild>
            <w:div w:id="49935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23145246">
      <w:bodyDiv w:val="1"/>
      <w:marLeft w:val="0"/>
      <w:marRight w:val="0"/>
      <w:marTop w:val="0"/>
      <w:marBottom w:val="0"/>
      <w:divBdr>
        <w:top w:val="none" w:sz="0" w:space="0" w:color="auto"/>
        <w:left w:val="none" w:sz="0" w:space="0" w:color="auto"/>
        <w:bottom w:val="none" w:sz="0" w:space="0" w:color="auto"/>
        <w:right w:val="none" w:sz="0" w:space="0" w:color="auto"/>
      </w:divBdr>
      <w:divsChild>
        <w:div w:id="2098667624">
          <w:marLeft w:val="360"/>
          <w:marRight w:val="0"/>
          <w:marTop w:val="200"/>
          <w:marBottom w:val="0"/>
          <w:divBdr>
            <w:top w:val="none" w:sz="0" w:space="0" w:color="auto"/>
            <w:left w:val="none" w:sz="0" w:space="0" w:color="auto"/>
            <w:bottom w:val="none" w:sz="0" w:space="0" w:color="auto"/>
            <w:right w:val="none" w:sz="0" w:space="0" w:color="auto"/>
          </w:divBdr>
        </w:div>
      </w:divsChild>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88485335">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1160593">
      <w:bodyDiv w:val="1"/>
      <w:marLeft w:val="0"/>
      <w:marRight w:val="0"/>
      <w:marTop w:val="0"/>
      <w:marBottom w:val="0"/>
      <w:divBdr>
        <w:top w:val="none" w:sz="0" w:space="0" w:color="auto"/>
        <w:left w:val="none" w:sz="0" w:space="0" w:color="auto"/>
        <w:bottom w:val="none" w:sz="0" w:space="0" w:color="auto"/>
        <w:right w:val="none" w:sz="0" w:space="0" w:color="auto"/>
      </w:divBdr>
    </w:div>
    <w:div w:id="1001860418">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894">
      <w:bodyDiv w:val="1"/>
      <w:marLeft w:val="0"/>
      <w:marRight w:val="0"/>
      <w:marTop w:val="0"/>
      <w:marBottom w:val="0"/>
      <w:divBdr>
        <w:top w:val="none" w:sz="0" w:space="0" w:color="auto"/>
        <w:left w:val="none" w:sz="0" w:space="0" w:color="auto"/>
        <w:bottom w:val="none" w:sz="0" w:space="0" w:color="auto"/>
        <w:right w:val="none" w:sz="0" w:space="0" w:color="auto"/>
      </w:divBdr>
      <w:divsChild>
        <w:div w:id="147671140">
          <w:marLeft w:val="360"/>
          <w:marRight w:val="0"/>
          <w:marTop w:val="200"/>
          <w:marBottom w:val="0"/>
          <w:divBdr>
            <w:top w:val="none" w:sz="0" w:space="0" w:color="auto"/>
            <w:left w:val="none" w:sz="0" w:space="0" w:color="auto"/>
            <w:bottom w:val="none" w:sz="0" w:space="0" w:color="auto"/>
            <w:right w:val="none" w:sz="0" w:space="0" w:color="auto"/>
          </w:divBdr>
        </w:div>
      </w:divsChild>
    </w:div>
    <w:div w:id="1079212632">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20828084">
      <w:bodyDiv w:val="1"/>
      <w:marLeft w:val="0"/>
      <w:marRight w:val="0"/>
      <w:marTop w:val="0"/>
      <w:marBottom w:val="0"/>
      <w:divBdr>
        <w:top w:val="none" w:sz="0" w:space="0" w:color="auto"/>
        <w:left w:val="none" w:sz="0" w:space="0" w:color="auto"/>
        <w:bottom w:val="none" w:sz="0" w:space="0" w:color="auto"/>
        <w:right w:val="none" w:sz="0" w:space="0" w:color="auto"/>
      </w:divBdr>
    </w:div>
    <w:div w:id="1233128044">
      <w:bodyDiv w:val="1"/>
      <w:marLeft w:val="0"/>
      <w:marRight w:val="0"/>
      <w:marTop w:val="0"/>
      <w:marBottom w:val="0"/>
      <w:divBdr>
        <w:top w:val="none" w:sz="0" w:space="0" w:color="auto"/>
        <w:left w:val="none" w:sz="0" w:space="0" w:color="auto"/>
        <w:bottom w:val="none" w:sz="0" w:space="0" w:color="auto"/>
        <w:right w:val="none" w:sz="0" w:space="0" w:color="auto"/>
      </w:divBdr>
      <w:divsChild>
        <w:div w:id="425275484">
          <w:marLeft w:val="1080"/>
          <w:marRight w:val="0"/>
          <w:marTop w:val="100"/>
          <w:marBottom w:val="0"/>
          <w:divBdr>
            <w:top w:val="none" w:sz="0" w:space="0" w:color="auto"/>
            <w:left w:val="none" w:sz="0" w:space="0" w:color="auto"/>
            <w:bottom w:val="none" w:sz="0" w:space="0" w:color="auto"/>
            <w:right w:val="none" w:sz="0" w:space="0" w:color="auto"/>
          </w:divBdr>
        </w:div>
        <w:div w:id="608004228">
          <w:marLeft w:val="1080"/>
          <w:marRight w:val="0"/>
          <w:marTop w:val="100"/>
          <w:marBottom w:val="0"/>
          <w:divBdr>
            <w:top w:val="none" w:sz="0" w:space="0" w:color="auto"/>
            <w:left w:val="none" w:sz="0" w:space="0" w:color="auto"/>
            <w:bottom w:val="none" w:sz="0" w:space="0" w:color="auto"/>
            <w:right w:val="none" w:sz="0" w:space="0" w:color="auto"/>
          </w:divBdr>
        </w:div>
      </w:divsChild>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15375868">
      <w:bodyDiv w:val="1"/>
      <w:marLeft w:val="0"/>
      <w:marRight w:val="0"/>
      <w:marTop w:val="0"/>
      <w:marBottom w:val="0"/>
      <w:divBdr>
        <w:top w:val="none" w:sz="0" w:space="0" w:color="auto"/>
        <w:left w:val="none" w:sz="0" w:space="0" w:color="auto"/>
        <w:bottom w:val="none" w:sz="0" w:space="0" w:color="auto"/>
        <w:right w:val="none" w:sz="0" w:space="0" w:color="auto"/>
      </w:divBdr>
    </w:div>
    <w:div w:id="1361738168">
      <w:bodyDiv w:val="1"/>
      <w:marLeft w:val="0"/>
      <w:marRight w:val="0"/>
      <w:marTop w:val="0"/>
      <w:marBottom w:val="0"/>
      <w:divBdr>
        <w:top w:val="none" w:sz="0" w:space="0" w:color="auto"/>
        <w:left w:val="none" w:sz="0" w:space="0" w:color="auto"/>
        <w:bottom w:val="none" w:sz="0" w:space="0" w:color="auto"/>
        <w:right w:val="none" w:sz="0" w:space="0" w:color="auto"/>
      </w:divBdr>
    </w:div>
    <w:div w:id="136579190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3477170">
      <w:bodyDiv w:val="1"/>
      <w:marLeft w:val="0"/>
      <w:marRight w:val="0"/>
      <w:marTop w:val="0"/>
      <w:marBottom w:val="0"/>
      <w:divBdr>
        <w:top w:val="none" w:sz="0" w:space="0" w:color="auto"/>
        <w:left w:val="none" w:sz="0" w:space="0" w:color="auto"/>
        <w:bottom w:val="none" w:sz="0" w:space="0" w:color="auto"/>
        <w:right w:val="none" w:sz="0" w:space="0" w:color="auto"/>
      </w:divBdr>
      <w:divsChild>
        <w:div w:id="1088386952">
          <w:marLeft w:val="360"/>
          <w:marRight w:val="0"/>
          <w:marTop w:val="200"/>
          <w:marBottom w:val="0"/>
          <w:divBdr>
            <w:top w:val="none" w:sz="0" w:space="0" w:color="auto"/>
            <w:left w:val="none" w:sz="0" w:space="0" w:color="auto"/>
            <w:bottom w:val="none" w:sz="0" w:space="0" w:color="auto"/>
            <w:right w:val="none" w:sz="0" w:space="0" w:color="auto"/>
          </w:divBdr>
        </w:div>
      </w:divsChild>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44418159">
      <w:bodyDiv w:val="1"/>
      <w:marLeft w:val="0"/>
      <w:marRight w:val="0"/>
      <w:marTop w:val="0"/>
      <w:marBottom w:val="0"/>
      <w:divBdr>
        <w:top w:val="none" w:sz="0" w:space="0" w:color="auto"/>
        <w:left w:val="none" w:sz="0" w:space="0" w:color="auto"/>
        <w:bottom w:val="none" w:sz="0" w:space="0" w:color="auto"/>
        <w:right w:val="none" w:sz="0" w:space="0" w:color="auto"/>
      </w:divBdr>
    </w:div>
    <w:div w:id="1449426585">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496800800">
      <w:bodyDiv w:val="1"/>
      <w:marLeft w:val="0"/>
      <w:marRight w:val="0"/>
      <w:marTop w:val="0"/>
      <w:marBottom w:val="0"/>
      <w:divBdr>
        <w:top w:val="none" w:sz="0" w:space="0" w:color="auto"/>
        <w:left w:val="none" w:sz="0" w:space="0" w:color="auto"/>
        <w:bottom w:val="none" w:sz="0" w:space="0" w:color="auto"/>
        <w:right w:val="none" w:sz="0" w:space="0" w:color="auto"/>
      </w:divBdr>
    </w:div>
    <w:div w:id="1499030722">
      <w:bodyDiv w:val="1"/>
      <w:marLeft w:val="0"/>
      <w:marRight w:val="0"/>
      <w:marTop w:val="0"/>
      <w:marBottom w:val="0"/>
      <w:divBdr>
        <w:top w:val="none" w:sz="0" w:space="0" w:color="auto"/>
        <w:left w:val="none" w:sz="0" w:space="0" w:color="auto"/>
        <w:bottom w:val="none" w:sz="0" w:space="0" w:color="auto"/>
        <w:right w:val="none" w:sz="0" w:space="0" w:color="auto"/>
      </w:divBdr>
    </w:div>
    <w:div w:id="1536191950">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8672">
      <w:bodyDiv w:val="1"/>
      <w:marLeft w:val="0"/>
      <w:marRight w:val="0"/>
      <w:marTop w:val="0"/>
      <w:marBottom w:val="0"/>
      <w:divBdr>
        <w:top w:val="none" w:sz="0" w:space="0" w:color="auto"/>
        <w:left w:val="none" w:sz="0" w:space="0" w:color="auto"/>
        <w:bottom w:val="none" w:sz="0" w:space="0" w:color="auto"/>
        <w:right w:val="none" w:sz="0" w:space="0" w:color="auto"/>
      </w:divBdr>
    </w:div>
    <w:div w:id="1576403308">
      <w:bodyDiv w:val="1"/>
      <w:marLeft w:val="0"/>
      <w:marRight w:val="0"/>
      <w:marTop w:val="0"/>
      <w:marBottom w:val="0"/>
      <w:divBdr>
        <w:top w:val="none" w:sz="0" w:space="0" w:color="auto"/>
        <w:left w:val="none" w:sz="0" w:space="0" w:color="auto"/>
        <w:bottom w:val="none" w:sz="0" w:space="0" w:color="auto"/>
        <w:right w:val="none" w:sz="0" w:space="0" w:color="auto"/>
      </w:divBdr>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33751017">
      <w:bodyDiv w:val="1"/>
      <w:marLeft w:val="0"/>
      <w:marRight w:val="0"/>
      <w:marTop w:val="0"/>
      <w:marBottom w:val="0"/>
      <w:divBdr>
        <w:top w:val="none" w:sz="0" w:space="0" w:color="auto"/>
        <w:left w:val="none" w:sz="0" w:space="0" w:color="auto"/>
        <w:bottom w:val="none" w:sz="0" w:space="0" w:color="auto"/>
        <w:right w:val="none" w:sz="0" w:space="0" w:color="auto"/>
      </w:divBdr>
    </w:div>
    <w:div w:id="1640648381">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3940779">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11493836">
      <w:bodyDiv w:val="1"/>
      <w:marLeft w:val="0"/>
      <w:marRight w:val="0"/>
      <w:marTop w:val="0"/>
      <w:marBottom w:val="0"/>
      <w:divBdr>
        <w:top w:val="none" w:sz="0" w:space="0" w:color="auto"/>
        <w:left w:val="none" w:sz="0" w:space="0" w:color="auto"/>
        <w:bottom w:val="none" w:sz="0" w:space="0" w:color="auto"/>
        <w:right w:val="none" w:sz="0" w:space="0" w:color="auto"/>
      </w:divBdr>
      <w:divsChild>
        <w:div w:id="1996566143">
          <w:marLeft w:val="360"/>
          <w:marRight w:val="0"/>
          <w:marTop w:val="200"/>
          <w:marBottom w:val="0"/>
          <w:divBdr>
            <w:top w:val="none" w:sz="0" w:space="0" w:color="auto"/>
            <w:left w:val="none" w:sz="0" w:space="0" w:color="auto"/>
            <w:bottom w:val="none" w:sz="0" w:space="0" w:color="auto"/>
            <w:right w:val="none" w:sz="0" w:space="0" w:color="auto"/>
          </w:divBdr>
        </w:div>
      </w:divsChild>
    </w:div>
    <w:div w:id="1743061661">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12369">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465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ja.com.au/sites/default/files/NHMRC.levels.of.evidence.2008-09.pdf"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fda.gov/regulatory-information/search-fda-guidance-documents/patient-focused-drug-development-incorporating-clinical-outcome-assessments-endpoints-regulatory" TargetMode="External"/><Relationship Id="rId1" Type="http://schemas.openxmlformats.org/officeDocument/2006/relationships/hyperlink" Target="https://www.dementia.org.au/brain-health/mild-cognitive-impairment-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f328ee76e3e3cd8b25629ba942c2bda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92fc91db597c21b2d674888d2f34e6f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54F0B9-BAAE-421F-8AD0-2F4D790F0F23}">
  <ds:schemaRefs>
    <ds:schemaRef ds:uri="http://schemas.openxmlformats.org/officeDocument/2006/bibliography"/>
  </ds:schemaRefs>
</ds:datastoreItem>
</file>

<file path=customXml/itemProps2.xml><?xml version="1.0" encoding="utf-8"?>
<ds:datastoreItem xmlns:ds="http://schemas.openxmlformats.org/officeDocument/2006/customXml" ds:itemID="{BE4607DA-6785-44D1-A7D4-2032147AB72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CA51AC9F-E6EA-406C-85C7-F1B25BF78F58}">
  <ds:schemaRefs>
    <ds:schemaRef ds:uri="http://schemas.microsoft.com/sharepoint/v3/contenttype/forms"/>
  </ds:schemaRefs>
</ds:datastoreItem>
</file>

<file path=customXml/itemProps4.xml><?xml version="1.0" encoding="utf-8"?>
<ds:datastoreItem xmlns:ds="http://schemas.openxmlformats.org/officeDocument/2006/customXml" ds:itemID="{ACB3E330-DAD8-446B-97C4-DEBF40425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28126</Words>
  <Characters>160324</Characters>
  <Application>Microsoft Office Word</Application>
  <DocSecurity>0</DocSecurity>
  <Lines>1336</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188074</CharactersWithSpaces>
  <SharedDoc>false</SharedDoc>
  <HLinks>
    <vt:vector size="18" baseType="variant">
      <vt:variant>
        <vt:i4>4063282</vt:i4>
      </vt:variant>
      <vt:variant>
        <vt:i4>45</vt:i4>
      </vt:variant>
      <vt:variant>
        <vt:i4>0</vt:i4>
      </vt:variant>
      <vt:variant>
        <vt:i4>5</vt:i4>
      </vt:variant>
      <vt:variant>
        <vt:lpwstr>https://www.mja.com.au/sites/default/files/NHMRC.levels.of.evidence.2008-09.pdf</vt:lpwstr>
      </vt:variant>
      <vt:variant>
        <vt:lpwstr/>
      </vt:variant>
      <vt:variant>
        <vt:i4>589914</vt:i4>
      </vt:variant>
      <vt:variant>
        <vt:i4>3</vt:i4>
      </vt:variant>
      <vt:variant>
        <vt:i4>0</vt:i4>
      </vt:variant>
      <vt:variant>
        <vt:i4>5</vt:i4>
      </vt:variant>
      <vt:variant>
        <vt:lpwstr>https://www.fda.gov/regulatory-information/search-fda-guidance-documents/patient-focused-drug-development-incorporating-clinical-outcome-assessments-endpoints-regulatory</vt:lpwstr>
      </vt:variant>
      <vt:variant>
        <vt:lpwstr/>
      </vt:variant>
      <vt:variant>
        <vt:i4>1376277</vt:i4>
      </vt:variant>
      <vt:variant>
        <vt:i4>0</vt:i4>
      </vt:variant>
      <vt:variant>
        <vt:i4>0</vt:i4>
      </vt:variant>
      <vt:variant>
        <vt:i4>5</vt:i4>
      </vt:variant>
      <vt:variant>
        <vt:lpwstr>https://www.dementia.org.au/brain-health/mild-cognitive-impairment-mci</vt:lpwstr>
      </vt:variant>
      <vt:variant>
        <vt:lpwstr>does-mild-cognitive-impairment-lead-to-dementia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2025-10-27T05:22:00Z</dcterms:created>
  <dcterms:modified xsi:type="dcterms:W3CDTF">2025-11-14T02:43:00Z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38ae0605,5ecc19c4,c62faf4</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66368332,2b8374ee,226cf7e4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2025-10-27T05:04:49Z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f6df90a6-56fa-449f-9991-8df25678fe46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